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60% do TG vem da lipólise, então quadros lipotoxicidade → a RI é a responsável por não inibir a lipólise e glicogênese → ou seja, síntese de glicose pelo fígado e lip;oise constante (AGL na corrente sanguínea) → gordura ectópica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Durante a puberdade (tanner 2) já aumenta um pouco a concentração de insulina → mais RI.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Síndrome  Metabólica: obesidade + RI → risco maior de apresentar todas as alterações de síndrome metabólica → inflamação de baixo grau (M1 e citocinas inflamatórias), estresse oxidativo, adipocinas,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