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D8D" w14:textId="77777777" w:rsidR="00855C8E" w:rsidRDefault="00855C8E" w:rsidP="004C7653">
      <w:pPr>
        <w:pStyle w:val="Ttulo3"/>
        <w:keepNext w:val="0"/>
        <w:keepLines w:val="0"/>
        <w:spacing w:before="280" w:line="360" w:lineRule="auto"/>
        <w:jc w:val="center"/>
        <w:rPr>
          <w:b/>
          <w:bCs/>
          <w:color w:val="auto"/>
          <w:sz w:val="24"/>
          <w:szCs w:val="24"/>
        </w:rPr>
      </w:pPr>
      <w:bookmarkStart w:id="0" w:name="_rcbq5qyk0w9u" w:colFirst="0" w:colLast="0"/>
      <w:bookmarkEnd w:id="0"/>
    </w:p>
    <w:p w14:paraId="151266BC" w14:textId="3EC2BBFC" w:rsidR="004C7653" w:rsidRDefault="004C7653" w:rsidP="004C7653">
      <w:pPr>
        <w:pStyle w:val="Ttulo3"/>
        <w:keepNext w:val="0"/>
        <w:keepLines w:val="0"/>
        <w:spacing w:before="280" w:line="360" w:lineRule="auto"/>
        <w:jc w:val="center"/>
        <w:rPr>
          <w:b/>
          <w:bCs/>
          <w:color w:val="auto"/>
          <w:sz w:val="24"/>
          <w:szCs w:val="24"/>
        </w:rPr>
      </w:pPr>
      <w:r w:rsidRPr="004C7653">
        <w:rPr>
          <w:b/>
          <w:bCs/>
          <w:color w:val="auto"/>
          <w:sz w:val="24"/>
          <w:szCs w:val="24"/>
        </w:rPr>
        <w:t>Associação entre o status de água intra e extracelular e desempenho neuromuscular em atletas do futebol feminino do São Paulo FC</w:t>
      </w:r>
    </w:p>
    <w:p w14:paraId="00000002" w14:textId="6735C6A4" w:rsidR="00482274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Objetivo Geral:</w:t>
      </w:r>
    </w:p>
    <w:p w14:paraId="00000003" w14:textId="77777777" w:rsidR="00482274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Avaliar a associação entre a razão de água intracelular (ICW/TBW), estimada por bioimpedância, e indicadores de desempenho neuromuscular em atletas profissionais do futebol feminino do São Paulo Futebol Clube.</w:t>
      </w:r>
    </w:p>
    <w:p w14:paraId="00000004" w14:textId="77777777" w:rsidR="00482274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bCs/>
          <w:color w:val="000000"/>
          <w:sz w:val="24"/>
          <w:szCs w:val="24"/>
        </w:rPr>
      </w:pPr>
      <w:bookmarkStart w:id="1" w:name="_mq8h9co19cpl" w:colFirst="0" w:colLast="0"/>
      <w:bookmarkEnd w:id="1"/>
      <w:r>
        <w:rPr>
          <w:b/>
          <w:bCs/>
          <w:color w:val="000000"/>
          <w:sz w:val="24"/>
          <w:szCs w:val="24"/>
        </w:rPr>
        <w:t>Objetivos Específicos:</w:t>
      </w:r>
    </w:p>
    <w:p w14:paraId="00000005" w14:textId="77777777" w:rsidR="00482274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Avaliar o estado de hidratação das atletas no período pré-jogo por meio da escala de cor da urina de Armstrong.</w:t>
      </w:r>
    </w:p>
    <w:p w14:paraId="00000006" w14:textId="77777777" w:rsidR="00482274" w:rsidRDefault="00482274">
      <w:pPr>
        <w:ind w:left="720"/>
        <w:rPr>
          <w:sz w:val="24"/>
          <w:szCs w:val="24"/>
        </w:rPr>
      </w:pPr>
    </w:p>
    <w:p w14:paraId="00000007" w14:textId="77777777" w:rsidR="00482274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Investigar a relação entre o estado de hidratação avaliado pela escala de Armstrong e a razão ICW/TBW.</w:t>
      </w:r>
      <w:r>
        <w:rPr>
          <w:sz w:val="24"/>
          <w:szCs w:val="24"/>
        </w:rPr>
        <w:br/>
      </w:r>
    </w:p>
    <w:p w14:paraId="00000008" w14:textId="77777777" w:rsidR="00482274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Explorar a associação entre o estado de hidratação e a percepção subjetiva de esforço pós-jogo.</w:t>
      </w:r>
    </w:p>
    <w:p w14:paraId="00000009" w14:textId="77777777" w:rsidR="00482274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Desenho do estudo: </w:t>
      </w:r>
      <w:r>
        <w:rPr>
          <w:sz w:val="24"/>
          <w:szCs w:val="24"/>
        </w:rPr>
        <w:t xml:space="preserve">Estudo transversal </w:t>
      </w:r>
    </w:p>
    <w:p w14:paraId="1F2794FB" w14:textId="6CF7571D" w:rsidR="00855C8E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Casuística: </w:t>
      </w:r>
      <w:r>
        <w:rPr>
          <w:sz w:val="24"/>
          <w:szCs w:val="24"/>
        </w:rPr>
        <w:t>A amostra será composta por 36 atletas profissionais da equipe feminina do São Paulo Futebol Clube.</w:t>
      </w:r>
    </w:p>
    <w:p w14:paraId="1C15B55D" w14:textId="77777777" w:rsidR="003F5BD8" w:rsidRDefault="003F5BD8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09EC6A1F" w14:textId="77777777" w:rsidR="003F5BD8" w:rsidRDefault="003F5BD8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715B5451" w14:textId="77777777" w:rsidR="003F5BD8" w:rsidRDefault="003F5BD8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46AD8E9E" w14:textId="77777777" w:rsidR="003F5BD8" w:rsidRDefault="003F5BD8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7850FE5E" w14:textId="77777777" w:rsidR="003F5BD8" w:rsidRDefault="003F5BD8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3E7818B0" w14:textId="77777777" w:rsidR="003F5BD8" w:rsidRDefault="003F5BD8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668A6BFE" w14:textId="77777777" w:rsidR="003F5BD8" w:rsidRDefault="003F5BD8">
      <w:pPr>
        <w:spacing w:before="240" w:after="240" w:line="360" w:lineRule="auto"/>
        <w:jc w:val="both"/>
        <w:rPr>
          <w:b/>
          <w:bCs/>
          <w:sz w:val="24"/>
          <w:szCs w:val="24"/>
        </w:rPr>
      </w:pPr>
    </w:p>
    <w:p w14:paraId="13C8EDD7" w14:textId="2057E21E" w:rsidR="00855C8E" w:rsidRPr="0074398F" w:rsidRDefault="0074398F" w:rsidP="003F5BD8">
      <w:pPr>
        <w:spacing w:before="240" w:after="24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Introdução</w:t>
      </w:r>
    </w:p>
    <w:p w14:paraId="0000000B" w14:textId="3D673C95" w:rsidR="00482274" w:rsidRDefault="003F5BD8">
      <w:pPr>
        <w:spacing w:before="240" w:after="240" w:line="360" w:lineRule="auto"/>
        <w:jc w:val="both"/>
        <w:rPr>
          <w:sz w:val="24"/>
          <w:szCs w:val="24"/>
        </w:rPr>
      </w:pPr>
      <w:r w:rsidRPr="003F5BD8">
        <w:rPr>
          <w:sz w:val="24"/>
          <w:szCs w:val="24"/>
        </w:rPr>
        <w:t>A água constitui o elemento químico mais prevalente no organismo humano, representando cerca de 75% da massa total em recém-nascidos e 55% em indivíduos idosos (POPKIN; D’ANCI; ROSENBERG, 2010). Este recurso atua como um nutriente crítico cuja ausência pode se tornar letal em poucos dias, sendo indispensável para a manutenção da vida e da homeostase celular (POPKIN; D’ANCI; ROSENBERG, 2010). Biologicamente, a água funciona como o solvente universal para todas as reações bioquímicas, além de servir como veículo para o transporte de nutrientes e oxigênio (LISKA; MAH; BRISBOIS et al., 2019).</w:t>
      </w:r>
      <w:r>
        <w:rPr>
          <w:sz w:val="24"/>
          <w:szCs w:val="24"/>
        </w:rPr>
        <w:t xml:space="preserve"> </w:t>
      </w:r>
      <w:r w:rsidRPr="003F5BD8">
        <w:rPr>
          <w:sz w:val="24"/>
          <w:szCs w:val="24"/>
        </w:rPr>
        <w:t>Além disso, ela é o pilar central da termorregulação sistêmica, permitindo a dissipação do calor interno por meio da evaporação cutânea do suor em ambientes quentes ou durante a atividade física (POPKIN; D’ANCI; ROSENBERG, 2010). A água serve simultaneamente como o meio de transporte primário para a entrega de oxigênio e nutrientes às células e como via fundamental para a remoção de resíduos e toxinas metabólicas (LISKA; MAH; BRISBOIS et al., 2019). A manutenção hídrica também é vital para a preservação da integridade estrutural e funcional da pele, contribuindo para sua elasticidade, densidade e resiliência (POPKIN; D’ANCI; ROSENBERG, 2010). No sistema nervoso, a hidratação adequada previne déficits cognitivos, afetando diretamente a concentração, o estado de alerta e a regulação do humor (POPKIN; D’ANCI; ROSENBERG, 2010). Por fim, o balanço hídrico sustenta a função gastrointestinal e cardiovascular, prevenindo complicações como a constipação e garantindo o volume vascular necessário para a estabilidade hemodinâmica (POPKIN; D’ANCI; ROSENBERG, 2010).</w:t>
      </w:r>
    </w:p>
    <w:p w14:paraId="6D101185" w14:textId="42F7A0BA" w:rsidR="003F5BD8" w:rsidRPr="003F5BD8" w:rsidRDefault="003F5BD8" w:rsidP="003F5BD8">
      <w:pPr>
        <w:spacing w:before="240" w:after="240" w:line="360" w:lineRule="auto"/>
        <w:jc w:val="both"/>
        <w:rPr>
          <w:sz w:val="24"/>
          <w:szCs w:val="24"/>
        </w:rPr>
      </w:pPr>
      <w:r w:rsidRPr="003F5BD8">
        <w:rPr>
          <w:sz w:val="24"/>
          <w:szCs w:val="24"/>
        </w:rPr>
        <w:t xml:space="preserve">Do ponto de vista </w:t>
      </w:r>
      <w:r w:rsidRPr="007B1563">
        <w:rPr>
          <w:sz w:val="24"/>
          <w:szCs w:val="24"/>
        </w:rPr>
        <w:t>renal</w:t>
      </w:r>
      <w:r w:rsidRPr="003F5BD8">
        <w:rPr>
          <w:sz w:val="24"/>
          <w:szCs w:val="24"/>
        </w:rPr>
        <w:t>, o sistema é responsável por modular o equilíbrio de fluidos e minerais por meio da filtração sanguínea e da modulação hormonal via vasopressina (POPKIN; D’ANCI; ROSENBERG, 2010). Os rins operam com máxima eficácia biológica na presença de uma oferta hídrica abundante, visto que a necessidade de economizar água para produzir urina concentrada exige um custo energético elevado e impõe maior desgaste aos tecidos renais (POPKIN; D’ANCI; ROSENBERG, 2010). A desidratação reduz a capacidade renal de excretar adequadamente a carga de solutos metabólicos e xenobióticos, tornando a ingestão de água uma estratégia primária de proteção contra o estresse oxidativo e o desgaste do parênquima (POPKIN; D’ANCI; ROSENBERG, 2010). Assim, a disponibilidade de fluidos é o fator determinante para que o sistema renal realize a depuração biológica sem comprometer sua integridade celular (POPKIN; D’ANCI; ROSENBERG, 2010).</w:t>
      </w:r>
    </w:p>
    <w:p w14:paraId="1C7D044B" w14:textId="77777777" w:rsidR="003F5BD8" w:rsidRPr="003F5BD8" w:rsidRDefault="003F5BD8" w:rsidP="003F5BD8">
      <w:pPr>
        <w:spacing w:before="240" w:after="240" w:line="360" w:lineRule="auto"/>
        <w:jc w:val="both"/>
        <w:rPr>
          <w:sz w:val="24"/>
          <w:szCs w:val="24"/>
        </w:rPr>
      </w:pPr>
      <w:r w:rsidRPr="003F5BD8">
        <w:rPr>
          <w:sz w:val="24"/>
          <w:szCs w:val="24"/>
        </w:rPr>
        <w:t>No aspecto cardiovascular, a hidratação adequada é o suporte fundamental para a manutenção do volume plasmático e da regulação da pressão arterial (POPKIN; D’ANCI; ROSENBERG, 2010). O volume sanguíneo e a frequência cardíaca estão intrinsecamente conectados, de modo que reduções hídricas forçam ajustes na vasoconstrição para prevenir episódios de hipotensão postural ou síncope (POPKIN; D’ANCI; ROSENBERG, 2010). O consumo de água tem um efeito pressor agudo que estabiliza a resposta hemodinâmica, especialmente em situações de estresse físico ou térmico (POPKIN; D’ANCI; ROSENBERG, 2010). A manutenção do status de euhidratação garante que o débito cardíaco seja suficiente para suprir a demanda metabólica periférica durante o esforço prolongado (POPKIN; D’ANCI; ROSENBERG, 2010).</w:t>
      </w:r>
    </w:p>
    <w:p w14:paraId="031A7729" w14:textId="46FC2492" w:rsidR="003F5BD8" w:rsidRPr="003F5BD8" w:rsidRDefault="003F5BD8" w:rsidP="003F5BD8">
      <w:pPr>
        <w:spacing w:before="240" w:after="240" w:line="360" w:lineRule="auto"/>
        <w:jc w:val="both"/>
        <w:rPr>
          <w:sz w:val="24"/>
          <w:szCs w:val="24"/>
        </w:rPr>
      </w:pPr>
      <w:r w:rsidRPr="003F5BD8">
        <w:rPr>
          <w:sz w:val="24"/>
          <w:szCs w:val="24"/>
        </w:rPr>
        <w:t xml:space="preserve">No âmbito muscular, o tecido esquelético funciona como o principal reservatório de fluidos do corpo humano, sendo composto por aproximadamente 76% a 79% de água (VILA; BEZERRA; SILVA et al., 2024). A água intracelular (ICW) desempenha um papel determinante na integridade estrutural da célula e na sua função contrátil, influenciando diretamente a geração de força e a potência neuromuscular (OISHI; YOSHIDA; KIM et al., 2025). Segundo a "teoria do inchaço celular", o aumento do volume de água dentro das células atua como um sinal anabólico crítico que estimula a síntese proteica e otimiza o metabolismo energético (BONGIOVANNI; TINSLEY; MARTERA et al., 2022). Adicionalmente, existe uma correlação direta entre os estoques de glicogênio e a hidratação, visto que cada grama de glicogênio muscular </w:t>
      </w:r>
      <w:r w:rsidR="00B74CCC" w:rsidRPr="003F5BD8">
        <w:rPr>
          <w:sz w:val="24"/>
          <w:szCs w:val="24"/>
        </w:rPr>
        <w:t>se liga</w:t>
      </w:r>
      <w:r w:rsidRPr="003F5BD8">
        <w:rPr>
          <w:sz w:val="24"/>
          <w:szCs w:val="24"/>
        </w:rPr>
        <w:t xml:space="preserve"> a aproximadamente 2,7 a 4,0 gramas de água (SHIOSE; YAMADA; MOTONAGA et al., 2018).</w:t>
      </w:r>
    </w:p>
    <w:p w14:paraId="4C4BC94B" w14:textId="7418129F" w:rsidR="003F5BD8" w:rsidRPr="003F5BD8" w:rsidRDefault="00FE7C33" w:rsidP="003F5BD8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3F5BD8" w:rsidRPr="003F5BD8">
        <w:rPr>
          <w:sz w:val="24"/>
          <w:szCs w:val="24"/>
        </w:rPr>
        <w:t>ara atletas profissionais de futebol feminino, a elevada demanda metabólica da modalidade, que envolve sprints de alta intensidade e movimentos intermitentes, intensifica a importância do monitoramento hídrico para evitar microtraumas nas fibras musculares (BONGIOVANNI; TINSLEY; MARTERA et al., 2022). As particularidades da fisiologia feminina impõem desafios adicionais, visto que as flutuações hormonais de estrogênio e progesterona alteram a retenção de fluidos e a regulação do osmostato central (HOLTZMAN; ACKERMAN, 2021). Durante a fase lútea do ciclo menstrual, a elevação da temperatura corporal basal em até 1,0°C pode aumentar a vulnerabilidade ao estresse térmico caso a reposição hidroeletrolítica seja insuficiente (HOLTZMAN; ACKERMAN, 2021). Além disso, quadros de baixa disponibilidade de energia podem levar à Deficiência Energética Relativa no Esporte (RED-S), comprometendo a saúde endócrina e o rendimento físico (HOLTZMAN; ACKERMAN, 2021).</w:t>
      </w:r>
    </w:p>
    <w:p w14:paraId="1276157F" w14:textId="77777777" w:rsidR="003F5BD8" w:rsidRPr="003F5BD8" w:rsidRDefault="003F5BD8" w:rsidP="003F5BD8">
      <w:pPr>
        <w:spacing w:before="240" w:after="240" w:line="360" w:lineRule="auto"/>
        <w:jc w:val="both"/>
        <w:rPr>
          <w:sz w:val="24"/>
          <w:szCs w:val="24"/>
        </w:rPr>
      </w:pPr>
      <w:r w:rsidRPr="003F5BD8">
        <w:rPr>
          <w:sz w:val="24"/>
          <w:szCs w:val="24"/>
        </w:rPr>
        <w:t>A avaliação do desempenho neuromuscular nesta população será realizada por meio do teste de salto vertical, especificamente o Countermovement Jump (CMJ), utilizando indicadores de altura, potência e força (BONGIOVANNI; TINSLEY; MARTERA et al., 2022). Estes dados serão analisados a partir de registros fornecidos pelo próprio clube esportivo (São Paulo Futebol Clube), permitindo uma verificação precisa da prontidão física e das adaptações neuromusculares ao longo da temporada (BONGIOVANNI; TINSLEY; MARTERA et al., 2022). Evidências científicas indicam que variações na água intracelular e na massa magra regional das pernas são preditores significativos para melhorias no desempenho do CMJ em atletas de elite (BONGIOVANNI; TINSLEY; MARTERA et al., 2022).</w:t>
      </w:r>
    </w:p>
    <w:p w14:paraId="5723550B" w14:textId="3D6AA0CF" w:rsidR="003F5BD8" w:rsidRPr="003F5BD8" w:rsidRDefault="003F5BD8" w:rsidP="003F5BD8">
      <w:pPr>
        <w:spacing w:before="240" w:after="240" w:line="360" w:lineRule="auto"/>
        <w:jc w:val="both"/>
        <w:rPr>
          <w:sz w:val="24"/>
          <w:szCs w:val="24"/>
        </w:rPr>
      </w:pPr>
      <w:r w:rsidRPr="003F5BD8">
        <w:rPr>
          <w:sz w:val="24"/>
          <w:szCs w:val="24"/>
        </w:rPr>
        <w:t xml:space="preserve">Portanto, o presente </w:t>
      </w:r>
      <w:r w:rsidR="00465023">
        <w:rPr>
          <w:sz w:val="24"/>
          <w:szCs w:val="24"/>
        </w:rPr>
        <w:t>estudo</w:t>
      </w:r>
      <w:r w:rsidRPr="003F5BD8">
        <w:rPr>
          <w:sz w:val="24"/>
          <w:szCs w:val="24"/>
        </w:rPr>
        <w:t xml:space="preserve"> justifica-se pela relevância de investigar a associação entre a compartimentação hídrica celular, avaliada por bioimpedância multifrequencial, e os indicadores de performance neuromuscular via CMJ fornecidos pelo clube (BONGIOVANNI; TINSLEY; MARTERA et al., 2022). Através desta investigação, busca-se fundamentar intervenções nutricionais </w:t>
      </w:r>
      <w:r w:rsidR="00465023">
        <w:rPr>
          <w:sz w:val="24"/>
          <w:szCs w:val="24"/>
        </w:rPr>
        <w:t>qualificadas</w:t>
      </w:r>
      <w:r w:rsidRPr="003F5BD8">
        <w:rPr>
          <w:sz w:val="24"/>
          <w:szCs w:val="24"/>
        </w:rPr>
        <w:t xml:space="preserve"> que otimizem a saúde global e a potência atlética das jogadoras profissionais (HOLTZMAN; ACKERMAN, 2021).</w:t>
      </w:r>
    </w:p>
    <w:p w14:paraId="2941F16F" w14:textId="77777777" w:rsidR="003F5BD8" w:rsidRDefault="003F5BD8">
      <w:pPr>
        <w:spacing w:before="240" w:after="240" w:line="360" w:lineRule="auto"/>
        <w:jc w:val="both"/>
        <w:rPr>
          <w:sz w:val="24"/>
          <w:szCs w:val="24"/>
        </w:rPr>
      </w:pPr>
    </w:p>
    <w:p w14:paraId="0000000C" w14:textId="77777777" w:rsidR="00482274" w:rsidRDefault="00482274">
      <w:pPr>
        <w:spacing w:line="360" w:lineRule="auto"/>
        <w:jc w:val="both"/>
        <w:rPr>
          <w:sz w:val="24"/>
          <w:szCs w:val="24"/>
        </w:rPr>
      </w:pPr>
    </w:p>
    <w:p w14:paraId="0000000D" w14:textId="77777777" w:rsidR="00482274" w:rsidRDefault="00482274">
      <w:pPr>
        <w:spacing w:before="240" w:after="240" w:line="360" w:lineRule="auto"/>
        <w:ind w:left="360"/>
        <w:jc w:val="both"/>
        <w:rPr>
          <w:sz w:val="24"/>
          <w:szCs w:val="24"/>
        </w:rPr>
      </w:pPr>
    </w:p>
    <w:p w14:paraId="0000000E" w14:textId="77777777" w:rsidR="00482274" w:rsidRDefault="00482274">
      <w:pPr>
        <w:spacing w:before="240" w:after="240" w:line="360" w:lineRule="auto"/>
        <w:ind w:left="360"/>
        <w:jc w:val="both"/>
        <w:rPr>
          <w:sz w:val="24"/>
          <w:szCs w:val="24"/>
        </w:rPr>
      </w:pPr>
    </w:p>
    <w:p w14:paraId="0000000F" w14:textId="77777777" w:rsidR="00482274" w:rsidRDefault="00482274">
      <w:pPr>
        <w:spacing w:line="360" w:lineRule="auto"/>
        <w:jc w:val="both"/>
        <w:rPr>
          <w:sz w:val="24"/>
          <w:szCs w:val="24"/>
        </w:rPr>
      </w:pPr>
    </w:p>
    <w:sectPr w:rsidR="004822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4C433E-B768-4BE9-BD00-5311D33BE4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A14CF7-432A-41EF-9B4F-E224057ED9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00BBD"/>
    <w:multiLevelType w:val="multilevel"/>
    <w:tmpl w:val="26249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538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274"/>
    <w:rsid w:val="00205AB4"/>
    <w:rsid w:val="003F5BD8"/>
    <w:rsid w:val="00465023"/>
    <w:rsid w:val="00482274"/>
    <w:rsid w:val="004C7653"/>
    <w:rsid w:val="0074398F"/>
    <w:rsid w:val="00790875"/>
    <w:rsid w:val="007B1563"/>
    <w:rsid w:val="00855C8E"/>
    <w:rsid w:val="00B74CCC"/>
    <w:rsid w:val="00C94FCF"/>
    <w:rsid w:val="00DC4CC7"/>
    <w:rsid w:val="00FE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D4BE8"/>
  <w15:docId w15:val="{61E103FC-C250-4366-8A7D-1A07E908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1149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Miguel</cp:lastModifiedBy>
  <cp:revision>8</cp:revision>
  <dcterms:created xsi:type="dcterms:W3CDTF">2026-02-03T23:10:00Z</dcterms:created>
  <dcterms:modified xsi:type="dcterms:W3CDTF">2026-03-03T11:20:00Z</dcterms:modified>
</cp:coreProperties>
</file>