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41F0" w14:textId="650C8C49" w:rsidR="00D8116F" w:rsidRDefault="0031189A" w:rsidP="00D8116F">
      <w:pPr>
        <w:jc w:val="center"/>
        <w:rPr>
          <w:b/>
          <w:sz w:val="28"/>
          <w:szCs w:val="28"/>
        </w:rPr>
      </w:pPr>
      <w:r w:rsidRPr="0031189A">
        <w:rPr>
          <w:b/>
          <w:sz w:val="28"/>
          <w:szCs w:val="28"/>
        </w:rPr>
        <w:t>Captura e apresentação de antígenos</w:t>
      </w:r>
      <w:r>
        <w:rPr>
          <w:b/>
          <w:sz w:val="28"/>
          <w:szCs w:val="28"/>
        </w:rPr>
        <w:t xml:space="preserve"> – AULA 06 – 24.04.2025</w:t>
      </w:r>
    </w:p>
    <w:p w14:paraId="08FC6895" w14:textId="2581C1B6" w:rsidR="00D8116F" w:rsidRPr="00D8116F" w:rsidRDefault="00D8116F" w:rsidP="00D8116F">
      <w:pPr>
        <w:rPr>
          <w:bCs/>
          <w:sz w:val="24"/>
          <w:szCs w:val="24"/>
        </w:rPr>
      </w:pPr>
      <w:r w:rsidRPr="00D8116F">
        <w:rPr>
          <w:bCs/>
          <w:sz w:val="24"/>
          <w:szCs w:val="24"/>
        </w:rPr>
        <w:t xml:space="preserve">A </w:t>
      </w:r>
      <w:r w:rsidRPr="00D8116F">
        <w:rPr>
          <w:b/>
          <w:sz w:val="24"/>
          <w:szCs w:val="24"/>
        </w:rPr>
        <w:t>célula T naive</w:t>
      </w:r>
      <w:r w:rsidRPr="00D8116F">
        <w:rPr>
          <w:bCs/>
          <w:sz w:val="24"/>
          <w:szCs w:val="24"/>
        </w:rPr>
        <w:t xml:space="preserve"> depois que se transforma </w:t>
      </w:r>
      <w:r w:rsidRPr="00D8116F">
        <w:rPr>
          <w:b/>
          <w:sz w:val="24"/>
          <w:szCs w:val="24"/>
        </w:rPr>
        <w:t>efetora</w:t>
      </w:r>
      <w:r w:rsidRPr="00D8116F">
        <w:rPr>
          <w:bCs/>
          <w:sz w:val="24"/>
          <w:szCs w:val="24"/>
        </w:rPr>
        <w:t xml:space="preserve">, expandi numero de </w:t>
      </w:r>
      <w:r>
        <w:rPr>
          <w:bCs/>
          <w:sz w:val="24"/>
          <w:szCs w:val="24"/>
        </w:rPr>
        <w:t>célula</w:t>
      </w:r>
      <w:r w:rsidRPr="00D8116F">
        <w:rPr>
          <w:bCs/>
          <w:sz w:val="24"/>
          <w:szCs w:val="24"/>
        </w:rPr>
        <w:t xml:space="preserve"> iguais a ela (aumenta o sinal de resposta imune) </w:t>
      </w:r>
      <w:r w:rsidRPr="00D8116F">
        <w:rPr>
          <w:bCs/>
          <w:sz w:val="24"/>
          <w:szCs w:val="24"/>
        </w:rPr>
        <w:sym w:font="Wingdings" w:char="F0E0"/>
      </w:r>
      <w:r w:rsidRPr="00D8116F">
        <w:rPr>
          <w:bCs/>
          <w:sz w:val="24"/>
          <w:szCs w:val="24"/>
        </w:rPr>
        <w:t xml:space="preserve"> </w:t>
      </w:r>
      <w:r w:rsidRPr="00D8116F">
        <w:rPr>
          <w:b/>
          <w:sz w:val="24"/>
          <w:szCs w:val="24"/>
        </w:rPr>
        <w:t>Expansão clonal</w:t>
      </w:r>
      <w:r w:rsidRPr="00D8116F">
        <w:rPr>
          <w:bCs/>
          <w:sz w:val="24"/>
          <w:szCs w:val="24"/>
        </w:rPr>
        <w:t xml:space="preserve">. </w:t>
      </w:r>
    </w:p>
    <w:p w14:paraId="7E1664FC" w14:textId="7E40F69F" w:rsidR="00D8116F" w:rsidRDefault="00D8116F" w:rsidP="00D8116F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D8116F">
        <w:rPr>
          <w:bCs/>
          <w:sz w:val="24"/>
          <w:szCs w:val="24"/>
        </w:rPr>
        <w:t>Os clones fazem a mesma função da efetora.</w:t>
      </w:r>
    </w:p>
    <w:p w14:paraId="26E26109" w14:textId="4A83BD5E" w:rsidR="00D8116F" w:rsidRDefault="00D8116F" w:rsidP="00D8116F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efetora (T CD4+) secreta </w:t>
      </w:r>
      <w:r w:rsidRPr="00D8116F">
        <w:rPr>
          <w:b/>
          <w:sz w:val="24"/>
          <w:szCs w:val="24"/>
        </w:rPr>
        <w:t>citocinas</w:t>
      </w:r>
      <w:r>
        <w:rPr>
          <w:bCs/>
          <w:sz w:val="24"/>
          <w:szCs w:val="24"/>
        </w:rPr>
        <w:t xml:space="preserve"> e estimula o </w:t>
      </w:r>
      <w:r w:rsidRPr="00D8116F">
        <w:rPr>
          <w:b/>
          <w:sz w:val="24"/>
          <w:szCs w:val="24"/>
        </w:rPr>
        <w:t>macrófago</w:t>
      </w:r>
      <w:r>
        <w:rPr>
          <w:bCs/>
          <w:sz w:val="24"/>
          <w:szCs w:val="24"/>
        </w:rPr>
        <w:t xml:space="preserve"> a degradar o vírus.</w:t>
      </w:r>
    </w:p>
    <w:p w14:paraId="415CC723" w14:textId="2D753D39" w:rsidR="00D8116F" w:rsidRDefault="00D8116F" w:rsidP="00D8116F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 célula dendrítica potencializa cell T.</w:t>
      </w:r>
    </w:p>
    <w:p w14:paraId="0A23DD0B" w14:textId="77777777" w:rsidR="00844C74" w:rsidRDefault="00844C74" w:rsidP="00844C74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yellow"/>
        </w:rPr>
        <w:t>Estimulação da Imunidade Adaptativa</w:t>
      </w:r>
    </w:p>
    <w:p w14:paraId="1CE399A2" w14:textId="026A108E" w:rsidR="00844C74" w:rsidRPr="00844C74" w:rsidRDefault="00844C74" w:rsidP="00844C74">
      <w:pPr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t xml:space="preserve">1º sinal → </w:t>
      </w:r>
      <w:r w:rsidRPr="006F5621">
        <w:rPr>
          <w:b/>
          <w:sz w:val="24"/>
          <w:szCs w:val="24"/>
          <w:highlight w:val="green"/>
        </w:rPr>
        <w:t>antígeno</w:t>
      </w:r>
      <w:r w:rsidRPr="0031189A">
        <w:rPr>
          <w:b/>
          <w:sz w:val="24"/>
          <w:szCs w:val="24"/>
        </w:rPr>
        <w:t>, garante especificidade</w:t>
      </w:r>
      <w:r>
        <w:rPr>
          <w:b/>
          <w:sz w:val="24"/>
          <w:szCs w:val="24"/>
        </w:rPr>
        <w:t xml:space="preserve"> para ativar a resposta imune correta</w:t>
      </w:r>
      <w:r w:rsidRPr="00844C74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844C74">
        <w:rPr>
          <w:bCs/>
          <w:sz w:val="24"/>
          <w:szCs w:val="24"/>
        </w:rPr>
        <w:t>gera o segundo sinal</w:t>
      </w:r>
      <w:r>
        <w:rPr>
          <w:bCs/>
          <w:sz w:val="24"/>
          <w:szCs w:val="24"/>
        </w:rPr>
        <w:t xml:space="preserve"> e determina a </w:t>
      </w:r>
      <w:r w:rsidRPr="00844C74">
        <w:rPr>
          <w:b/>
          <w:sz w:val="24"/>
          <w:szCs w:val="24"/>
        </w:rPr>
        <w:t>especificidade</w:t>
      </w:r>
      <w:r>
        <w:rPr>
          <w:bCs/>
          <w:sz w:val="24"/>
          <w:szCs w:val="24"/>
        </w:rPr>
        <w:t xml:space="preserve">, selecionando quem é o </w:t>
      </w:r>
      <w:r w:rsidRPr="00844C74">
        <w:rPr>
          <w:b/>
          <w:sz w:val="24"/>
          <w:szCs w:val="24"/>
        </w:rPr>
        <w:t>receptor de cel T (TCR).</w:t>
      </w:r>
    </w:p>
    <w:p w14:paraId="62899CE3" w14:textId="6EA84A5F" w:rsidR="00844C74" w:rsidRDefault="00844C74" w:rsidP="00844C74">
      <w:pPr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t xml:space="preserve">2º sinal → </w:t>
      </w:r>
      <w:r>
        <w:rPr>
          <w:bCs/>
          <w:sz w:val="24"/>
          <w:szCs w:val="24"/>
        </w:rPr>
        <w:t xml:space="preserve">precisa de um </w:t>
      </w:r>
      <w:r w:rsidRPr="00844C74">
        <w:rPr>
          <w:b/>
          <w:sz w:val="24"/>
          <w:szCs w:val="24"/>
          <w:highlight w:val="green"/>
        </w:rPr>
        <w:t>coativador</w:t>
      </w:r>
      <w:r>
        <w:rPr>
          <w:bCs/>
          <w:sz w:val="24"/>
          <w:szCs w:val="24"/>
        </w:rPr>
        <w:t xml:space="preserve"> – </w:t>
      </w:r>
      <w:r>
        <w:rPr>
          <w:bCs/>
          <w:sz w:val="24"/>
          <w:szCs w:val="24"/>
        </w:rPr>
        <w:t xml:space="preserve">pode ser </w:t>
      </w:r>
      <w:r>
        <w:rPr>
          <w:bCs/>
          <w:sz w:val="24"/>
          <w:szCs w:val="24"/>
        </w:rPr>
        <w:t>proteína de membrana,</w:t>
      </w:r>
      <w:r>
        <w:rPr>
          <w:bCs/>
          <w:sz w:val="24"/>
          <w:szCs w:val="24"/>
        </w:rPr>
        <w:t xml:space="preserve"> citocina,</w:t>
      </w:r>
      <w:r>
        <w:rPr>
          <w:bCs/>
          <w:sz w:val="24"/>
          <w:szCs w:val="24"/>
        </w:rPr>
        <w:t xml:space="preserve"> várias moléculas funcionando como um 2° sinal</w:t>
      </w:r>
      <w:r>
        <w:rPr>
          <w:bCs/>
          <w:sz w:val="24"/>
          <w:szCs w:val="24"/>
        </w:rPr>
        <w:t xml:space="preserve"> (não importa tanto quem vai ser o coativador, pois vai depender da infecção que o 1° sinal vai reconhecer). </w:t>
      </w:r>
    </w:p>
    <w:p w14:paraId="5454A3C7" w14:textId="77777777" w:rsidR="00844C74" w:rsidRPr="0031189A" w:rsidRDefault="00844C74" w:rsidP="00844C74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844C74">
        <w:rPr>
          <w:b/>
          <w:sz w:val="24"/>
          <w:szCs w:val="24"/>
          <w:highlight w:val="green"/>
        </w:rPr>
        <w:t>coestimuladores</w:t>
      </w:r>
      <w:r w:rsidRPr="0031189A">
        <w:rPr>
          <w:bCs/>
          <w:sz w:val="24"/>
          <w:szCs w:val="24"/>
        </w:rPr>
        <w:t xml:space="preserve"> (para células T), </w:t>
      </w:r>
    </w:p>
    <w:p w14:paraId="4E1BF809" w14:textId="77777777" w:rsidR="00844C74" w:rsidRPr="0031189A" w:rsidRDefault="00844C74" w:rsidP="00844C74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6F5621">
        <w:rPr>
          <w:b/>
          <w:color w:val="FF0000"/>
          <w:sz w:val="24"/>
          <w:szCs w:val="24"/>
        </w:rPr>
        <w:t>citocinas</w:t>
      </w:r>
      <w:r w:rsidRPr="0031189A">
        <w:rPr>
          <w:bCs/>
          <w:sz w:val="24"/>
          <w:szCs w:val="24"/>
        </w:rPr>
        <w:t xml:space="preserve"> (para células T e B) </w:t>
      </w:r>
    </w:p>
    <w:p w14:paraId="22075CF2" w14:textId="77777777" w:rsidR="00844C74" w:rsidRDefault="00844C74" w:rsidP="00844C74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31189A">
        <w:rPr>
          <w:bCs/>
          <w:sz w:val="24"/>
          <w:szCs w:val="24"/>
        </w:rPr>
        <w:t>produtos da quebra do complemento (para células B).</w:t>
      </w:r>
    </w:p>
    <w:p w14:paraId="5200FA8A" w14:textId="69E9EF21" w:rsidR="006F5621" w:rsidRDefault="006F5621" w:rsidP="00844C74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6F5621">
        <w:rPr>
          <w:b/>
          <w:sz w:val="24"/>
          <w:szCs w:val="24"/>
        </w:rPr>
        <w:t>garante</w:t>
      </w:r>
      <w:r>
        <w:rPr>
          <w:bCs/>
          <w:sz w:val="24"/>
          <w:szCs w:val="24"/>
        </w:rPr>
        <w:t xml:space="preserve"> que não vai ser qualquer ativação para a respostas (tipo uma dupla-checagem).</w:t>
      </w:r>
    </w:p>
    <w:p w14:paraId="481F1FD2" w14:textId="020E972E" w:rsidR="00844C74" w:rsidRPr="00844C74" w:rsidRDefault="00844C74" w:rsidP="00844C74">
      <w:pPr>
        <w:pStyle w:val="PargrafodaLista"/>
        <w:jc w:val="center"/>
        <w:rPr>
          <w:bCs/>
          <w:sz w:val="24"/>
          <w:szCs w:val="24"/>
        </w:rPr>
      </w:pPr>
      <w:r w:rsidRPr="0031189A">
        <w:rPr>
          <w:bCs/>
          <w:sz w:val="24"/>
          <w:szCs w:val="24"/>
        </w:rPr>
        <w:drawing>
          <wp:inline distT="0" distB="0" distL="0" distR="0" wp14:anchorId="2D46BF36" wp14:editId="0124F66E">
            <wp:extent cx="2819400" cy="2593797"/>
            <wp:effectExtent l="0" t="0" r="0" b="0"/>
            <wp:docPr id="2079045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5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5912" cy="26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8A96" w14:textId="77777777" w:rsidR="00D8116F" w:rsidRDefault="00D8116F" w:rsidP="0031189A">
      <w:pPr>
        <w:rPr>
          <w:b/>
          <w:sz w:val="24"/>
          <w:szCs w:val="24"/>
          <w:highlight w:val="green"/>
        </w:rPr>
      </w:pPr>
    </w:p>
    <w:p w14:paraId="175490F1" w14:textId="066B6111" w:rsidR="0031189A" w:rsidRDefault="0031189A" w:rsidP="0031189A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green"/>
        </w:rPr>
        <w:t>CAPTURA DE ANTÍGENOS POR APCs</w:t>
      </w:r>
    </w:p>
    <w:p w14:paraId="2074F37A" w14:textId="0289D6FB" w:rsidR="0031189A" w:rsidRPr="0031189A" w:rsidRDefault="00D8116F" w:rsidP="0031189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Célula Dendrítica (</w:t>
      </w:r>
      <w:r w:rsidR="0031189A" w:rsidRPr="0031189A">
        <w:rPr>
          <w:b/>
          <w:sz w:val="24"/>
          <w:szCs w:val="24"/>
        </w:rPr>
        <w:t>DCs</w:t>
      </w:r>
      <w:r>
        <w:rPr>
          <w:b/>
          <w:sz w:val="24"/>
          <w:szCs w:val="24"/>
        </w:rPr>
        <w:t>)</w:t>
      </w:r>
      <w:r w:rsidR="0031189A" w:rsidRPr="0031189A">
        <w:rPr>
          <w:bCs/>
          <w:sz w:val="24"/>
          <w:szCs w:val="24"/>
        </w:rPr>
        <w:t xml:space="preserve">: </w:t>
      </w:r>
      <w:r w:rsidR="0031189A" w:rsidRPr="0031189A">
        <w:rPr>
          <w:b/>
          <w:sz w:val="24"/>
          <w:szCs w:val="24"/>
        </w:rPr>
        <w:t>Captura do antígeno</w:t>
      </w:r>
      <w:r w:rsidR="0031189A" w:rsidRPr="0031189A">
        <w:rPr>
          <w:bCs/>
          <w:sz w:val="24"/>
          <w:szCs w:val="24"/>
        </w:rPr>
        <w:t xml:space="preserve"> ou microrganismo → </w:t>
      </w:r>
      <w:r w:rsidR="0031189A" w:rsidRPr="0031189A">
        <w:rPr>
          <w:b/>
          <w:sz w:val="24"/>
          <w:szCs w:val="24"/>
        </w:rPr>
        <w:t>Ativação</w:t>
      </w:r>
      <w:r w:rsidR="0031189A" w:rsidRPr="0031189A">
        <w:rPr>
          <w:bCs/>
          <w:sz w:val="24"/>
          <w:szCs w:val="24"/>
        </w:rPr>
        <w:t xml:space="preserve"> → </w:t>
      </w:r>
      <w:r w:rsidR="0031189A" w:rsidRPr="0031189A">
        <w:rPr>
          <w:b/>
          <w:sz w:val="24"/>
          <w:szCs w:val="24"/>
        </w:rPr>
        <w:t>migração</w:t>
      </w:r>
      <w:r w:rsidR="0031189A" w:rsidRPr="0031189A">
        <w:rPr>
          <w:bCs/>
          <w:sz w:val="24"/>
          <w:szCs w:val="24"/>
        </w:rPr>
        <w:t xml:space="preserve"> para </w:t>
      </w:r>
      <w:r w:rsidR="0031189A" w:rsidRPr="00D8116F">
        <w:rPr>
          <w:b/>
          <w:color w:val="FF0000"/>
          <w:sz w:val="24"/>
          <w:szCs w:val="24"/>
        </w:rPr>
        <w:t>Linfonodos</w:t>
      </w:r>
      <w:r w:rsidR="0031189A" w:rsidRPr="0031189A">
        <w:rPr>
          <w:bCs/>
          <w:sz w:val="24"/>
          <w:szCs w:val="24"/>
        </w:rPr>
        <w:t xml:space="preserve"> </w:t>
      </w:r>
    </w:p>
    <w:p w14:paraId="315B1898" w14:textId="0F382D33" w:rsidR="0031189A" w:rsidRDefault="0031189A" w:rsidP="0031189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31189A">
        <w:rPr>
          <w:bCs/>
          <w:sz w:val="24"/>
          <w:szCs w:val="24"/>
        </w:rPr>
        <w:t xml:space="preserve">Antígenos livres → sangue → Baço → DCs → </w:t>
      </w:r>
      <w:r w:rsidRPr="00D8116F">
        <w:rPr>
          <w:b/>
          <w:sz w:val="24"/>
          <w:szCs w:val="24"/>
        </w:rPr>
        <w:t>cel T e B</w:t>
      </w:r>
    </w:p>
    <w:p w14:paraId="39264253" w14:textId="57B943A8" w:rsidR="00D8116F" w:rsidRPr="003C0642" w:rsidRDefault="00D8116F" w:rsidP="003C0642">
      <w:pPr>
        <w:ind w:left="360"/>
        <w:rPr>
          <w:b/>
          <w:sz w:val="24"/>
          <w:szCs w:val="24"/>
        </w:rPr>
      </w:pPr>
      <w:r w:rsidRPr="003C0642">
        <w:rPr>
          <w:b/>
          <w:sz w:val="24"/>
          <w:szCs w:val="24"/>
        </w:rPr>
        <w:t xml:space="preserve">Cel B </w:t>
      </w:r>
      <w:r w:rsidR="00844C74" w:rsidRPr="00844C74">
        <w:sym w:font="Wingdings" w:char="F0E0"/>
      </w:r>
      <w:r w:rsidR="00844C74" w:rsidRPr="003C0642">
        <w:rPr>
          <w:bCs/>
          <w:sz w:val="24"/>
          <w:szCs w:val="24"/>
        </w:rPr>
        <w:t xml:space="preserve"> vira </w:t>
      </w:r>
      <w:r w:rsidR="00844C74" w:rsidRPr="003C0642">
        <w:rPr>
          <w:b/>
          <w:sz w:val="24"/>
          <w:szCs w:val="24"/>
        </w:rPr>
        <w:t>plasmócito</w:t>
      </w:r>
      <w:r w:rsidR="00844C74" w:rsidRPr="003C0642">
        <w:rPr>
          <w:bCs/>
          <w:sz w:val="24"/>
          <w:szCs w:val="24"/>
        </w:rPr>
        <w:t xml:space="preserve"> recebendo um sinal fazendo com que ela comece a produzir novas proteínas, fazendo com que a maquinaria comece a funcionar </w:t>
      </w:r>
      <w:r w:rsidR="00844C74" w:rsidRPr="003C0642">
        <w:rPr>
          <w:bCs/>
          <w:sz w:val="24"/>
          <w:szCs w:val="24"/>
        </w:rPr>
        <w:lastRenderedPageBreak/>
        <w:t>diferente (</w:t>
      </w:r>
      <w:r w:rsidR="00844C74" w:rsidRPr="003C0642">
        <w:rPr>
          <w:b/>
          <w:sz w:val="24"/>
          <w:szCs w:val="24"/>
        </w:rPr>
        <w:t>mudança de fenótipo</w:t>
      </w:r>
      <w:r w:rsidR="00844C74" w:rsidRPr="003C0642">
        <w:rPr>
          <w:bCs/>
          <w:sz w:val="24"/>
          <w:szCs w:val="24"/>
        </w:rPr>
        <w:t>)</w:t>
      </w:r>
      <w:r w:rsidR="00844C74" w:rsidRPr="00844C74">
        <w:sym w:font="Wingdings" w:char="F0E0"/>
      </w:r>
      <w:r w:rsidR="00844C74" w:rsidRPr="003C0642">
        <w:rPr>
          <w:bCs/>
          <w:sz w:val="24"/>
          <w:szCs w:val="24"/>
        </w:rPr>
        <w:t xml:space="preserve">  para </w:t>
      </w:r>
      <w:r w:rsidR="00844C74">
        <w:sym w:font="Wingdings" w:char="F0E1"/>
      </w:r>
      <w:r w:rsidR="00844C74" w:rsidRPr="003C0642">
        <w:rPr>
          <w:bCs/>
          <w:sz w:val="24"/>
          <w:szCs w:val="24"/>
        </w:rPr>
        <w:t xml:space="preserve"> síntese proteica (anticorpo) dentro dessa célula, mas precisa ter informação do tipo do anticorpo que precisa ser feito.</w:t>
      </w:r>
    </w:p>
    <w:p w14:paraId="76114658" w14:textId="3F5DFC96" w:rsidR="0031189A" w:rsidRDefault="0031189A" w:rsidP="0031189A">
      <w:pPr>
        <w:jc w:val="center"/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drawing>
          <wp:inline distT="0" distB="0" distL="0" distR="0" wp14:anchorId="13AFCB6E" wp14:editId="090042EB">
            <wp:extent cx="3001504" cy="2819400"/>
            <wp:effectExtent l="0" t="0" r="0" b="0"/>
            <wp:docPr id="95405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51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595" cy="28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BF27" w14:textId="4DA9DFAB" w:rsidR="0031189A" w:rsidRDefault="0031189A" w:rsidP="0031189A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cyan"/>
        </w:rPr>
        <w:t>DCs: ativação e migração</w:t>
      </w:r>
    </w:p>
    <w:p w14:paraId="43A831F2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1189A">
        <w:rPr>
          <w:bCs/>
          <w:sz w:val="24"/>
          <w:szCs w:val="24"/>
        </w:rPr>
        <w:t xml:space="preserve">DCs </w:t>
      </w:r>
      <w:r w:rsidRPr="000343EC">
        <w:rPr>
          <w:b/>
          <w:sz w:val="24"/>
          <w:szCs w:val="24"/>
        </w:rPr>
        <w:t>capturam</w:t>
      </w:r>
      <w:r w:rsidRPr="0031189A">
        <w:rPr>
          <w:bCs/>
          <w:sz w:val="24"/>
          <w:szCs w:val="24"/>
        </w:rPr>
        <w:t xml:space="preserve"> antígeno </w:t>
      </w:r>
    </w:p>
    <w:p w14:paraId="685A533D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0343EC">
        <w:rPr>
          <w:b/>
          <w:sz w:val="24"/>
          <w:szCs w:val="24"/>
        </w:rPr>
        <w:t>Ligação</w:t>
      </w:r>
      <w:r w:rsidRPr="0031189A">
        <w:rPr>
          <w:bCs/>
          <w:sz w:val="24"/>
          <w:szCs w:val="24"/>
        </w:rPr>
        <w:t xml:space="preserve"> de outras moléculas aos RRP </w:t>
      </w:r>
    </w:p>
    <w:p w14:paraId="13EE5878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C0642">
        <w:rPr>
          <w:b/>
          <w:sz w:val="24"/>
          <w:szCs w:val="24"/>
        </w:rPr>
        <w:t>Ativação</w:t>
      </w:r>
      <w:r w:rsidRPr="0031189A">
        <w:rPr>
          <w:bCs/>
          <w:sz w:val="24"/>
          <w:szCs w:val="24"/>
        </w:rPr>
        <w:t xml:space="preserve"> de Cel endoteliais e Macrófagos </w:t>
      </w:r>
    </w:p>
    <w:p w14:paraId="14FD0755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C0642">
        <w:rPr>
          <w:b/>
          <w:sz w:val="24"/>
          <w:szCs w:val="24"/>
        </w:rPr>
        <w:t>Citocinas inflamatórias</w:t>
      </w:r>
      <w:r w:rsidRPr="0031189A">
        <w:rPr>
          <w:bCs/>
          <w:sz w:val="24"/>
          <w:szCs w:val="24"/>
        </w:rPr>
        <w:t xml:space="preserve"> (TNF, IL-1) </w:t>
      </w:r>
    </w:p>
    <w:p w14:paraId="144B4577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0343EC">
        <w:rPr>
          <w:b/>
          <w:sz w:val="24"/>
          <w:szCs w:val="24"/>
        </w:rPr>
        <w:t>Ativação</w:t>
      </w:r>
      <w:r w:rsidRPr="0031189A">
        <w:rPr>
          <w:bCs/>
          <w:sz w:val="24"/>
          <w:szCs w:val="24"/>
        </w:rPr>
        <w:t xml:space="preserve"> das DCs (alteração fenotípica </w:t>
      </w:r>
    </w:p>
    <w:p w14:paraId="4B99699F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0343EC">
        <w:rPr>
          <w:b/>
          <w:sz w:val="24"/>
          <w:szCs w:val="24"/>
        </w:rPr>
        <w:t>DC perde adesividade ao epitélio</w:t>
      </w:r>
      <w:r w:rsidRPr="0031189A">
        <w:rPr>
          <w:bCs/>
          <w:sz w:val="24"/>
          <w:szCs w:val="24"/>
        </w:rPr>
        <w:t xml:space="preserve"> → expressão de CCR7 (receptor quimiocina) </w:t>
      </w:r>
    </w:p>
    <w:p w14:paraId="4BCCDBAD" w14:textId="77777777" w:rsidR="0031189A" w:rsidRP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31189A">
        <w:rPr>
          <w:bCs/>
          <w:sz w:val="24"/>
          <w:szCs w:val="24"/>
        </w:rPr>
        <w:t xml:space="preserve">Endotélio linfático e cel estromais da zona T – quimiotaxia das DCs </w:t>
      </w:r>
    </w:p>
    <w:p w14:paraId="71F6E89E" w14:textId="086CAA45" w:rsidR="0031189A" w:rsidRDefault="0031189A" w:rsidP="003118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0343EC">
        <w:rPr>
          <w:b/>
          <w:sz w:val="24"/>
          <w:szCs w:val="24"/>
        </w:rPr>
        <w:t>Maturação</w:t>
      </w:r>
      <w:r w:rsidRPr="0031189A">
        <w:rPr>
          <w:bCs/>
          <w:sz w:val="24"/>
          <w:szCs w:val="24"/>
        </w:rPr>
        <w:t xml:space="preserve"> das DCs – expressão de MHC</w:t>
      </w:r>
    </w:p>
    <w:p w14:paraId="2921904B" w14:textId="652BFEBA" w:rsidR="000343EC" w:rsidRPr="000343EC" w:rsidRDefault="000343EC" w:rsidP="000343EC">
      <w:pPr>
        <w:rPr>
          <w:bCs/>
          <w:sz w:val="24"/>
          <w:szCs w:val="24"/>
        </w:rPr>
      </w:pPr>
      <w:r w:rsidRPr="000343E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0343EC">
        <w:rPr>
          <w:bCs/>
          <w:sz w:val="24"/>
          <w:szCs w:val="24"/>
        </w:rPr>
        <w:t>É por isso que demora para expressar os sintomas/respostas virais.</w:t>
      </w:r>
    </w:p>
    <w:p w14:paraId="62E852EC" w14:textId="3D0DAF99" w:rsidR="0031189A" w:rsidRDefault="0031189A" w:rsidP="0031189A">
      <w:pPr>
        <w:pStyle w:val="PargrafodaLista"/>
        <w:jc w:val="center"/>
        <w:rPr>
          <w:bCs/>
          <w:sz w:val="24"/>
          <w:szCs w:val="24"/>
        </w:rPr>
      </w:pPr>
      <w:r w:rsidRPr="0031189A">
        <w:rPr>
          <w:bCs/>
          <w:sz w:val="24"/>
          <w:szCs w:val="24"/>
        </w:rPr>
        <w:drawing>
          <wp:inline distT="0" distB="0" distL="0" distR="0" wp14:anchorId="2ED6F4F6" wp14:editId="5229BC36">
            <wp:extent cx="3261647" cy="2937933"/>
            <wp:effectExtent l="0" t="0" r="0" b="0"/>
            <wp:docPr id="2096488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840" cy="299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D18D" w14:textId="6384639F" w:rsidR="0031189A" w:rsidRDefault="0031189A" w:rsidP="0031189A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yellow"/>
        </w:rPr>
        <w:lastRenderedPageBreak/>
        <w:t>Estrutura do MHC</w:t>
      </w:r>
    </w:p>
    <w:p w14:paraId="385B7621" w14:textId="77777777" w:rsidR="000343EC" w:rsidRDefault="000343EC" w:rsidP="000343E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0343EC">
        <w:rPr>
          <w:bCs/>
          <w:sz w:val="24"/>
          <w:szCs w:val="24"/>
        </w:rPr>
        <w:t>Tipagem sanguínea</w:t>
      </w:r>
      <w:r>
        <w:rPr>
          <w:bCs/>
          <w:sz w:val="24"/>
          <w:szCs w:val="24"/>
        </w:rPr>
        <w:t>.</w:t>
      </w:r>
    </w:p>
    <w:p w14:paraId="7256DAD4" w14:textId="3348349E" w:rsidR="000343EC" w:rsidRDefault="000343EC" w:rsidP="000343E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0343EC">
        <w:rPr>
          <w:bCs/>
          <w:sz w:val="24"/>
          <w:szCs w:val="24"/>
        </w:rPr>
        <w:t xml:space="preserve"> </w:t>
      </w:r>
      <w:r w:rsidR="0044514D">
        <w:rPr>
          <w:bCs/>
          <w:sz w:val="24"/>
          <w:szCs w:val="24"/>
        </w:rPr>
        <w:t xml:space="preserve">Eritroblastose Fetal </w:t>
      </w:r>
      <w:r w:rsidR="0044514D" w:rsidRPr="0044514D">
        <w:rPr>
          <w:bCs/>
          <w:sz w:val="24"/>
          <w:szCs w:val="24"/>
        </w:rPr>
        <w:sym w:font="Wingdings" w:char="F0E0"/>
      </w:r>
      <w:r w:rsidR="0044514D">
        <w:rPr>
          <w:bCs/>
          <w:sz w:val="24"/>
          <w:szCs w:val="24"/>
        </w:rPr>
        <w:t xml:space="preserve"> vai ser identificado pela essa estrutura.</w:t>
      </w:r>
    </w:p>
    <w:p w14:paraId="3D8BC219" w14:textId="126F7B76" w:rsidR="0044514D" w:rsidRPr="0044514D" w:rsidRDefault="0044514D" w:rsidP="000343E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Aqui que vai o </w:t>
      </w:r>
      <w:r w:rsidRPr="0044514D">
        <w:rPr>
          <w:b/>
          <w:sz w:val="24"/>
          <w:szCs w:val="24"/>
        </w:rPr>
        <w:t>antígeno</w:t>
      </w:r>
    </w:p>
    <w:p w14:paraId="040ECE42" w14:textId="6E04ECF3" w:rsidR="0044514D" w:rsidRDefault="0044514D" w:rsidP="000343E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Classe I: </w:t>
      </w:r>
      <w:r>
        <w:rPr>
          <w:bCs/>
          <w:sz w:val="24"/>
          <w:szCs w:val="24"/>
        </w:rPr>
        <w:t xml:space="preserve">CD8 + </w:t>
      </w:r>
      <w:r w:rsidRPr="0044514D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todas as células com núcleo do corpo (principalmente pra vírus)</w:t>
      </w:r>
    </w:p>
    <w:p w14:paraId="026A0B2C" w14:textId="1C55D15D" w:rsidR="00655A58" w:rsidRPr="0044514D" w:rsidRDefault="00655A58" w:rsidP="00655A58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Pega o que está no </w:t>
      </w:r>
      <w:r>
        <w:rPr>
          <w:b/>
          <w:sz w:val="24"/>
          <w:szCs w:val="24"/>
        </w:rPr>
        <w:t xml:space="preserve">citosol </w:t>
      </w:r>
    </w:p>
    <w:p w14:paraId="1ECCA3C5" w14:textId="4BDAA45E" w:rsidR="0044514D" w:rsidRDefault="0044514D" w:rsidP="000343E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Classe II: </w:t>
      </w:r>
      <w:r>
        <w:rPr>
          <w:bCs/>
          <w:sz w:val="24"/>
          <w:szCs w:val="24"/>
        </w:rPr>
        <w:t xml:space="preserve">CD4 + </w:t>
      </w:r>
      <w:r w:rsidRPr="0044514D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é o que mais apresenta antígeno</w:t>
      </w:r>
    </w:p>
    <w:p w14:paraId="1D29B0E0" w14:textId="5A755F3B" w:rsidR="0044514D" w:rsidRPr="00655A58" w:rsidRDefault="00655A58" w:rsidP="00655A58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 w:rsidRPr="00655A58">
        <w:rPr>
          <w:bCs/>
          <w:sz w:val="24"/>
          <w:szCs w:val="24"/>
        </w:rPr>
        <w:t>Usado para cel</w:t>
      </w:r>
      <w:r w:rsidRPr="00655A58">
        <w:rPr>
          <w:b/>
          <w:sz w:val="24"/>
          <w:szCs w:val="24"/>
        </w:rPr>
        <w:t xml:space="preserve"> </w:t>
      </w:r>
      <w:r w:rsidR="0044514D" w:rsidRPr="00655A58">
        <w:rPr>
          <w:b/>
          <w:sz w:val="24"/>
          <w:szCs w:val="24"/>
        </w:rPr>
        <w:t xml:space="preserve">APCs </w:t>
      </w:r>
    </w:p>
    <w:p w14:paraId="396C48E3" w14:textId="5F4AA84E" w:rsidR="00655A58" w:rsidRPr="00655A58" w:rsidRDefault="00655A58" w:rsidP="00655A58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Pega o que está em </w:t>
      </w:r>
      <w:r w:rsidRPr="00655A58">
        <w:rPr>
          <w:b/>
          <w:sz w:val="24"/>
          <w:szCs w:val="24"/>
        </w:rPr>
        <w:t>vesículas</w:t>
      </w:r>
      <w:r>
        <w:rPr>
          <w:bCs/>
          <w:sz w:val="24"/>
          <w:szCs w:val="24"/>
        </w:rPr>
        <w:t>.</w:t>
      </w:r>
    </w:p>
    <w:p w14:paraId="2ACDC456" w14:textId="5C0E0DFB" w:rsidR="0031189A" w:rsidRDefault="0031189A" w:rsidP="00655A58">
      <w:pPr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drawing>
          <wp:inline distT="0" distB="0" distL="0" distR="0" wp14:anchorId="223B37BE" wp14:editId="1B54A377">
            <wp:extent cx="2296950" cy="2252133"/>
            <wp:effectExtent l="0" t="0" r="0" b="0"/>
            <wp:docPr id="1239425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335" cy="22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E7A" w14:textId="255A6C04" w:rsidR="0031189A" w:rsidRDefault="0031189A" w:rsidP="0031189A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green"/>
        </w:rPr>
        <w:t>Expressão do MHC</w:t>
      </w:r>
    </w:p>
    <w:p w14:paraId="40488D86" w14:textId="33E8B26A" w:rsidR="00655A58" w:rsidRPr="00655A58" w:rsidRDefault="0031189A" w:rsidP="00655A58">
      <w:pPr>
        <w:jc w:val="center"/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drawing>
          <wp:inline distT="0" distB="0" distL="0" distR="0" wp14:anchorId="6DD432DD" wp14:editId="3145883D">
            <wp:extent cx="4749800" cy="1768328"/>
            <wp:effectExtent l="0" t="0" r="0" b="0"/>
            <wp:docPr id="577395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5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605" cy="17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A799" w14:textId="04A926E6" w:rsidR="0031189A" w:rsidRDefault="0031189A" w:rsidP="0031189A">
      <w:pPr>
        <w:rPr>
          <w:b/>
          <w:sz w:val="24"/>
          <w:szCs w:val="24"/>
        </w:rPr>
      </w:pPr>
      <w:r w:rsidRPr="0031189A">
        <w:rPr>
          <w:b/>
          <w:sz w:val="24"/>
          <w:szCs w:val="24"/>
          <w:highlight w:val="cyan"/>
        </w:rPr>
        <w:t>MHC classe I e MHC classe II</w:t>
      </w:r>
    </w:p>
    <w:p w14:paraId="5B369BF9" w14:textId="05962085" w:rsidR="0031189A" w:rsidRDefault="0031189A" w:rsidP="0031189A">
      <w:pPr>
        <w:jc w:val="center"/>
        <w:rPr>
          <w:b/>
          <w:sz w:val="24"/>
          <w:szCs w:val="24"/>
        </w:rPr>
      </w:pPr>
      <w:r w:rsidRPr="0031189A">
        <w:rPr>
          <w:b/>
          <w:sz w:val="24"/>
          <w:szCs w:val="24"/>
        </w:rPr>
        <w:drawing>
          <wp:inline distT="0" distB="0" distL="0" distR="0" wp14:anchorId="081AFE9C" wp14:editId="388A7F05">
            <wp:extent cx="4588934" cy="1761996"/>
            <wp:effectExtent l="0" t="0" r="0" b="0"/>
            <wp:docPr id="970231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31101" name=""/>
                    <pic:cNvPicPr/>
                  </pic:nvPicPr>
                  <pic:blipFill rotWithShape="1">
                    <a:blip r:embed="rId10"/>
                    <a:srcRect l="988"/>
                    <a:stretch/>
                  </pic:blipFill>
                  <pic:spPr bwMode="auto">
                    <a:xfrm>
                      <a:off x="0" y="0"/>
                      <a:ext cx="4636027" cy="1780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4EB91" w14:textId="1FDDB2CE" w:rsidR="0031189A" w:rsidRPr="00844C74" w:rsidRDefault="0031189A" w:rsidP="00844C74">
      <w:pPr>
        <w:pStyle w:val="PargrafodaLista"/>
        <w:rPr>
          <w:bCs/>
          <w:sz w:val="24"/>
          <w:szCs w:val="24"/>
        </w:rPr>
      </w:pPr>
    </w:p>
    <w:sectPr w:rsidR="0031189A" w:rsidRPr="00844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B58"/>
    <w:multiLevelType w:val="hybridMultilevel"/>
    <w:tmpl w:val="8772C3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017D9"/>
    <w:multiLevelType w:val="hybridMultilevel"/>
    <w:tmpl w:val="AD0C2D52"/>
    <w:lvl w:ilvl="0" w:tplc="8A7E96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73E49"/>
    <w:multiLevelType w:val="hybridMultilevel"/>
    <w:tmpl w:val="8FD421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C5548"/>
    <w:multiLevelType w:val="hybridMultilevel"/>
    <w:tmpl w:val="3FFE3DFA"/>
    <w:lvl w:ilvl="0" w:tplc="3B1613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03745">
    <w:abstractNumId w:val="0"/>
  </w:num>
  <w:num w:numId="2" w16cid:durableId="262037652">
    <w:abstractNumId w:val="2"/>
  </w:num>
  <w:num w:numId="3" w16cid:durableId="649601777">
    <w:abstractNumId w:val="3"/>
  </w:num>
  <w:num w:numId="4" w16cid:durableId="1704551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9A"/>
    <w:rsid w:val="000343EC"/>
    <w:rsid w:val="000D41D1"/>
    <w:rsid w:val="0010417E"/>
    <w:rsid w:val="001741AE"/>
    <w:rsid w:val="00273F6F"/>
    <w:rsid w:val="0031189A"/>
    <w:rsid w:val="003C0642"/>
    <w:rsid w:val="0044514D"/>
    <w:rsid w:val="004600F2"/>
    <w:rsid w:val="00490DFD"/>
    <w:rsid w:val="00655A58"/>
    <w:rsid w:val="006F5621"/>
    <w:rsid w:val="00807B6E"/>
    <w:rsid w:val="00844C74"/>
    <w:rsid w:val="008D469D"/>
    <w:rsid w:val="00AB0ADD"/>
    <w:rsid w:val="00D8116F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950A3"/>
  <w15:chartTrackingRefBased/>
  <w15:docId w15:val="{4B18C8AD-A4CE-487A-BCE8-C3D3ECA7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18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18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8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18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18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18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18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1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2025-04-24T13:23:00Z</dcterms:created>
  <dcterms:modified xsi:type="dcterms:W3CDTF">2025-04-24T14:40:00Z</dcterms:modified>
</cp:coreProperties>
</file>