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7890D" w14:textId="095C43E3" w:rsidR="001741AE" w:rsidRDefault="00F83CF2" w:rsidP="004A0612">
      <w:pPr>
        <w:jc w:val="center"/>
        <w:rPr>
          <w:b/>
          <w:sz w:val="24"/>
          <w:szCs w:val="24"/>
        </w:rPr>
      </w:pPr>
      <w:r w:rsidRPr="008850A2">
        <w:rPr>
          <w:b/>
          <w:sz w:val="28"/>
          <w:szCs w:val="28"/>
          <w:highlight w:val="green"/>
        </w:rPr>
        <w:t xml:space="preserve">Nutrigenética e Nutrigenômica – </w:t>
      </w:r>
      <w:r w:rsidRPr="008850A2">
        <w:rPr>
          <w:b/>
          <w:sz w:val="24"/>
          <w:szCs w:val="24"/>
          <w:highlight w:val="green"/>
        </w:rPr>
        <w:t>aula 14</w:t>
      </w:r>
    </w:p>
    <w:p w14:paraId="14301C79" w14:textId="6F0DE6C6" w:rsidR="00F83CF2" w:rsidRDefault="00F83CF2" w:rsidP="00F83CF2">
      <w:pPr>
        <w:rPr>
          <w:b/>
          <w:sz w:val="28"/>
          <w:szCs w:val="28"/>
        </w:rPr>
      </w:pPr>
      <w:r w:rsidRPr="00715072">
        <w:rPr>
          <w:b/>
          <w:sz w:val="24"/>
          <w:szCs w:val="24"/>
          <w:highlight w:val="cyan"/>
        </w:rPr>
        <w:t>Nutrigenética</w:t>
      </w:r>
    </w:p>
    <w:p w14:paraId="54687F0B" w14:textId="77777777" w:rsidR="00F83CF2" w:rsidRDefault="00F83CF2" w:rsidP="00F83CF2">
      <w:pPr>
        <w:pStyle w:val="PargrafodaLista"/>
        <w:numPr>
          <w:ilvl w:val="0"/>
          <w:numId w:val="1"/>
        </w:numPr>
      </w:pPr>
      <w:r w:rsidRPr="00F83CF2">
        <w:t xml:space="preserve">Interações entre </w:t>
      </w:r>
      <w:r w:rsidRPr="00F83CF2">
        <w:rPr>
          <w:b/>
        </w:rPr>
        <w:t>hábitos dietéticos e o perfil genético</w:t>
      </w:r>
      <w:r w:rsidRPr="00F83CF2">
        <w:t xml:space="preserve"> de cada indivíduo.</w:t>
      </w:r>
    </w:p>
    <w:p w14:paraId="0737D432" w14:textId="77777777" w:rsidR="00F83CF2" w:rsidRDefault="00F83CF2" w:rsidP="00F83CF2">
      <w:pPr>
        <w:pStyle w:val="PargrafodaLista"/>
        <w:numPr>
          <w:ilvl w:val="0"/>
          <w:numId w:val="1"/>
        </w:numPr>
      </w:pPr>
      <w:r w:rsidRPr="00F83CF2">
        <w:t>Respostas individuais frente as modificações na dieta.</w:t>
      </w:r>
    </w:p>
    <w:p w14:paraId="2F3FE549" w14:textId="0AEE0C59" w:rsidR="00E05D83" w:rsidRPr="00E05D83" w:rsidRDefault="00E05D83" w:rsidP="00F83CF2">
      <w:pPr>
        <w:pStyle w:val="PargrafodaLista"/>
        <w:numPr>
          <w:ilvl w:val="0"/>
          <w:numId w:val="1"/>
        </w:numPr>
        <w:rPr>
          <w:b/>
        </w:rPr>
      </w:pPr>
      <w:r w:rsidRPr="00E05D83">
        <w:rPr>
          <w:b/>
        </w:rPr>
        <w:t>V</w:t>
      </w:r>
      <w:r w:rsidRPr="00E05D83">
        <w:rPr>
          <w:b/>
        </w:rPr>
        <w:t>ariação genética na resposta aos nutrientes e a outros insumos dietéticos</w:t>
      </w:r>
    </w:p>
    <w:p w14:paraId="1AA6FACE" w14:textId="5091DF7E" w:rsidR="00F83CF2" w:rsidRDefault="00F83CF2" w:rsidP="00F83CF2">
      <w:pPr>
        <w:pStyle w:val="PargrafodaLista"/>
        <w:numPr>
          <w:ilvl w:val="0"/>
          <w:numId w:val="1"/>
        </w:numPr>
      </w:pPr>
      <w:r w:rsidRPr="00F83CF2">
        <w:t>Diferenças são causadas pela presença ou ausência de marcadores biológicos específicos, polimorfismos genéticos.</w:t>
      </w:r>
    </w:p>
    <w:p w14:paraId="63546F32" w14:textId="5E0967D6" w:rsidR="00F83CF2" w:rsidRDefault="00F83CF2" w:rsidP="00F83CF2">
      <w:pPr>
        <w:pStyle w:val="PargrafodaLista"/>
        <w:numPr>
          <w:ilvl w:val="1"/>
          <w:numId w:val="1"/>
        </w:numPr>
      </w:pPr>
      <w:r w:rsidRPr="00F83CF2">
        <w:rPr>
          <w:b/>
        </w:rPr>
        <w:t>Polimorfismo</w:t>
      </w:r>
      <w:r>
        <w:t xml:space="preserve"> genéticos é decorrente de mutações (ex. dente do siso).</w:t>
      </w:r>
    </w:p>
    <w:p w14:paraId="3A01D210" w14:textId="38C46620" w:rsidR="00F83CF2" w:rsidRDefault="00F83CF2" w:rsidP="00F83CF2">
      <w:pPr>
        <w:jc w:val="both"/>
        <w:rPr>
          <w:b/>
        </w:rPr>
      </w:pPr>
      <w:r w:rsidRPr="00715072">
        <w:rPr>
          <w:b/>
          <w:highlight w:val="green"/>
        </w:rPr>
        <w:t>Epigenética</w:t>
      </w:r>
    </w:p>
    <w:p w14:paraId="2755B731" w14:textId="77777777" w:rsidR="00F83CF2" w:rsidRPr="00F83CF2" w:rsidRDefault="00F83CF2" w:rsidP="00F83CF2">
      <w:pPr>
        <w:pStyle w:val="PargrafodaLista"/>
        <w:numPr>
          <w:ilvl w:val="0"/>
          <w:numId w:val="1"/>
        </w:numPr>
        <w:jc w:val="both"/>
      </w:pPr>
      <w:r w:rsidRPr="00F83CF2">
        <w:t xml:space="preserve">Estudo das mudanças na atividade do gene que não envolvam alterações na sequência de DNA. </w:t>
      </w:r>
    </w:p>
    <w:p w14:paraId="372394F6" w14:textId="16E697AE" w:rsidR="00F83CF2" w:rsidRDefault="00F83CF2" w:rsidP="00F83CF2">
      <w:pPr>
        <w:pStyle w:val="PargrafodaLista"/>
        <w:numPr>
          <w:ilvl w:val="0"/>
          <w:numId w:val="1"/>
        </w:numPr>
        <w:jc w:val="both"/>
      </w:pPr>
      <w:r w:rsidRPr="00F83CF2">
        <w:t>Mecanismos epigenéticos modulam a expressão gênica através de mudanças conformacionais na cromatina (Metilação do DNA, Acetilação de Histonas).</w:t>
      </w:r>
    </w:p>
    <w:p w14:paraId="48AE96AA" w14:textId="2F17DEB8" w:rsidR="00F83CF2" w:rsidRDefault="00F83CF2" w:rsidP="00F83CF2">
      <w:pPr>
        <w:jc w:val="center"/>
        <w:rPr>
          <w:b/>
        </w:rPr>
      </w:pPr>
      <w:r>
        <w:rPr>
          <w:b/>
        </w:rPr>
        <w:t>Nutrigenética e a Epigenética</w:t>
      </w:r>
    </w:p>
    <w:p w14:paraId="34284DBF" w14:textId="28958FFA" w:rsidR="00F83CF2" w:rsidRDefault="00F83CF2" w:rsidP="00F83CF2">
      <w:pPr>
        <w:jc w:val="center"/>
        <w:rPr>
          <w:b/>
        </w:rPr>
      </w:pPr>
      <w:r w:rsidRPr="00F83CF2">
        <w:rPr>
          <w:b/>
        </w:rPr>
        <w:drawing>
          <wp:inline distT="0" distB="0" distL="0" distR="0" wp14:anchorId="1B7E801F" wp14:editId="63AE4589">
            <wp:extent cx="4387585" cy="2571750"/>
            <wp:effectExtent l="0" t="0" r="0" b="0"/>
            <wp:docPr id="1317240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0164" name=""/>
                    <pic:cNvPicPr/>
                  </pic:nvPicPr>
                  <pic:blipFill rotWithShape="1">
                    <a:blip r:embed="rId5"/>
                    <a:srcRect l="2539"/>
                    <a:stretch/>
                  </pic:blipFill>
                  <pic:spPr bwMode="auto">
                    <a:xfrm>
                      <a:off x="0" y="0"/>
                      <a:ext cx="4403619" cy="2581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79F23" w14:textId="3162E777" w:rsidR="00715072" w:rsidRDefault="00715072" w:rsidP="00715072">
      <w:pPr>
        <w:rPr>
          <w:b/>
        </w:rPr>
      </w:pPr>
      <w:r w:rsidRPr="00715072">
        <w:rPr>
          <w:b/>
          <w:highlight w:val="yellow"/>
        </w:rPr>
        <w:t>Polimorfismo</w:t>
      </w:r>
    </w:p>
    <w:p w14:paraId="6CF54EF7" w14:textId="082D8111" w:rsidR="00715072" w:rsidRDefault="00715072" w:rsidP="00715072">
      <w:pPr>
        <w:pStyle w:val="PargrafodaLista"/>
        <w:numPr>
          <w:ilvl w:val="0"/>
          <w:numId w:val="1"/>
        </w:numPr>
      </w:pPr>
      <w:r w:rsidRPr="00715072">
        <w:rPr>
          <w:b/>
        </w:rPr>
        <w:t>Conceito de polimorfismo</w:t>
      </w:r>
      <w:r w:rsidRPr="00715072">
        <w:t>: quando a alteração no DNA ocorre numa frequência maior que 1% na população</w:t>
      </w:r>
      <w:r>
        <w:t xml:space="preserve"> (mutação)</w:t>
      </w:r>
      <w:r w:rsidRPr="00715072">
        <w:t>.</w:t>
      </w:r>
    </w:p>
    <w:p w14:paraId="23DA8A65" w14:textId="11FC0535" w:rsidR="00715072" w:rsidRPr="00715072" w:rsidRDefault="00715072" w:rsidP="00715072">
      <w:pPr>
        <w:pStyle w:val="PargrafodaLista"/>
        <w:rPr>
          <w:b/>
        </w:rPr>
      </w:pPr>
      <w:r w:rsidRPr="00715072">
        <w:rPr>
          <w:b/>
        </w:rPr>
        <w:t xml:space="preserve">Formas mais comuns de polimorfismos: </w:t>
      </w:r>
    </w:p>
    <w:p w14:paraId="54159928" w14:textId="3E1B4438" w:rsidR="00715072" w:rsidRPr="00715072" w:rsidRDefault="00715072" w:rsidP="00715072">
      <w:pPr>
        <w:pStyle w:val="PargrafodaLista"/>
        <w:numPr>
          <w:ilvl w:val="0"/>
          <w:numId w:val="1"/>
        </w:numPr>
      </w:pPr>
      <w:r w:rsidRPr="00715072">
        <w:t>Dele</w:t>
      </w:r>
      <w:r w:rsidRPr="00715072">
        <w:rPr>
          <w:rFonts w:ascii="Calibri" w:hAnsi="Calibri" w:cs="Calibri"/>
        </w:rPr>
        <w:t>çõ</w:t>
      </w:r>
      <w:r w:rsidRPr="00715072">
        <w:t xml:space="preserve">es de </w:t>
      </w:r>
      <w:r w:rsidRPr="00715072">
        <w:t>nucleotídeos</w:t>
      </w:r>
      <w:r w:rsidRPr="00715072">
        <w:t xml:space="preserve">; </w:t>
      </w:r>
    </w:p>
    <w:p w14:paraId="6EBCAF51" w14:textId="77777777" w:rsidR="00715072" w:rsidRDefault="00715072" w:rsidP="00715072">
      <w:pPr>
        <w:pStyle w:val="PargrafodaLista"/>
        <w:numPr>
          <w:ilvl w:val="0"/>
          <w:numId w:val="1"/>
        </w:numPr>
      </w:pPr>
      <w:r w:rsidRPr="00715072">
        <w:rPr>
          <w:b/>
        </w:rPr>
        <w:t>SNPs</w:t>
      </w:r>
      <w:r w:rsidRPr="00715072">
        <w:t xml:space="preserve"> (polimorfismos de um único </w:t>
      </w:r>
      <w:r w:rsidRPr="00715072">
        <w:t>nucleotídeo</w:t>
      </w:r>
      <w:r w:rsidRPr="00715072">
        <w:t xml:space="preserve"> - Single Nucleotide Polymorphisms);</w:t>
      </w:r>
    </w:p>
    <w:p w14:paraId="7E6F54A1" w14:textId="77777777" w:rsidR="00715072" w:rsidRDefault="00715072" w:rsidP="00715072">
      <w:pPr>
        <w:pStyle w:val="PargrafodaLista"/>
        <w:numPr>
          <w:ilvl w:val="0"/>
          <w:numId w:val="1"/>
        </w:numPr>
      </w:pPr>
      <w:r w:rsidRPr="00715072">
        <w:t>Varia</w:t>
      </w:r>
      <w:r w:rsidRPr="00715072">
        <w:rPr>
          <w:rFonts w:ascii="Calibri" w:hAnsi="Calibri" w:cs="Calibri"/>
        </w:rPr>
        <w:t>çõ</w:t>
      </w:r>
      <w:r w:rsidRPr="00715072">
        <w:t>es no n</w:t>
      </w:r>
      <w:r w:rsidRPr="00715072">
        <w:rPr>
          <w:rFonts w:ascii="Calibri" w:hAnsi="Calibri" w:cs="Calibri"/>
        </w:rPr>
        <w:t>ú</w:t>
      </w:r>
      <w:r w:rsidRPr="00715072">
        <w:t>mero de sequ</w:t>
      </w:r>
      <w:r w:rsidRPr="00715072">
        <w:rPr>
          <w:rFonts w:ascii="Calibri" w:hAnsi="Calibri" w:cs="Calibri"/>
        </w:rPr>
        <w:t>ê</w:t>
      </w:r>
      <w:r w:rsidRPr="00715072">
        <w:t xml:space="preserve">ncias repetidas. </w:t>
      </w:r>
    </w:p>
    <w:p w14:paraId="25FFE61F" w14:textId="100E9DE0" w:rsidR="00715072" w:rsidRDefault="00715072" w:rsidP="00715072">
      <w:pPr>
        <w:ind w:left="360"/>
        <w:rPr>
          <w:b/>
        </w:rPr>
      </w:pPr>
      <w:r w:rsidRPr="00715072">
        <w:t>Doen</w:t>
      </w:r>
      <w:r w:rsidRPr="00715072">
        <w:rPr>
          <w:rFonts w:ascii="Calibri" w:hAnsi="Calibri" w:cs="Calibri"/>
        </w:rPr>
        <w:t>ç</w:t>
      </w:r>
      <w:r w:rsidRPr="00715072">
        <w:t>as associadas aos polimorfismos gen</w:t>
      </w:r>
      <w:r w:rsidRPr="00715072">
        <w:rPr>
          <w:rFonts w:ascii="Calibri" w:hAnsi="Calibri" w:cs="Calibri"/>
        </w:rPr>
        <w:t>é</w:t>
      </w:r>
      <w:r w:rsidRPr="00715072">
        <w:t>ticos s</w:t>
      </w:r>
      <w:r w:rsidRPr="00715072">
        <w:rPr>
          <w:rFonts w:ascii="Calibri" w:hAnsi="Calibri" w:cs="Calibri"/>
        </w:rPr>
        <w:t>ã</w:t>
      </w:r>
      <w:r w:rsidRPr="00715072">
        <w:t xml:space="preserve">o ditas </w:t>
      </w:r>
      <w:r w:rsidRPr="00715072">
        <w:rPr>
          <w:b/>
        </w:rPr>
        <w:t>multifatoriais</w:t>
      </w:r>
      <w:r w:rsidRPr="00715072">
        <w:t xml:space="preserve">, pois tem diversas </w:t>
      </w:r>
      <w:r w:rsidRPr="00715072">
        <w:rPr>
          <w:b/>
        </w:rPr>
        <w:t>causas ambientais e envolvem diferentes alelos</w:t>
      </w:r>
    </w:p>
    <w:p w14:paraId="7F5D15AE" w14:textId="6FF0F69B" w:rsidR="00715072" w:rsidRDefault="00715072" w:rsidP="00715072">
      <w:pPr>
        <w:rPr>
          <w:b/>
        </w:rPr>
      </w:pPr>
      <w:r>
        <w:rPr>
          <w:b/>
        </w:rPr>
        <w:t>Mutações – polimorfismo.</w:t>
      </w:r>
    </w:p>
    <w:p w14:paraId="429922AC" w14:textId="6C85535F" w:rsidR="00715072" w:rsidRPr="00715072" w:rsidRDefault="00715072" w:rsidP="00715072">
      <w:pPr>
        <w:pStyle w:val="PargrafodaLista"/>
        <w:numPr>
          <w:ilvl w:val="0"/>
          <w:numId w:val="1"/>
        </w:numPr>
        <w:rPr>
          <w:b/>
        </w:rPr>
      </w:pPr>
      <w:r>
        <w:t>Base nitrogenada.</w:t>
      </w:r>
    </w:p>
    <w:p w14:paraId="43A96383" w14:textId="6B6A6A85" w:rsidR="00715072" w:rsidRPr="00715072" w:rsidRDefault="00715072" w:rsidP="00715072">
      <w:pPr>
        <w:pStyle w:val="PargrafodaLista"/>
        <w:numPr>
          <w:ilvl w:val="0"/>
          <w:numId w:val="1"/>
        </w:numPr>
        <w:rPr>
          <w:b/>
        </w:rPr>
      </w:pPr>
      <w:r>
        <w:t>Equivale a outro códon/aminoácido.</w:t>
      </w:r>
    </w:p>
    <w:p w14:paraId="34B67701" w14:textId="4B5A3692" w:rsidR="00715072" w:rsidRPr="00D075E8" w:rsidRDefault="00715072" w:rsidP="00715072">
      <w:pPr>
        <w:pStyle w:val="PargrafodaLista"/>
        <w:numPr>
          <w:ilvl w:val="0"/>
          <w:numId w:val="1"/>
        </w:numPr>
        <w:rPr>
          <w:b/>
        </w:rPr>
      </w:pPr>
      <w:r>
        <w:t>Proteína instável e ineficaz.</w:t>
      </w:r>
    </w:p>
    <w:p w14:paraId="44C65CB7" w14:textId="77777777" w:rsidR="00D075E8" w:rsidRDefault="00D075E8" w:rsidP="00D075E8">
      <w:pPr>
        <w:jc w:val="center"/>
        <w:rPr>
          <w:b/>
        </w:rPr>
      </w:pPr>
    </w:p>
    <w:p w14:paraId="336ACD0F" w14:textId="23887392" w:rsidR="00D075E8" w:rsidRDefault="00D075E8" w:rsidP="00D075E8">
      <w:pPr>
        <w:jc w:val="center"/>
        <w:rPr>
          <w:b/>
        </w:rPr>
      </w:pPr>
      <w:r w:rsidRPr="00D075E8">
        <w:rPr>
          <w:b/>
          <w:highlight w:val="red"/>
        </w:rPr>
        <w:t>Nutrigenética e as Doenças Monogênicas</w:t>
      </w:r>
    </w:p>
    <w:p w14:paraId="41870E81" w14:textId="4C930DDE" w:rsidR="00D075E8" w:rsidRPr="00D075E8" w:rsidRDefault="00D075E8" w:rsidP="00D075E8">
      <w:r w:rsidRPr="00D075E8">
        <w:t xml:space="preserve">Doenças genéticas com influências nutricionais: </w:t>
      </w:r>
      <w:r w:rsidRPr="00D075E8">
        <w:rPr>
          <w:b/>
        </w:rPr>
        <w:t>Galactosemia, Fenilcetonúria</w:t>
      </w:r>
    </w:p>
    <w:p w14:paraId="23402797" w14:textId="7A340262" w:rsidR="00D075E8" w:rsidRPr="00B66C88" w:rsidRDefault="00B66C88" w:rsidP="00D075E8">
      <w:pPr>
        <w:pStyle w:val="PargrafodaLista"/>
        <w:numPr>
          <w:ilvl w:val="0"/>
          <w:numId w:val="1"/>
        </w:numPr>
        <w:rPr>
          <w:b/>
        </w:rPr>
      </w:pPr>
      <w:r w:rsidRPr="00D075E8">
        <w:rPr>
          <w:b/>
        </w:rPr>
        <w:t>Galactosemia</w:t>
      </w:r>
      <w:r>
        <w:rPr>
          <w:b/>
        </w:rPr>
        <w:t>:</w:t>
      </w:r>
      <w:r>
        <w:t xml:space="preserve"> d</w:t>
      </w:r>
      <w:r w:rsidR="00D075E8">
        <w:t xml:space="preserve">eficiência da enzima que degrada o carboidrato galactose, que está </w:t>
      </w:r>
      <w:r w:rsidR="00D075E8">
        <w:sym w:font="Wingdings" w:char="F0E1"/>
      </w:r>
      <w:r w:rsidR="00D075E8">
        <w:t xml:space="preserve"> no sangue do paciente. Assim não é metabolizado no interior da célula.</w:t>
      </w:r>
    </w:p>
    <w:p w14:paraId="673B5511" w14:textId="37859AC1" w:rsidR="00B66C88" w:rsidRPr="00D075E8" w:rsidRDefault="00B66C88" w:rsidP="00D075E8">
      <w:pPr>
        <w:pStyle w:val="PargrafodaLista"/>
        <w:numPr>
          <w:ilvl w:val="0"/>
          <w:numId w:val="1"/>
        </w:numPr>
        <w:rPr>
          <w:b/>
        </w:rPr>
      </w:pPr>
      <w:r w:rsidRPr="00B66C88">
        <w:rPr>
          <w:b/>
        </w:rPr>
        <w:t>Fenilcetonúria</w:t>
      </w:r>
      <w:r>
        <w:t>: presença de fenilalanina (a.a) na urina, pois tem a falta da enzima que degrada o a.a.</w:t>
      </w:r>
    </w:p>
    <w:p w14:paraId="1FAB2102" w14:textId="3C4EC396" w:rsidR="00D075E8" w:rsidRDefault="00D075E8" w:rsidP="00D075E8">
      <w:r w:rsidRPr="00D075E8">
        <w:rPr>
          <w:b/>
        </w:rPr>
        <w:t xml:space="preserve">Doenças crônicas: </w:t>
      </w:r>
      <w:r w:rsidRPr="00D075E8">
        <w:t xml:space="preserve">câncer, obesidade, diabetes e doenças cardiovasculares, estão cada vez mais comuns, e suas etiologias estão relacionadas a diversos </w:t>
      </w:r>
      <w:r w:rsidRPr="00B66C88">
        <w:rPr>
          <w:color w:val="4472C4" w:themeColor="accent1"/>
        </w:rPr>
        <w:t>fatores ambientais e genéticos</w:t>
      </w:r>
      <w:r w:rsidRPr="00D075E8">
        <w:t>.</w:t>
      </w:r>
    </w:p>
    <w:p w14:paraId="42D4DD3E" w14:textId="77777777" w:rsidR="00D075E8" w:rsidRPr="00D075E8" w:rsidRDefault="00D075E8" w:rsidP="00D075E8">
      <w:pPr>
        <w:pStyle w:val="PargrafodaLista"/>
        <w:numPr>
          <w:ilvl w:val="0"/>
          <w:numId w:val="1"/>
        </w:numPr>
      </w:pPr>
      <w:r w:rsidRPr="00D075E8">
        <w:t>Hábitos de vida de um indivíduo com alguma dessas doenças.</w:t>
      </w:r>
    </w:p>
    <w:p w14:paraId="10430391" w14:textId="77777777" w:rsidR="00D075E8" w:rsidRPr="00D075E8" w:rsidRDefault="00D075E8" w:rsidP="00D075E8">
      <w:pPr>
        <w:pStyle w:val="PargrafodaLista"/>
        <w:numPr>
          <w:ilvl w:val="0"/>
          <w:numId w:val="1"/>
        </w:numPr>
      </w:pPr>
      <w:r w:rsidRPr="00D075E8">
        <w:t>Perfil genético do afetado.</w:t>
      </w:r>
    </w:p>
    <w:p w14:paraId="78913A1F" w14:textId="75EC988E" w:rsidR="00D075E8" w:rsidRDefault="00D075E8" w:rsidP="00D075E8">
      <w:pPr>
        <w:pStyle w:val="PargrafodaLista"/>
        <w:numPr>
          <w:ilvl w:val="0"/>
          <w:numId w:val="1"/>
        </w:numPr>
      </w:pPr>
      <w:r w:rsidRPr="00D075E8">
        <w:t>Resposta ao ambiente</w:t>
      </w:r>
      <w:r>
        <w:t>.</w:t>
      </w:r>
    </w:p>
    <w:p w14:paraId="2016592E" w14:textId="0C1A07F1" w:rsidR="00122C34" w:rsidRPr="00122C34" w:rsidRDefault="00122C34" w:rsidP="00122C34">
      <w:pPr>
        <w:rPr>
          <w:color w:val="4472C4" w:themeColor="accent1"/>
        </w:rPr>
      </w:pPr>
      <w:r w:rsidRPr="00122C34">
        <w:rPr>
          <w:color w:val="4472C4" w:themeColor="accent1"/>
        </w:rPr>
        <w:t xml:space="preserve">Nutrigenética se torna muito mais abrangente </w:t>
      </w:r>
      <w:r w:rsidRPr="00122C34">
        <w:rPr>
          <w:color w:val="4472C4" w:themeColor="accent1"/>
        </w:rPr>
        <w:t>à</w:t>
      </w:r>
      <w:r w:rsidRPr="00122C34">
        <w:rPr>
          <w:color w:val="4472C4" w:themeColor="accent1"/>
        </w:rPr>
        <w:t xml:space="preserve"> medida que passa a focar nas características multifatoriais.</w:t>
      </w:r>
    </w:p>
    <w:p w14:paraId="6FE1AC1E" w14:textId="2B676A59" w:rsidR="00122C34" w:rsidRDefault="00122C34" w:rsidP="00122C34">
      <w:pPr>
        <w:rPr>
          <w:color w:val="4472C4" w:themeColor="accent1"/>
        </w:rPr>
      </w:pPr>
      <w:r w:rsidRPr="00122C34">
        <w:rPr>
          <w:color w:val="4472C4" w:themeColor="accent1"/>
        </w:rPr>
        <w:t>Hábitos alimentares influenciam de maneira diferente cada indivíduo, de acordo com seu perfil genético.</w:t>
      </w:r>
    </w:p>
    <w:p w14:paraId="665936CB" w14:textId="77777777" w:rsidR="00122C34" w:rsidRDefault="00122C34" w:rsidP="00122C34">
      <w:pPr>
        <w:rPr>
          <w:color w:val="4472C4" w:themeColor="accent1"/>
        </w:rPr>
      </w:pPr>
    </w:p>
    <w:p w14:paraId="54F82F88" w14:textId="5E7E77A1" w:rsidR="00122C34" w:rsidRDefault="00122C34" w:rsidP="00122C34">
      <w:pPr>
        <w:rPr>
          <w:b/>
          <w:sz w:val="24"/>
          <w:szCs w:val="24"/>
        </w:rPr>
      </w:pPr>
      <w:r w:rsidRPr="00122C34">
        <w:rPr>
          <w:b/>
          <w:sz w:val="24"/>
          <w:szCs w:val="24"/>
          <w:highlight w:val="green"/>
        </w:rPr>
        <w:t>NUTRIGENÔMICA</w:t>
      </w:r>
    </w:p>
    <w:p w14:paraId="34A812FA" w14:textId="77777777" w:rsidR="00122C34" w:rsidRPr="00122C34" w:rsidRDefault="00122C34" w:rsidP="00122C34">
      <w:pPr>
        <w:pStyle w:val="PargrafodaLista"/>
        <w:numPr>
          <w:ilvl w:val="0"/>
          <w:numId w:val="1"/>
        </w:numPr>
        <w:rPr>
          <w:b/>
          <w:bCs/>
        </w:rPr>
      </w:pPr>
      <w:r w:rsidRPr="00122C34">
        <w:t xml:space="preserve">Influências de fatores dietéticos sobre o genoma humano. Como os </w:t>
      </w:r>
      <w:r w:rsidRPr="00122C34">
        <w:rPr>
          <w:b/>
          <w:bCs/>
        </w:rPr>
        <w:t xml:space="preserve">nutrientes modificam a expressão gênica. </w:t>
      </w:r>
    </w:p>
    <w:p w14:paraId="46D4B966" w14:textId="004A122E" w:rsidR="00122C34" w:rsidRDefault="00122C34" w:rsidP="00122C34">
      <w:pPr>
        <w:pStyle w:val="PargrafodaLista"/>
        <w:numPr>
          <w:ilvl w:val="0"/>
          <w:numId w:val="1"/>
        </w:numPr>
      </w:pPr>
      <w:r w:rsidRPr="00122C34">
        <w:t>Melhor compreensão de como os componentes alimentares afetam as rotas metabólicas e homeostasia.</w:t>
      </w:r>
    </w:p>
    <w:p w14:paraId="5E362FFF" w14:textId="0746FEAB" w:rsidR="00122C34" w:rsidRDefault="00122C34" w:rsidP="00122C34">
      <w:pPr>
        <w:pStyle w:val="PargrafodaLista"/>
        <w:numPr>
          <w:ilvl w:val="0"/>
          <w:numId w:val="1"/>
        </w:numPr>
      </w:pPr>
      <w:r w:rsidRPr="00122C34">
        <w:rPr>
          <w:b/>
          <w:bCs/>
        </w:rPr>
        <w:t>Componentes nutricionais bioativos</w:t>
      </w:r>
      <w:r w:rsidRPr="00122C34">
        <w:t>: responsáveis por interagir com os genes, mudando sua expressão (</w:t>
      </w:r>
      <w:r w:rsidRPr="00122C34">
        <w:rPr>
          <w:b/>
          <w:bCs/>
        </w:rPr>
        <w:t>fatores de transcrição</w:t>
      </w:r>
      <w:r w:rsidRPr="00122C34">
        <w:t>) →</w:t>
      </w:r>
      <w:r>
        <w:t xml:space="preserve"> </w:t>
      </w:r>
      <w:r w:rsidRPr="00122C34">
        <w:t>provocando alterações fenotípicas</w:t>
      </w:r>
      <w:r>
        <w:t>.</w:t>
      </w:r>
    </w:p>
    <w:p w14:paraId="1D525351" w14:textId="77777777" w:rsidR="00122C34" w:rsidRDefault="00122C34" w:rsidP="00122C34">
      <w:pPr>
        <w:pStyle w:val="PargrafodaLista"/>
        <w:numPr>
          <w:ilvl w:val="0"/>
          <w:numId w:val="1"/>
        </w:numPr>
      </w:pPr>
      <w:r w:rsidRPr="00122C34">
        <w:rPr>
          <w:b/>
        </w:rPr>
        <w:t>Fatores de transcrição</w:t>
      </w:r>
      <w:r w:rsidRPr="00122C34">
        <w:t xml:space="preserve">: </w:t>
      </w:r>
    </w:p>
    <w:p w14:paraId="74CE659B" w14:textId="1344115A" w:rsidR="00122C34" w:rsidRDefault="00122C34" w:rsidP="00122C34">
      <w:pPr>
        <w:pStyle w:val="PargrafodaLista"/>
        <w:numPr>
          <w:ilvl w:val="1"/>
          <w:numId w:val="1"/>
        </w:numPr>
      </w:pPr>
      <w:r w:rsidRPr="00122C34">
        <w:t>Codificados por genes específicos</w:t>
      </w:r>
      <w:r>
        <w:t>.</w:t>
      </w:r>
      <w:r w:rsidRPr="00122C34">
        <w:t xml:space="preserve"> </w:t>
      </w:r>
    </w:p>
    <w:p w14:paraId="3FB16B4A" w14:textId="744EEF6D" w:rsidR="00122C34" w:rsidRDefault="00122C34" w:rsidP="00122C34">
      <w:pPr>
        <w:pStyle w:val="PargrafodaLista"/>
        <w:numPr>
          <w:ilvl w:val="1"/>
          <w:numId w:val="1"/>
        </w:numPr>
      </w:pPr>
      <w:r w:rsidRPr="00122C34">
        <w:t>Se ligam a regiões promotoras dos genes</w:t>
      </w:r>
      <w:r>
        <w:t>.</w:t>
      </w:r>
      <w:r w:rsidRPr="00122C34">
        <w:t xml:space="preserve"> </w:t>
      </w:r>
    </w:p>
    <w:p w14:paraId="6B81D2E3" w14:textId="622D0613" w:rsidR="00122C34" w:rsidRDefault="00122C34" w:rsidP="00122C34">
      <w:pPr>
        <w:pStyle w:val="PargrafodaLista"/>
        <w:numPr>
          <w:ilvl w:val="1"/>
          <w:numId w:val="1"/>
        </w:numPr>
      </w:pPr>
      <w:r w:rsidRPr="00122C34">
        <w:t>Envolvidos com o controle da expressão gênica</w:t>
      </w:r>
      <w:r>
        <w:t>.</w:t>
      </w:r>
      <w:r w:rsidRPr="00122C34">
        <w:t xml:space="preserve"> </w:t>
      </w:r>
    </w:p>
    <w:p w14:paraId="48BF8A1C" w14:textId="6E843D35" w:rsidR="00122C34" w:rsidRDefault="00122C34" w:rsidP="00122C34">
      <w:pPr>
        <w:pStyle w:val="PargrafodaLista"/>
        <w:numPr>
          <w:ilvl w:val="1"/>
          <w:numId w:val="1"/>
        </w:numPr>
      </w:pPr>
      <w:r w:rsidRPr="00122C34">
        <w:t>Responsáveis por modular a expressão do DNA, facilitando ou inibindo sua transcrição</w:t>
      </w:r>
      <w:r>
        <w:t>.</w:t>
      </w:r>
    </w:p>
    <w:p w14:paraId="075DF199" w14:textId="17907442" w:rsidR="003C6414" w:rsidRDefault="003C6414" w:rsidP="003C6414">
      <w:pPr>
        <w:pStyle w:val="PargrafodaLista"/>
        <w:ind w:left="1440"/>
        <w:jc w:val="center"/>
        <w:rPr>
          <w:b/>
        </w:rPr>
      </w:pPr>
      <w:r w:rsidRPr="003C6414">
        <w:rPr>
          <w:b/>
        </w:rPr>
        <w:t xml:space="preserve">Subdivisões da </w:t>
      </w:r>
      <w:r w:rsidRPr="003C6414">
        <w:rPr>
          <w:b/>
          <w:highlight w:val="green"/>
        </w:rPr>
        <w:t>NUTRIGENÔMICA</w:t>
      </w:r>
    </w:p>
    <w:p w14:paraId="3EDE3DB1" w14:textId="77777777" w:rsidR="003C6414" w:rsidRDefault="003C6414" w:rsidP="003C6414">
      <w:pPr>
        <w:pStyle w:val="PargrafodaLista"/>
        <w:numPr>
          <w:ilvl w:val="0"/>
          <w:numId w:val="1"/>
        </w:numPr>
      </w:pPr>
      <w:r w:rsidRPr="003C6414">
        <w:rPr>
          <w:b/>
          <w:color w:val="4472C4" w:themeColor="accent1"/>
        </w:rPr>
        <w:t>Transcriptômica</w:t>
      </w:r>
      <w:r w:rsidRPr="003C6414">
        <w:t xml:space="preserve">: analisa os produtos da </w:t>
      </w:r>
      <w:r w:rsidRPr="003C6414">
        <w:rPr>
          <w:b/>
          <w:bCs/>
        </w:rPr>
        <w:t>transcrição</w:t>
      </w:r>
      <w:r w:rsidRPr="003C6414">
        <w:t xml:space="preserve">, o RNA mensageiro, e suas alterações frente a um nutriente ou bioativo. </w:t>
      </w:r>
    </w:p>
    <w:p w14:paraId="4426D03D" w14:textId="77777777" w:rsidR="003C6414" w:rsidRDefault="003C6414" w:rsidP="003C6414">
      <w:pPr>
        <w:pStyle w:val="PargrafodaLista"/>
        <w:numPr>
          <w:ilvl w:val="0"/>
          <w:numId w:val="1"/>
        </w:numPr>
      </w:pPr>
      <w:r w:rsidRPr="003C6414">
        <w:rPr>
          <w:b/>
          <w:color w:val="4472C4" w:themeColor="accent1"/>
        </w:rPr>
        <w:t>Proteômica</w:t>
      </w:r>
      <w:r w:rsidRPr="003C6414">
        <w:t xml:space="preserve">: analisa o </w:t>
      </w:r>
      <w:r w:rsidRPr="003C6414">
        <w:rPr>
          <w:b/>
          <w:bCs/>
        </w:rPr>
        <w:t>conjunto de proteínas</w:t>
      </w:r>
      <w:r w:rsidRPr="003C6414">
        <w:t xml:space="preserve"> e as alterações sofridas quando na presença ou ausência de nutrientes e bioativos. </w:t>
      </w:r>
    </w:p>
    <w:p w14:paraId="3039FB5F" w14:textId="6817F1A6" w:rsidR="003C6414" w:rsidRDefault="003C6414" w:rsidP="003C6414">
      <w:pPr>
        <w:pStyle w:val="PargrafodaLista"/>
        <w:numPr>
          <w:ilvl w:val="0"/>
          <w:numId w:val="1"/>
        </w:numPr>
      </w:pPr>
      <w:r w:rsidRPr="003C6414">
        <w:rPr>
          <w:b/>
          <w:bCs/>
          <w:color w:val="4472C4" w:themeColor="accent1"/>
        </w:rPr>
        <w:t>Metabolômica</w:t>
      </w:r>
      <w:r w:rsidRPr="003C6414">
        <w:t xml:space="preserve">: analisa como se dá o controle do </w:t>
      </w:r>
      <w:r w:rsidRPr="003C6414">
        <w:rPr>
          <w:b/>
          <w:bCs/>
        </w:rPr>
        <w:t>transporte de determinado nutriente e metabólito</w:t>
      </w:r>
      <w:r w:rsidRPr="003C6414">
        <w:t xml:space="preserve"> na sua rota bioquímica.</w:t>
      </w:r>
      <w:r w:rsidR="000547D5">
        <w:t xml:space="preserve"> </w:t>
      </w:r>
    </w:p>
    <w:p w14:paraId="70222B2E" w14:textId="286AB044" w:rsidR="00EF54FB" w:rsidRDefault="00EF54FB" w:rsidP="003C6414">
      <w:pPr>
        <w:pStyle w:val="PargrafodaLista"/>
        <w:numPr>
          <w:ilvl w:val="0"/>
          <w:numId w:val="1"/>
        </w:numPr>
      </w:pPr>
      <w:r w:rsidRPr="00EF54FB">
        <w:rPr>
          <w:b/>
          <w:bCs/>
          <w:color w:val="4472C4" w:themeColor="accent1"/>
        </w:rPr>
        <w:t>Microbiômica</w:t>
      </w:r>
      <w:r w:rsidRPr="00EF54FB">
        <w:t>: ecologia microbiana das cavidades corporais, como a cavidade oral</w:t>
      </w:r>
    </w:p>
    <w:p w14:paraId="4DC5C594" w14:textId="7742DBCA" w:rsidR="0002371E" w:rsidRDefault="0002371E" w:rsidP="003C6414">
      <w:pPr>
        <w:pStyle w:val="PargrafodaLista"/>
        <w:numPr>
          <w:ilvl w:val="0"/>
          <w:numId w:val="1"/>
        </w:numPr>
      </w:pPr>
      <w:r w:rsidRPr="0002371E">
        <w:rPr>
          <w:b/>
          <w:bCs/>
          <w:color w:val="4472C4" w:themeColor="accent1"/>
        </w:rPr>
        <w:t>Farmacogenômica</w:t>
      </w:r>
      <w:r>
        <w:rPr>
          <w:b/>
          <w:bCs/>
          <w:color w:val="4472C4" w:themeColor="accent1"/>
        </w:rPr>
        <w:t>:</w:t>
      </w:r>
      <w:r w:rsidRPr="0002371E">
        <w:t xml:space="preserve"> envolve o uso de genômica para analisar as variações genéticas nos genes que codificam as enzimas que metabolizam os fármacos e usam essas informações para prever a </w:t>
      </w:r>
      <w:r w:rsidRPr="00B77370">
        <w:rPr>
          <w:b/>
          <w:bCs/>
        </w:rPr>
        <w:t>resposta a um fármaco</w:t>
      </w:r>
      <w:r w:rsidRPr="0002371E">
        <w:t xml:space="preserve">, que é conceitualmente semelhante </w:t>
      </w:r>
      <w:proofErr w:type="gramStart"/>
      <w:r w:rsidRPr="0002371E">
        <w:t>à</w:t>
      </w:r>
      <w:proofErr w:type="gramEnd"/>
      <w:r w:rsidRPr="0002371E">
        <w:t xml:space="preserve"> </w:t>
      </w:r>
      <w:r w:rsidRPr="008850A2">
        <w:rPr>
          <w:b/>
          <w:bCs/>
        </w:rPr>
        <w:t>genômica nutricional</w:t>
      </w:r>
      <w:r w:rsidRPr="0002371E">
        <w:t>.</w:t>
      </w:r>
    </w:p>
    <w:p w14:paraId="4B4103E7" w14:textId="008308B5" w:rsidR="000547D5" w:rsidRDefault="000547D5" w:rsidP="000547D5">
      <w:pPr>
        <w:pStyle w:val="PargrafodaLista"/>
        <w:jc w:val="center"/>
      </w:pPr>
      <w:r w:rsidRPr="000547D5">
        <w:lastRenderedPageBreak/>
        <w:drawing>
          <wp:inline distT="0" distB="0" distL="0" distR="0" wp14:anchorId="3DF1BD54" wp14:editId="23957E36">
            <wp:extent cx="5400040" cy="1583055"/>
            <wp:effectExtent l="0" t="0" r="0" b="0"/>
            <wp:docPr id="689706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D31" w14:textId="5968C1F3" w:rsidR="000547D5" w:rsidRDefault="000547D5" w:rsidP="000547D5">
      <w:pPr>
        <w:pStyle w:val="PargrafodaLista"/>
        <w:numPr>
          <w:ilvl w:val="0"/>
          <w:numId w:val="1"/>
        </w:numPr>
      </w:pPr>
      <w:r w:rsidRPr="000547D5">
        <w:rPr>
          <w:b/>
          <w:bCs/>
        </w:rPr>
        <w:t>Nutrigenética</w:t>
      </w:r>
      <w:r>
        <w:t xml:space="preserve"> já tem polimorfismo, já existe a alteração (ex. Galactosemia).</w:t>
      </w:r>
    </w:p>
    <w:p w14:paraId="6F17223F" w14:textId="63A89790" w:rsidR="000547D5" w:rsidRDefault="000547D5" w:rsidP="000547D5">
      <w:pPr>
        <w:pStyle w:val="PargrafodaLista"/>
        <w:numPr>
          <w:ilvl w:val="0"/>
          <w:numId w:val="1"/>
        </w:numPr>
      </w:pPr>
      <w:r w:rsidRPr="000547D5">
        <w:rPr>
          <w:b/>
          <w:bCs/>
        </w:rPr>
        <w:t>Nutrigenômica</w:t>
      </w:r>
      <w:r>
        <w:t xml:space="preserve"> é mais para frente, alimentos que tem bioativos para não proliferar o gene ruim.</w:t>
      </w:r>
    </w:p>
    <w:p w14:paraId="7520B38D" w14:textId="270AC157" w:rsidR="000547D5" w:rsidRPr="000547D5" w:rsidRDefault="000547D5" w:rsidP="000547D5">
      <w:pPr>
        <w:pStyle w:val="PargrafodaLista"/>
        <w:jc w:val="center"/>
        <w:rPr>
          <w:b/>
          <w:color w:val="70AD47" w:themeColor="accent6"/>
          <w:sz w:val="24"/>
          <w:szCs w:val="24"/>
        </w:rPr>
      </w:pPr>
      <w:r w:rsidRPr="000547D5">
        <w:rPr>
          <w:b/>
          <w:color w:val="70AD47" w:themeColor="accent6"/>
          <w:sz w:val="24"/>
          <w:szCs w:val="24"/>
        </w:rPr>
        <w:t>Por que estudar?</w:t>
      </w:r>
    </w:p>
    <w:p w14:paraId="5E68B226" w14:textId="140B7262" w:rsidR="000547D5" w:rsidRDefault="000547D5" w:rsidP="000547D5">
      <w:pPr>
        <w:pStyle w:val="PargrafodaLista"/>
        <w:numPr>
          <w:ilvl w:val="0"/>
          <w:numId w:val="1"/>
        </w:numPr>
      </w:pPr>
      <w:r w:rsidRPr="000547D5">
        <w:t>Nutrientes atuam, de forma direta ou indireta, no genoma humano, alterando sua expressão ou estrutura gênica.</w:t>
      </w:r>
    </w:p>
    <w:p w14:paraId="084F05C2" w14:textId="77777777" w:rsidR="000547D5" w:rsidRPr="000547D5" w:rsidRDefault="000547D5" w:rsidP="000547D5">
      <w:pPr>
        <w:pStyle w:val="PargrafodaLista"/>
        <w:numPr>
          <w:ilvl w:val="0"/>
          <w:numId w:val="1"/>
        </w:numPr>
        <w:rPr>
          <w:b/>
          <w:bCs/>
        </w:rPr>
      </w:pPr>
      <w:r w:rsidRPr="000547D5">
        <w:rPr>
          <w:b/>
          <w:bCs/>
        </w:rPr>
        <w:t>Hábitos alimentares são importantes fatores de risco para algumas doenças.</w:t>
      </w:r>
    </w:p>
    <w:p w14:paraId="259FC65E" w14:textId="4036906A" w:rsidR="000547D5" w:rsidRDefault="000547D5" w:rsidP="000547D5">
      <w:pPr>
        <w:pStyle w:val="PargrafodaLista"/>
        <w:numPr>
          <w:ilvl w:val="0"/>
          <w:numId w:val="1"/>
        </w:numPr>
      </w:pPr>
      <w:r w:rsidRPr="000547D5">
        <w:t>Alguns genes regulados pela dieta influenciam no início e/ou no desenvolvimento de doenças crônicas.</w:t>
      </w:r>
    </w:p>
    <w:p w14:paraId="714FDD37" w14:textId="77777777" w:rsidR="000547D5" w:rsidRDefault="000547D5" w:rsidP="000547D5">
      <w:pPr>
        <w:pStyle w:val="PargrafodaLista"/>
        <w:numPr>
          <w:ilvl w:val="0"/>
          <w:numId w:val="1"/>
        </w:numPr>
      </w:pPr>
      <w:r w:rsidRPr="000547D5">
        <w:t xml:space="preserve">Grau de </w:t>
      </w:r>
      <w:r w:rsidRPr="000547D5">
        <w:rPr>
          <w:b/>
          <w:bCs/>
        </w:rPr>
        <w:t>influência da dieta sob a saúde</w:t>
      </w:r>
      <w:r w:rsidRPr="000547D5">
        <w:t xml:space="preserve"> do indivíduo pode depender de fatores genéticos.</w:t>
      </w:r>
    </w:p>
    <w:p w14:paraId="43358D60" w14:textId="1DF8EAAE" w:rsidR="000547D5" w:rsidRPr="000547D5" w:rsidRDefault="000547D5" w:rsidP="000547D5">
      <w:pPr>
        <w:pStyle w:val="PargrafodaLista"/>
        <w:numPr>
          <w:ilvl w:val="0"/>
          <w:numId w:val="1"/>
        </w:numPr>
      </w:pPr>
      <w:r w:rsidRPr="000547D5">
        <w:t xml:space="preserve">Estratégias nutricionais baseadas nas necessidades nutricionais, no estado nutricional e no genótipo (dietas personalizadas), podem ser fatores de </w:t>
      </w:r>
      <w:r w:rsidRPr="000547D5">
        <w:rPr>
          <w:b/>
          <w:bCs/>
          <w:color w:val="4472C4" w:themeColor="accent1"/>
        </w:rPr>
        <w:t>prevenção de doenças e atuar na promoção da saúde.</w:t>
      </w:r>
    </w:p>
    <w:p w14:paraId="62306BDF" w14:textId="015FD330" w:rsidR="000547D5" w:rsidRDefault="000547D5" w:rsidP="000547D5">
      <w:pPr>
        <w:jc w:val="center"/>
      </w:pPr>
      <w:r w:rsidRPr="000547D5">
        <w:t xml:space="preserve">Identificação de uma grande variedade de genes que podem ser modificados por hábitos alimentares - </w:t>
      </w:r>
      <w:r w:rsidRPr="000547D5">
        <w:rPr>
          <w:b/>
          <w:bCs/>
        </w:rPr>
        <w:t>N</w:t>
      </w:r>
      <w:r w:rsidRPr="000547D5">
        <w:rPr>
          <w:b/>
          <w:bCs/>
        </w:rPr>
        <w:t>utrigenômica</w:t>
      </w:r>
      <w:r w:rsidRPr="000547D5">
        <w:t xml:space="preserve">, afim de incorporar estratégias alimentares personalizadas - </w:t>
      </w:r>
      <w:r w:rsidRPr="000547D5">
        <w:rPr>
          <w:b/>
          <w:bCs/>
        </w:rPr>
        <w:t>Nutrigenética</w:t>
      </w:r>
      <w:r w:rsidRPr="000547D5">
        <w:t>, visando a qualidade de vida, prevenção de doenças e a promoção da saúde.</w:t>
      </w:r>
    </w:p>
    <w:p w14:paraId="223D449A" w14:textId="4AB64339" w:rsidR="000547D5" w:rsidRDefault="000547D5" w:rsidP="000547D5">
      <w:pPr>
        <w:jc w:val="center"/>
      </w:pPr>
      <w:r w:rsidRPr="000547D5">
        <w:drawing>
          <wp:inline distT="0" distB="0" distL="0" distR="0" wp14:anchorId="4D3DBB3F" wp14:editId="2CFEE334">
            <wp:extent cx="2768600" cy="1953062"/>
            <wp:effectExtent l="0" t="0" r="0" b="0"/>
            <wp:docPr id="481235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5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621" cy="19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B62" w14:textId="77777777" w:rsidR="007473B8" w:rsidRPr="000547D5" w:rsidRDefault="007473B8" w:rsidP="007473B8"/>
    <w:sectPr w:rsidR="007473B8" w:rsidRPr="00054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1E7866"/>
    <w:multiLevelType w:val="hybridMultilevel"/>
    <w:tmpl w:val="65668D9E"/>
    <w:lvl w:ilvl="0" w:tplc="F118C7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CF2"/>
    <w:rsid w:val="0002371E"/>
    <w:rsid w:val="000547D5"/>
    <w:rsid w:val="000D41D1"/>
    <w:rsid w:val="0010417E"/>
    <w:rsid w:val="00122C34"/>
    <w:rsid w:val="001741AE"/>
    <w:rsid w:val="003C6414"/>
    <w:rsid w:val="004600F2"/>
    <w:rsid w:val="00490DFD"/>
    <w:rsid w:val="004A0612"/>
    <w:rsid w:val="00715072"/>
    <w:rsid w:val="007473B8"/>
    <w:rsid w:val="007838CB"/>
    <w:rsid w:val="00807B6E"/>
    <w:rsid w:val="008850A2"/>
    <w:rsid w:val="008D469D"/>
    <w:rsid w:val="00B66C88"/>
    <w:rsid w:val="00B77370"/>
    <w:rsid w:val="00C90B0A"/>
    <w:rsid w:val="00CD39B7"/>
    <w:rsid w:val="00D075E8"/>
    <w:rsid w:val="00E05D83"/>
    <w:rsid w:val="00EF54FB"/>
    <w:rsid w:val="00F8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4E79"/>
  <w15:chartTrackingRefBased/>
  <w15:docId w15:val="{06131E5F-ACC4-433E-B817-5C6709B7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3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711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10</cp:revision>
  <dcterms:created xsi:type="dcterms:W3CDTF">2024-10-15T10:43:00Z</dcterms:created>
  <dcterms:modified xsi:type="dcterms:W3CDTF">2024-10-15T13:12:00Z</dcterms:modified>
</cp:coreProperties>
</file>