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5536A5" w14:textId="28FAEF39" w:rsidR="004C7C2C" w:rsidRDefault="004C7C2C" w:rsidP="00970FF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C7C2C">
        <w:rPr>
          <w:rFonts w:ascii="Arial" w:hAnsi="Arial" w:cs="Arial"/>
          <w:b/>
          <w:bCs/>
        </w:rPr>
        <w:t>O corpo</w:t>
      </w:r>
      <w:r>
        <w:rPr>
          <w:rFonts w:ascii="Arial" w:hAnsi="Arial" w:cs="Arial"/>
        </w:rPr>
        <w:t xml:space="preserve"> é um</w:t>
      </w:r>
      <w:r w:rsidRPr="004C7C2C">
        <w:rPr>
          <w:rFonts w:ascii="Arial" w:hAnsi="Arial" w:cs="Arial"/>
        </w:rPr>
        <w:t xml:space="preserve"> constructo simbólico profundamente enraizado em contextos culturais e sociais. </w:t>
      </w:r>
      <w:r w:rsidRPr="005C5B3A">
        <w:rPr>
          <w:rFonts w:ascii="Arial" w:hAnsi="Arial" w:cs="Arial"/>
        </w:rPr>
        <w:t xml:space="preserve">ligado à </w:t>
      </w:r>
      <w:r w:rsidRPr="004C7C2C">
        <w:rPr>
          <w:rFonts w:ascii="Arial" w:hAnsi="Arial" w:cs="Arial"/>
        </w:rPr>
        <w:t>noção de pessoa e à maneira como diferentes sociedades definem o ser humano</w:t>
      </w:r>
      <w:r>
        <w:rPr>
          <w:rFonts w:ascii="Arial" w:hAnsi="Arial" w:cs="Arial"/>
        </w:rPr>
        <w:t xml:space="preserve">. Portanto, o corpo é um </w:t>
      </w:r>
      <w:r w:rsidRPr="004C7C2C">
        <w:rPr>
          <w:rFonts w:ascii="Arial" w:hAnsi="Arial" w:cs="Arial"/>
          <w:b/>
          <w:bCs/>
        </w:rPr>
        <w:t>objeto do conhecimento social</w:t>
      </w:r>
      <w:r>
        <w:rPr>
          <w:rFonts w:ascii="Arial" w:hAnsi="Arial" w:cs="Arial"/>
        </w:rPr>
        <w:t>,</w:t>
      </w:r>
      <w:r w:rsidRPr="005C5B3A">
        <w:rPr>
          <w:rFonts w:ascii="Arial" w:hAnsi="Arial" w:cs="Arial"/>
        </w:rPr>
        <w:t xml:space="preserve"> definido </w:t>
      </w:r>
      <w:r w:rsidRPr="004C7C2C">
        <w:rPr>
          <w:rFonts w:ascii="Arial" w:hAnsi="Arial" w:cs="Arial"/>
        </w:rPr>
        <w:t>pelas categorias culturais que lhe atribuem sentido.</w:t>
      </w:r>
      <w:r w:rsidR="00862405">
        <w:rPr>
          <w:rFonts w:ascii="Arial" w:hAnsi="Arial" w:cs="Arial"/>
        </w:rPr>
        <w:t xml:space="preserve"> O corpo</w:t>
      </w:r>
      <w:r w:rsidR="00A25F7F">
        <w:rPr>
          <w:rFonts w:ascii="Arial" w:hAnsi="Arial" w:cs="Arial"/>
        </w:rPr>
        <w:t xml:space="preserve"> é o contrário da mente.</w:t>
      </w:r>
    </w:p>
    <w:p w14:paraId="1158F038" w14:textId="77777777" w:rsidR="004C7C2C" w:rsidRPr="004C7C2C" w:rsidRDefault="004C7C2C" w:rsidP="00970FF8">
      <w:pPr>
        <w:pStyle w:val="PargrafodaLista"/>
        <w:rPr>
          <w:rFonts w:ascii="Arial" w:hAnsi="Arial" w:cs="Arial"/>
        </w:rPr>
      </w:pPr>
    </w:p>
    <w:p w14:paraId="30F72E2E" w14:textId="0C79ABEB" w:rsidR="004C7C2C" w:rsidRDefault="004C7C2C" w:rsidP="00970FF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C7C2C">
        <w:rPr>
          <w:rFonts w:ascii="Arial" w:hAnsi="Arial" w:cs="Arial"/>
          <w:b/>
          <w:bCs/>
        </w:rPr>
        <w:t>Modelo biomédico</w:t>
      </w:r>
      <w:r w:rsidRPr="004C7C2C">
        <w:rPr>
          <w:rFonts w:ascii="Arial" w:hAnsi="Arial" w:cs="Arial"/>
        </w:rPr>
        <w:t xml:space="preserve"> trata o corpo como uma entidade biológica e a doença como uma variação quantitativa do estado “normal” de saúde.</w:t>
      </w:r>
    </w:p>
    <w:p w14:paraId="0A65E8E3" w14:textId="749B7A9D" w:rsidR="00FB0B91" w:rsidRPr="004C7C2C" w:rsidRDefault="004C7C2C" w:rsidP="00970FF8">
      <w:pPr>
        <w:ind w:left="708"/>
        <w:rPr>
          <w:rFonts w:ascii="Arial" w:hAnsi="Arial" w:cs="Arial"/>
        </w:rPr>
      </w:pPr>
      <w:r w:rsidRPr="004C7C2C">
        <w:rPr>
          <w:rFonts w:ascii="Arial" w:hAnsi="Arial" w:cs="Arial"/>
          <w:u w:val="single"/>
        </w:rPr>
        <w:t>Canguilhem</w:t>
      </w:r>
      <w:r w:rsidRPr="004C7C2C">
        <w:rPr>
          <w:rFonts w:ascii="Arial" w:hAnsi="Arial" w:cs="Arial"/>
        </w:rPr>
        <w:t>, sugere que a doença deve ser entendida como um modo de vida alternativo</w:t>
      </w:r>
      <w:r w:rsidRPr="005C5B3A">
        <w:rPr>
          <w:rFonts w:ascii="Arial" w:hAnsi="Arial" w:cs="Arial"/>
        </w:rPr>
        <w:t xml:space="preserve">, enquanto </w:t>
      </w:r>
      <w:r w:rsidRPr="004C7C2C">
        <w:rPr>
          <w:rFonts w:ascii="Arial" w:hAnsi="Arial" w:cs="Arial"/>
          <w:u w:val="single"/>
        </w:rPr>
        <w:t>Foucault</w:t>
      </w:r>
      <w:r w:rsidRPr="004C7C2C">
        <w:rPr>
          <w:rFonts w:ascii="Arial" w:hAnsi="Arial" w:cs="Arial"/>
        </w:rPr>
        <w:t xml:space="preserve"> impõe um “olhar médico” normatizador sobre o corpo</w:t>
      </w:r>
      <w:r w:rsidR="00FB0B91">
        <w:rPr>
          <w:rFonts w:ascii="Arial" w:hAnsi="Arial" w:cs="Arial"/>
        </w:rPr>
        <w:t>.</w:t>
      </w:r>
    </w:p>
    <w:p w14:paraId="4F13EB97" w14:textId="77777777" w:rsidR="004C7C2C" w:rsidRPr="004C7C2C" w:rsidRDefault="004C7C2C" w:rsidP="00970FF8">
      <w:pPr>
        <w:pStyle w:val="PargrafodaLista"/>
        <w:rPr>
          <w:rFonts w:ascii="Arial" w:hAnsi="Arial" w:cs="Arial"/>
        </w:rPr>
      </w:pPr>
    </w:p>
    <w:p w14:paraId="6D0760A8" w14:textId="58C84D6D" w:rsidR="004C7C2C" w:rsidRDefault="004C7C2C" w:rsidP="00970FF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C7C2C">
        <w:rPr>
          <w:rFonts w:ascii="Arial" w:hAnsi="Arial" w:cs="Arial"/>
          <w:b/>
          <w:bCs/>
        </w:rPr>
        <w:t>Transformações sociais</w:t>
      </w:r>
      <w:r w:rsidRPr="004C7C2C">
        <w:rPr>
          <w:rFonts w:ascii="Arial" w:hAnsi="Arial" w:cs="Arial"/>
        </w:rPr>
        <w:t xml:space="preserve"> impactam diretamente a relação saúde-doença</w:t>
      </w:r>
      <w:r>
        <w:rPr>
          <w:rFonts w:ascii="Arial" w:hAnsi="Arial" w:cs="Arial"/>
        </w:rPr>
        <w:t xml:space="preserve">, pois esses conceitos estão sempre em evolução. </w:t>
      </w:r>
      <w:r w:rsidRPr="004C7C2C">
        <w:rPr>
          <w:rFonts w:ascii="Arial" w:hAnsi="Arial" w:cs="Arial"/>
        </w:rPr>
        <w:t>A antropologia da saúde,</w:t>
      </w:r>
      <w:r w:rsidRPr="005C5B3A">
        <w:rPr>
          <w:rFonts w:ascii="Arial" w:hAnsi="Arial" w:cs="Arial"/>
        </w:rPr>
        <w:t xml:space="preserve"> como explorada por Sarti, </w:t>
      </w:r>
      <w:r>
        <w:rPr>
          <w:rFonts w:ascii="Arial" w:hAnsi="Arial" w:cs="Arial"/>
        </w:rPr>
        <w:t xml:space="preserve">é </w:t>
      </w:r>
      <w:r w:rsidRPr="004C7C2C">
        <w:rPr>
          <w:rFonts w:ascii="Arial" w:hAnsi="Arial" w:cs="Arial"/>
        </w:rPr>
        <w:t>culturalmente</w:t>
      </w:r>
      <w:r>
        <w:rPr>
          <w:rFonts w:ascii="Arial" w:hAnsi="Arial" w:cs="Arial"/>
        </w:rPr>
        <w:t xml:space="preserve"> </w:t>
      </w:r>
      <w:r w:rsidRPr="004C7C2C">
        <w:rPr>
          <w:rFonts w:ascii="Arial" w:hAnsi="Arial" w:cs="Arial"/>
        </w:rPr>
        <w:t>construída e variam de acordo com as mudanças nas práticas sociais</w:t>
      </w:r>
      <w:r w:rsidR="00630962">
        <w:rPr>
          <w:rFonts w:ascii="Arial" w:hAnsi="Arial" w:cs="Arial"/>
        </w:rPr>
        <w:t>.</w:t>
      </w:r>
    </w:p>
    <w:p w14:paraId="0E714B93" w14:textId="77777777" w:rsidR="004C7C2C" w:rsidRDefault="004C7C2C" w:rsidP="00970FF8">
      <w:pPr>
        <w:pStyle w:val="PargrafodaLista"/>
        <w:rPr>
          <w:rFonts w:ascii="Arial" w:hAnsi="Arial" w:cs="Arial"/>
        </w:rPr>
      </w:pPr>
    </w:p>
    <w:p w14:paraId="128152AC" w14:textId="0C957D52" w:rsidR="004C7C2C" w:rsidRDefault="004C7C2C" w:rsidP="00970FF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C7C2C">
        <w:rPr>
          <w:rFonts w:ascii="Arial" w:hAnsi="Arial" w:cs="Arial"/>
          <w:b/>
          <w:bCs/>
        </w:rPr>
        <w:t>A prática da Nutrição</w:t>
      </w:r>
      <w:r w:rsidRPr="004C7C2C">
        <w:rPr>
          <w:rFonts w:ascii="Arial" w:hAnsi="Arial" w:cs="Arial"/>
        </w:rPr>
        <w:t>, reconhecer o corpo como um constructo social implica considerar não apenas as necessidades biológicas, mas também os significados culturais e sociais atribuídos à alimentação e ao corpo.</w:t>
      </w:r>
      <w:r>
        <w:rPr>
          <w:rFonts w:ascii="Arial" w:hAnsi="Arial" w:cs="Arial"/>
        </w:rPr>
        <w:t xml:space="preserve"> </w:t>
      </w:r>
      <w:r w:rsidRPr="004C7C2C">
        <w:rPr>
          <w:rFonts w:ascii="Arial" w:hAnsi="Arial" w:cs="Arial"/>
        </w:rPr>
        <w:t>É crucial considerar os contextos culturais dos pacientes, seus valores e crenças em relação à alimentação, saúde e corpo</w:t>
      </w:r>
      <w:r w:rsidR="006150B6">
        <w:rPr>
          <w:rFonts w:ascii="Arial" w:hAnsi="Arial" w:cs="Arial"/>
        </w:rPr>
        <w:t>.</w:t>
      </w:r>
    </w:p>
    <w:p w14:paraId="28958D39" w14:textId="77777777" w:rsidR="004C7C2C" w:rsidRPr="004C7C2C" w:rsidRDefault="004C7C2C" w:rsidP="00970FF8">
      <w:pPr>
        <w:pStyle w:val="PargrafodaLista"/>
        <w:rPr>
          <w:rFonts w:ascii="Arial" w:hAnsi="Arial" w:cs="Arial"/>
        </w:rPr>
      </w:pPr>
    </w:p>
    <w:p w14:paraId="48881B8B" w14:textId="6721823B" w:rsidR="004C7C2C" w:rsidRDefault="004C7C2C" w:rsidP="00970FF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C7C2C">
        <w:rPr>
          <w:rFonts w:ascii="Arial" w:hAnsi="Arial" w:cs="Arial"/>
        </w:rPr>
        <w:t xml:space="preserve">A </w:t>
      </w:r>
      <w:r w:rsidRPr="004C7C2C">
        <w:rPr>
          <w:rFonts w:ascii="Arial" w:hAnsi="Arial" w:cs="Arial"/>
          <w:b/>
          <w:bCs/>
        </w:rPr>
        <w:t>antropologia médica</w:t>
      </w:r>
      <w:r w:rsidRPr="004C7C2C">
        <w:rPr>
          <w:rFonts w:ascii="Arial" w:hAnsi="Arial" w:cs="Arial"/>
        </w:rPr>
        <w:t xml:space="preserve"> geralmente se concentra na interação entre sistemas médicos tradicionais e a biomedicina</w:t>
      </w:r>
      <w:r>
        <w:rPr>
          <w:rFonts w:ascii="Arial" w:hAnsi="Arial" w:cs="Arial"/>
        </w:rPr>
        <w:t xml:space="preserve">. </w:t>
      </w:r>
      <w:r w:rsidRPr="004C7C2C">
        <w:rPr>
          <w:rFonts w:ascii="Arial" w:hAnsi="Arial" w:cs="Arial"/>
          <w:b/>
          <w:bCs/>
        </w:rPr>
        <w:t>Antropologia da saúde</w:t>
      </w:r>
      <w:r w:rsidRPr="004C7C2C">
        <w:rPr>
          <w:rFonts w:ascii="Arial" w:hAnsi="Arial" w:cs="Arial"/>
        </w:rPr>
        <w:t xml:space="preserve"> busca entender o corpo, a saúde e a doença dentro de seus contextos culturais e sociais sem subordinar-se ao paradigma biomédico.</w:t>
      </w:r>
    </w:p>
    <w:p w14:paraId="409E79E3" w14:textId="77777777" w:rsidR="004C7C2C" w:rsidRPr="004C7C2C" w:rsidRDefault="004C7C2C" w:rsidP="00970FF8">
      <w:pPr>
        <w:pStyle w:val="PargrafodaLista"/>
        <w:rPr>
          <w:rFonts w:ascii="Arial" w:hAnsi="Arial" w:cs="Arial"/>
        </w:rPr>
      </w:pPr>
    </w:p>
    <w:p w14:paraId="1AE43A54" w14:textId="49CEAF45" w:rsidR="004C7C2C" w:rsidRPr="004C7C2C" w:rsidRDefault="004C7C2C" w:rsidP="00970FF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4C7C2C">
        <w:rPr>
          <w:rFonts w:ascii="Arial" w:hAnsi="Arial" w:cs="Arial"/>
          <w:b/>
          <w:bCs/>
        </w:rPr>
        <w:t>Definição social de corpo</w:t>
      </w:r>
      <w:r w:rsidRPr="004C7C2C">
        <w:rPr>
          <w:rFonts w:ascii="Arial" w:hAnsi="Arial" w:cs="Arial"/>
        </w:rPr>
        <w:t xml:space="preserve"> é aquela que considera o corpo não apenas como uma entidade física, mas como um produto das relações sociais e culturais.</w:t>
      </w:r>
      <w:r>
        <w:rPr>
          <w:rFonts w:ascii="Arial" w:hAnsi="Arial" w:cs="Arial"/>
        </w:rPr>
        <w:t xml:space="preserve"> O corpo é </w:t>
      </w:r>
      <w:r w:rsidRPr="004C7C2C">
        <w:rPr>
          <w:rFonts w:ascii="Arial" w:hAnsi="Arial" w:cs="Arial"/>
        </w:rPr>
        <w:t>moldado por práticas sociais, discursos culturais e experiências individuais</w:t>
      </w:r>
      <w:r w:rsidRPr="005C5B3A">
        <w:rPr>
          <w:rFonts w:ascii="Arial" w:hAnsi="Arial" w:cs="Arial"/>
        </w:rPr>
        <w:t xml:space="preserve">, e que </w:t>
      </w:r>
      <w:r w:rsidRPr="004C7C2C">
        <w:rPr>
          <w:rFonts w:ascii="Arial" w:hAnsi="Arial" w:cs="Arial"/>
        </w:rPr>
        <w:t>ele é compreendido de maneira diversa em diferentes sociedades</w:t>
      </w:r>
      <w:r w:rsidRPr="005C5B3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</w:t>
      </w:r>
      <w:r w:rsidRPr="005C5B3A">
        <w:rPr>
          <w:rFonts w:ascii="Arial" w:hAnsi="Arial" w:cs="Arial"/>
        </w:rPr>
        <w:t xml:space="preserve">emos </w:t>
      </w:r>
      <w:r w:rsidRPr="004C7C2C">
        <w:rPr>
          <w:rFonts w:ascii="Arial" w:hAnsi="Arial" w:cs="Arial"/>
        </w:rPr>
        <w:t>múltiplas concepções de corpo que variam de acordo com o contexto social e histórico.</w:t>
      </w:r>
    </w:p>
    <w:sectPr w:rsidR="004C7C2C" w:rsidRPr="004C7C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F762A2"/>
    <w:multiLevelType w:val="hybridMultilevel"/>
    <w:tmpl w:val="96CCAD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49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2C"/>
    <w:rsid w:val="00162DD7"/>
    <w:rsid w:val="0045151F"/>
    <w:rsid w:val="004C7C2C"/>
    <w:rsid w:val="006150B6"/>
    <w:rsid w:val="00630962"/>
    <w:rsid w:val="00862405"/>
    <w:rsid w:val="00970FF8"/>
    <w:rsid w:val="00A25F7F"/>
    <w:rsid w:val="00F70231"/>
    <w:rsid w:val="00FB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05145"/>
  <w15:chartTrackingRefBased/>
  <w15:docId w15:val="{E5A604EC-3252-4523-959F-ECCC87D01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C7C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290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8</cp:revision>
  <dcterms:created xsi:type="dcterms:W3CDTF">2024-08-11T22:09:00Z</dcterms:created>
  <dcterms:modified xsi:type="dcterms:W3CDTF">2024-08-12T10:52:00Z</dcterms:modified>
</cp:coreProperties>
</file>