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60747" w14:textId="05B8FC71" w:rsidR="00A81379" w:rsidRPr="00A81379" w:rsidRDefault="00A81379" w:rsidP="00A81379">
      <w:pPr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MECANISMOS DE SINALIZAÇÃO INTRACELULAR</w:t>
      </w:r>
      <w:r w:rsidRPr="00A81379">
        <w:drawing>
          <wp:inline distT="0" distB="0" distL="0" distR="0" wp14:anchorId="538F38CB" wp14:editId="6B1A5941">
            <wp:extent cx="5240712" cy="2453005"/>
            <wp:effectExtent l="0" t="0" r="0" b="0"/>
            <wp:docPr id="1761745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5234" name=""/>
                    <pic:cNvPicPr/>
                  </pic:nvPicPr>
                  <pic:blipFill rotWithShape="1">
                    <a:blip r:embed="rId5"/>
                    <a:srcRect l="2950"/>
                    <a:stretch/>
                  </pic:blipFill>
                  <pic:spPr bwMode="auto">
                    <a:xfrm>
                      <a:off x="0" y="0"/>
                      <a:ext cx="5240712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1B899" w14:textId="7268FC04" w:rsidR="00A81379" w:rsidRDefault="00A81379" w:rsidP="00A81379">
      <w:pPr>
        <w:ind w:firstLine="708"/>
      </w:pPr>
      <w:r w:rsidRPr="00A81379">
        <w:drawing>
          <wp:inline distT="0" distB="0" distL="0" distR="0" wp14:anchorId="40990968" wp14:editId="083E1B27">
            <wp:extent cx="5400040" cy="2745105"/>
            <wp:effectExtent l="0" t="0" r="0" b="0"/>
            <wp:docPr id="1788729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9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C13C" w14:textId="25D4A823" w:rsidR="00A81379" w:rsidRDefault="00A81379" w:rsidP="00A81379">
      <w:pPr>
        <w:pStyle w:val="PargrafodaLista"/>
        <w:numPr>
          <w:ilvl w:val="0"/>
          <w:numId w:val="1"/>
        </w:numPr>
      </w:pPr>
      <w:r>
        <w:t>O fosfato muda a conformação da estrutura.</w:t>
      </w:r>
    </w:p>
    <w:p w14:paraId="2A9E2C45" w14:textId="0731C962" w:rsidR="00A81379" w:rsidRDefault="00A81379" w:rsidP="00A81379">
      <w:pPr>
        <w:ind w:firstLine="708"/>
      </w:pPr>
      <w:r w:rsidRPr="00A81379">
        <w:drawing>
          <wp:inline distT="0" distB="0" distL="0" distR="0" wp14:anchorId="1C0771AC" wp14:editId="0DDBB4BC">
            <wp:extent cx="5292436" cy="2636260"/>
            <wp:effectExtent l="0" t="0" r="0" b="0"/>
            <wp:docPr id="97745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265" cy="263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D088" w14:textId="290A6D94" w:rsidR="00A81379" w:rsidRDefault="00A81379" w:rsidP="00A81379">
      <w:pPr>
        <w:pStyle w:val="PargrafodaLista"/>
        <w:numPr>
          <w:ilvl w:val="0"/>
          <w:numId w:val="1"/>
        </w:numPr>
      </w:pPr>
      <w:r>
        <w:t>Adiciona fosfato nesses resíduos de aminoácidos.</w:t>
      </w:r>
    </w:p>
    <w:p w14:paraId="711DACFC" w14:textId="59AB9B29" w:rsidR="00A81379" w:rsidRDefault="00A81379" w:rsidP="00A81379">
      <w:pPr>
        <w:ind w:firstLine="708"/>
      </w:pPr>
      <w:r w:rsidRPr="00A81379">
        <w:lastRenderedPageBreak/>
        <w:drawing>
          <wp:inline distT="0" distB="0" distL="0" distR="0" wp14:anchorId="276C64F7" wp14:editId="2358C0CB">
            <wp:extent cx="5400040" cy="2127250"/>
            <wp:effectExtent l="0" t="0" r="0" b="0"/>
            <wp:docPr id="122976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9865" w14:textId="680F486E" w:rsidR="00A81379" w:rsidRDefault="00A81379" w:rsidP="00A81379">
      <w:pPr>
        <w:pStyle w:val="PargrafodaLista"/>
        <w:numPr>
          <w:ilvl w:val="0"/>
          <w:numId w:val="1"/>
        </w:numPr>
      </w:pPr>
      <w:r>
        <w:t>Interruptor molecular: “ligar” ou “desligar” determinada enzima.</w:t>
      </w:r>
    </w:p>
    <w:p w14:paraId="04EC23E3" w14:textId="2BB9E34D" w:rsidR="00A81379" w:rsidRDefault="00A81379" w:rsidP="00A81379">
      <w:pPr>
        <w:ind w:left="708"/>
      </w:pPr>
      <w:r w:rsidRPr="00A81379">
        <w:drawing>
          <wp:inline distT="0" distB="0" distL="0" distR="0" wp14:anchorId="1551C217" wp14:editId="2DDEE29D">
            <wp:extent cx="5400040" cy="2553335"/>
            <wp:effectExtent l="0" t="0" r="0" b="0"/>
            <wp:docPr id="200002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03CB" w14:textId="0C0CEFD8" w:rsidR="00A81379" w:rsidRDefault="00A81379" w:rsidP="00A81379"/>
    <w:p w14:paraId="2A313649" w14:textId="4D88357C" w:rsidR="00A81379" w:rsidRDefault="00A81379" w:rsidP="00A81379">
      <w:pPr>
        <w:ind w:left="708"/>
      </w:pPr>
      <w:r>
        <w:tab/>
      </w:r>
      <w:r w:rsidRPr="00A81379">
        <w:drawing>
          <wp:inline distT="0" distB="0" distL="0" distR="0" wp14:anchorId="7D78B294" wp14:editId="1FAB5917">
            <wp:extent cx="5400040" cy="2693670"/>
            <wp:effectExtent l="0" t="0" r="0" b="0"/>
            <wp:docPr id="1015764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4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76F2" w14:textId="3B99FE59" w:rsidR="00A81379" w:rsidRDefault="00A81379" w:rsidP="00A81379">
      <w:pPr>
        <w:pStyle w:val="PargrafodaLista"/>
        <w:numPr>
          <w:ilvl w:val="0"/>
          <w:numId w:val="1"/>
        </w:numPr>
      </w:pPr>
      <w:r>
        <w:t>Cálcio dentro na célula se liga a proteínas que necessitam do cálcio (ativando-as).</w:t>
      </w:r>
    </w:p>
    <w:p w14:paraId="65B88C30" w14:textId="1F92584C" w:rsidR="003979E9" w:rsidRDefault="003979E9" w:rsidP="003979E9">
      <w:pPr>
        <w:pStyle w:val="PargrafodaLista"/>
        <w:numPr>
          <w:ilvl w:val="1"/>
          <w:numId w:val="1"/>
        </w:numPr>
      </w:pPr>
      <w:r>
        <w:t>Contração, movimento, liberação de alguma vesícula.</w:t>
      </w:r>
    </w:p>
    <w:p w14:paraId="524F5B59" w14:textId="123359A8" w:rsidR="003979E9" w:rsidRDefault="003979E9" w:rsidP="003979E9">
      <w:pPr>
        <w:ind w:firstLine="708"/>
      </w:pPr>
      <w:r w:rsidRPr="003979E9">
        <w:lastRenderedPageBreak/>
        <w:drawing>
          <wp:inline distT="0" distB="0" distL="0" distR="0" wp14:anchorId="57032BB1" wp14:editId="316C167E">
            <wp:extent cx="5400040" cy="1639570"/>
            <wp:effectExtent l="0" t="0" r="0" b="0"/>
            <wp:docPr id="763615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DB5" w14:textId="17EE29B0" w:rsidR="003979E9" w:rsidRDefault="003979E9" w:rsidP="003979E9">
      <w:pPr>
        <w:pStyle w:val="PargrafodaLista"/>
        <w:numPr>
          <w:ilvl w:val="0"/>
          <w:numId w:val="1"/>
        </w:numPr>
      </w:pPr>
      <w:r>
        <w:t>Transporte ativo, usando ATP, pois está indo contra o gradiente de concentração.</w:t>
      </w:r>
    </w:p>
    <w:p w14:paraId="7A134FCC" w14:textId="4AD65D07" w:rsidR="003979E9" w:rsidRDefault="003979E9" w:rsidP="003979E9">
      <w:pPr>
        <w:ind w:firstLine="708"/>
      </w:pPr>
      <w:r w:rsidRPr="003979E9">
        <w:drawing>
          <wp:inline distT="0" distB="0" distL="0" distR="0" wp14:anchorId="1CBBA56B" wp14:editId="74CF07B4">
            <wp:extent cx="5400040" cy="1602105"/>
            <wp:effectExtent l="0" t="0" r="0" b="0"/>
            <wp:docPr id="900616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6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3E1C" w14:textId="069E8D7E" w:rsidR="003979E9" w:rsidRDefault="003979E9" w:rsidP="003979E9">
      <w:pPr>
        <w:pStyle w:val="PargrafodaLista"/>
        <w:numPr>
          <w:ilvl w:val="0"/>
          <w:numId w:val="1"/>
        </w:numPr>
      </w:pPr>
      <w:r>
        <w:t xml:space="preserve">O </w:t>
      </w:r>
      <w:r>
        <w:sym w:font="Wingdings" w:char="F0E1"/>
      </w:r>
      <w:r>
        <w:t xml:space="preserve"> de ATP na célula e a glicemia alta.</w:t>
      </w:r>
    </w:p>
    <w:p w14:paraId="1E56915E" w14:textId="786B42CA" w:rsidR="000F121C" w:rsidRPr="000F121C" w:rsidRDefault="000F121C" w:rsidP="000F121C">
      <w:pPr>
        <w:ind w:left="708"/>
        <w:rPr>
          <w:b/>
          <w:bCs/>
        </w:rPr>
      </w:pPr>
      <w:r w:rsidRPr="000F121C">
        <w:rPr>
          <w:b/>
          <w:bCs/>
          <w:sz w:val="24"/>
          <w:szCs w:val="24"/>
          <w:highlight w:val="yellow"/>
        </w:rPr>
        <w:t>Célula Beta:</w:t>
      </w:r>
    </w:p>
    <w:p w14:paraId="1A099600" w14:textId="105CDE23" w:rsidR="003979E9" w:rsidRDefault="003979E9" w:rsidP="003979E9">
      <w:pPr>
        <w:ind w:left="708"/>
      </w:pPr>
      <w:r w:rsidRPr="003979E9">
        <w:drawing>
          <wp:inline distT="0" distB="0" distL="0" distR="0" wp14:anchorId="55C2B03E" wp14:editId="0FE60695">
            <wp:extent cx="5400040" cy="2334895"/>
            <wp:effectExtent l="0" t="0" r="0" b="0"/>
            <wp:docPr id="1934260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0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62DC" w14:textId="4653A050" w:rsidR="003979E9" w:rsidRDefault="003979E9" w:rsidP="003979E9">
      <w:pPr>
        <w:pStyle w:val="PargrafodaLista"/>
        <w:numPr>
          <w:ilvl w:val="0"/>
          <w:numId w:val="1"/>
        </w:numPr>
      </w:pPr>
      <w:r>
        <w:t>Polaridade na membrana pois o canal de Ca2+ está fechado.</w:t>
      </w:r>
    </w:p>
    <w:p w14:paraId="7B720E38" w14:textId="13C26D70" w:rsidR="003979E9" w:rsidRDefault="003979E9" w:rsidP="003979E9">
      <w:pPr>
        <w:pStyle w:val="PargrafodaLista"/>
        <w:numPr>
          <w:ilvl w:val="0"/>
          <w:numId w:val="1"/>
        </w:numPr>
      </w:pPr>
      <w:r w:rsidRPr="000F121C">
        <w:rPr>
          <w:highlight w:val="yellow"/>
        </w:rPr>
        <w:t>Glicemia normal</w:t>
      </w:r>
      <w:r>
        <w:t xml:space="preserve">: </w:t>
      </w:r>
      <w:r>
        <w:sym w:font="Wingdings" w:char="F0E1"/>
      </w:r>
      <w:r>
        <w:t xml:space="preserve"> ADP </w:t>
      </w:r>
      <w:r>
        <w:sym w:font="Wingdings" w:char="F0E2"/>
      </w:r>
      <w:r>
        <w:t xml:space="preserve"> ATP </w:t>
      </w:r>
      <w:r>
        <w:sym w:font="Wingdings" w:char="F0E0"/>
      </w:r>
      <w:r>
        <w:t xml:space="preserve"> canal de potássio aberto (favor do gradiente) </w:t>
      </w:r>
      <w:r>
        <w:sym w:font="Wingdings" w:char="F0E0"/>
      </w:r>
      <w:r>
        <w:t xml:space="preserve"> potássio sai da célula </w:t>
      </w:r>
      <w:r>
        <w:sym w:font="Wingdings" w:char="F0E0"/>
      </w:r>
      <w:r>
        <w:t xml:space="preserve"> canal de cálcio fechado. </w:t>
      </w:r>
    </w:p>
    <w:p w14:paraId="7A5F8F74" w14:textId="12AA7809" w:rsidR="003979E9" w:rsidRDefault="003979E9" w:rsidP="003979E9">
      <w:pPr>
        <w:pStyle w:val="PargrafodaLista"/>
        <w:numPr>
          <w:ilvl w:val="0"/>
          <w:numId w:val="1"/>
        </w:numPr>
      </w:pPr>
      <w:r w:rsidRPr="000F121C">
        <w:rPr>
          <w:highlight w:val="yellow"/>
        </w:rPr>
        <w:t>Gli</w:t>
      </w:r>
      <w:r w:rsidR="000F121C">
        <w:rPr>
          <w:highlight w:val="yellow"/>
        </w:rPr>
        <w:t>cemia</w:t>
      </w:r>
      <w:r w:rsidRPr="000F121C">
        <w:rPr>
          <w:highlight w:val="yellow"/>
        </w:rPr>
        <w:t xml:space="preserve"> alta</w:t>
      </w:r>
      <w:r>
        <w:t xml:space="preserve">: Glicose entra na célula </w:t>
      </w:r>
      <w:r>
        <w:sym w:font="Wingdings" w:char="F0E0"/>
      </w:r>
      <w:r>
        <w:t xml:space="preserve"> </w:t>
      </w:r>
      <w:r w:rsidR="008E1DE5">
        <w:sym w:font="Wingdings" w:char="F0E2"/>
      </w:r>
      <w:r w:rsidR="008E1DE5">
        <w:t xml:space="preserve"> ADP e i</w:t>
      </w:r>
      <w:r>
        <w:t xml:space="preserve">nverte a polaridade da membrana </w:t>
      </w:r>
      <w:r w:rsidR="000F121C">
        <w:t>plasmática</w:t>
      </w:r>
      <w:r>
        <w:t xml:space="preserve"> pelo </w:t>
      </w:r>
      <w:r>
        <w:sym w:font="Wingdings" w:char="F0E1"/>
      </w:r>
      <w:r>
        <w:t xml:space="preserve"> de ATP </w:t>
      </w:r>
      <w:r w:rsidR="000F121C">
        <w:sym w:font="Wingdings" w:char="F0E0"/>
      </w:r>
      <w:r w:rsidR="000F121C">
        <w:t xml:space="preserve"> </w:t>
      </w:r>
      <w:r>
        <w:t xml:space="preserve">fecha o canal de potássio e abre o de Ca2+ </w:t>
      </w:r>
      <w:r>
        <w:sym w:font="Wingdings" w:char="F0E0"/>
      </w:r>
      <w:r>
        <w:t xml:space="preserve"> o cálcio </w:t>
      </w:r>
      <w:r w:rsidR="000F121C">
        <w:t xml:space="preserve">entra na célula </w:t>
      </w:r>
      <w:r w:rsidR="000F121C">
        <w:sym w:font="Wingdings" w:char="F0E0"/>
      </w:r>
      <w:r w:rsidR="000F121C">
        <w:t xml:space="preserve"> </w:t>
      </w:r>
      <w:r>
        <w:t xml:space="preserve">faz </w:t>
      </w:r>
      <w:r w:rsidR="000F121C">
        <w:t>transportes de vesículas</w:t>
      </w:r>
      <w:r>
        <w:t xml:space="preserve"> </w:t>
      </w:r>
      <w:r w:rsidR="000F121C">
        <w:t>par</w:t>
      </w:r>
      <w:r>
        <w:t>a membrana</w:t>
      </w:r>
      <w:r w:rsidR="000F121C">
        <w:t xml:space="preserve"> (</w:t>
      </w:r>
      <w:r w:rsidR="000F121C" w:rsidRPr="000F121C">
        <w:rPr>
          <w:highlight w:val="yellow"/>
        </w:rPr>
        <w:t>exocitose</w:t>
      </w:r>
      <w:r w:rsidR="000F121C">
        <w:t>)</w:t>
      </w:r>
      <w:r>
        <w:t xml:space="preserve"> </w:t>
      </w:r>
      <w:r>
        <w:sym w:font="Wingdings" w:char="F0E0"/>
      </w:r>
      <w:r w:rsidR="000F121C">
        <w:t xml:space="preserve"> insulina está guardada dentro das vesículas </w:t>
      </w:r>
      <w:r w:rsidR="000F121C">
        <w:sym w:font="Wingdings" w:char="F0E0"/>
      </w:r>
      <w:r w:rsidR="000F121C">
        <w:t xml:space="preserve"> na membrana as vesículas se fundem e liberam a insulina.</w:t>
      </w:r>
    </w:p>
    <w:p w14:paraId="5942312A" w14:textId="66473387" w:rsidR="003979E9" w:rsidRDefault="003979E9" w:rsidP="003979E9">
      <w:pPr>
        <w:pStyle w:val="PargrafodaLista"/>
        <w:numPr>
          <w:ilvl w:val="0"/>
          <w:numId w:val="1"/>
        </w:numPr>
      </w:pPr>
      <w:r>
        <w:t xml:space="preserve">A sinalização p/ secretar insulina se dá pelo </w:t>
      </w:r>
      <w:r w:rsidRPr="000F121C">
        <w:rPr>
          <w:highlight w:val="yellow"/>
        </w:rPr>
        <w:sym w:font="Wingdings" w:char="F0E1"/>
      </w:r>
      <w:r w:rsidRPr="000F121C">
        <w:rPr>
          <w:highlight w:val="yellow"/>
        </w:rPr>
        <w:t xml:space="preserve"> ATP</w:t>
      </w:r>
      <w:r w:rsidR="000F121C">
        <w:t>.</w:t>
      </w:r>
    </w:p>
    <w:p w14:paraId="12FF0F5C" w14:textId="0D9D7EC1" w:rsidR="000F121C" w:rsidRDefault="000F121C" w:rsidP="003979E9">
      <w:pPr>
        <w:pStyle w:val="PargrafodaLista"/>
        <w:numPr>
          <w:ilvl w:val="0"/>
          <w:numId w:val="1"/>
        </w:numPr>
      </w:pPr>
      <w:r w:rsidRPr="000F121C">
        <w:rPr>
          <w:highlight w:val="yellow"/>
        </w:rPr>
        <w:t>Insulina faz sinalização endócrina</w:t>
      </w:r>
      <w:r>
        <w:t>.</w:t>
      </w:r>
    </w:p>
    <w:p w14:paraId="5C9D76C2" w14:textId="7CADC6EC" w:rsidR="000F121C" w:rsidRDefault="000F121C" w:rsidP="000F121C">
      <w:pPr>
        <w:ind w:firstLine="708"/>
      </w:pPr>
      <w:r w:rsidRPr="000F121C">
        <w:lastRenderedPageBreak/>
        <w:drawing>
          <wp:inline distT="0" distB="0" distL="0" distR="0" wp14:anchorId="31B536A9" wp14:editId="48462022">
            <wp:extent cx="5400040" cy="2530475"/>
            <wp:effectExtent l="0" t="0" r="0" b="0"/>
            <wp:docPr id="1652197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7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6215" w14:textId="04C27109" w:rsidR="000F121C" w:rsidRDefault="000F121C" w:rsidP="000F121C">
      <w:pPr>
        <w:pStyle w:val="PargrafodaLista"/>
        <w:numPr>
          <w:ilvl w:val="0"/>
          <w:numId w:val="1"/>
        </w:numPr>
      </w:pPr>
      <w:r>
        <w:t>Na célula Alfa (</w:t>
      </w:r>
      <w:r w:rsidRPr="008E1DE5">
        <w:rPr>
          <w:highlight w:val="yellow"/>
        </w:rPr>
        <w:t>Glucagon</w:t>
      </w:r>
      <w:r>
        <w:t>) é o oposto da Beta.</w:t>
      </w:r>
    </w:p>
    <w:p w14:paraId="1E06C75B" w14:textId="15FB89F9" w:rsidR="000F121C" w:rsidRDefault="000F121C" w:rsidP="000F121C">
      <w:pPr>
        <w:pStyle w:val="PargrafodaLista"/>
        <w:numPr>
          <w:ilvl w:val="0"/>
          <w:numId w:val="1"/>
        </w:numPr>
      </w:pPr>
      <w:r>
        <w:sym w:font="Wingdings" w:char="F0E2"/>
      </w:r>
      <w:r>
        <w:t xml:space="preserve"> ATP por gastar o ATP (menos glicose), desbloqueando os canais.</w:t>
      </w:r>
    </w:p>
    <w:p w14:paraId="17D5BA76" w14:textId="7D38EF1B" w:rsidR="000F121C" w:rsidRDefault="000F121C" w:rsidP="000F121C">
      <w:pPr>
        <w:pStyle w:val="PargrafodaLista"/>
        <w:numPr>
          <w:ilvl w:val="0"/>
          <w:numId w:val="1"/>
        </w:numPr>
      </w:pPr>
      <w:r>
        <w:t xml:space="preserve">Aqui precisa do </w:t>
      </w:r>
      <w:r w:rsidRPr="008E1DE5">
        <w:rPr>
          <w:highlight w:val="yellow"/>
        </w:rPr>
        <w:sym w:font="Wingdings" w:char="F0E2"/>
      </w:r>
      <w:r w:rsidRPr="008E1DE5">
        <w:rPr>
          <w:highlight w:val="yellow"/>
        </w:rPr>
        <w:t xml:space="preserve"> ATP e o </w:t>
      </w:r>
      <w:r w:rsidRPr="008E1DE5">
        <w:rPr>
          <w:highlight w:val="yellow"/>
        </w:rPr>
        <w:sym w:font="Wingdings" w:char="F0E1"/>
      </w:r>
      <w:r w:rsidRPr="008E1DE5">
        <w:rPr>
          <w:highlight w:val="yellow"/>
        </w:rPr>
        <w:t xml:space="preserve"> ADP.</w:t>
      </w:r>
      <w:r>
        <w:t xml:space="preserve"> </w:t>
      </w:r>
    </w:p>
    <w:p w14:paraId="1FD4AE61" w14:textId="40C7ADA6" w:rsidR="000F121C" w:rsidRDefault="000F121C" w:rsidP="000F121C">
      <w:pPr>
        <w:pStyle w:val="PargrafodaLista"/>
        <w:numPr>
          <w:ilvl w:val="0"/>
          <w:numId w:val="1"/>
        </w:numPr>
      </w:pPr>
      <w:r>
        <w:t>Cálcio entra e produz a sinalização do glucagon.</w:t>
      </w:r>
    </w:p>
    <w:p w14:paraId="217CA190" w14:textId="7A111AAA" w:rsidR="000F121C" w:rsidRDefault="000F121C" w:rsidP="000F121C">
      <w:pPr>
        <w:pStyle w:val="PargrafodaLista"/>
        <w:numPr>
          <w:ilvl w:val="0"/>
          <w:numId w:val="1"/>
        </w:numPr>
      </w:pPr>
      <w:r>
        <w:t>Concentração de ATP muda a voltagem da célula e faz mediação.</w:t>
      </w:r>
    </w:p>
    <w:p w14:paraId="5C4786E3" w14:textId="77777777" w:rsidR="008E1DE5" w:rsidRDefault="008E1DE5" w:rsidP="008E1DE5">
      <w:pPr>
        <w:ind w:left="708"/>
      </w:pPr>
    </w:p>
    <w:p w14:paraId="43FB3B0A" w14:textId="7DAAF82B" w:rsidR="008E1DE5" w:rsidRDefault="008E1DE5" w:rsidP="008E1DE5">
      <w:pPr>
        <w:ind w:left="708"/>
      </w:pPr>
      <w:r w:rsidRPr="008E1DE5">
        <w:drawing>
          <wp:inline distT="0" distB="0" distL="0" distR="0" wp14:anchorId="22FF7AD7" wp14:editId="44EBC75D">
            <wp:extent cx="5400040" cy="2309495"/>
            <wp:effectExtent l="0" t="0" r="0" b="0"/>
            <wp:docPr id="1298296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6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2041" w14:textId="6553774B" w:rsidR="008E1DE5" w:rsidRDefault="008E1DE5" w:rsidP="008E1DE5">
      <w:pPr>
        <w:pStyle w:val="PargrafodaLista"/>
        <w:numPr>
          <w:ilvl w:val="0"/>
          <w:numId w:val="1"/>
        </w:numPr>
      </w:pPr>
      <w:r>
        <w:t xml:space="preserve">Ligante se liga ao seu receptor </w:t>
      </w:r>
      <w:r>
        <w:sym w:font="Wingdings" w:char="F0E0"/>
      </w:r>
      <w:r>
        <w:t xml:space="preserve"> ativando a fosfolipase C </w:t>
      </w:r>
      <w:r>
        <w:sym w:font="Wingdings" w:char="F0E0"/>
      </w:r>
      <w:r>
        <w:t xml:space="preserve"> convertendo </w:t>
      </w:r>
      <w:r w:rsidRPr="008E1DE5">
        <w:rPr>
          <w:highlight w:val="yellow"/>
        </w:rPr>
        <w:t>fosfatidilinositol</w:t>
      </w:r>
      <w:r>
        <w:t xml:space="preserve"> (PI) em Diacilglicerol (DAG) e IP3 </w:t>
      </w:r>
      <w:r>
        <w:sym w:font="Wingdings" w:char="F0E0"/>
      </w:r>
      <w:r>
        <w:t xml:space="preserve">  </w:t>
      </w:r>
      <w:r w:rsidRPr="008E1DE5">
        <w:rPr>
          <w:highlight w:val="yellow"/>
        </w:rPr>
        <w:t>convertido em uma molécula sinalizadora</w:t>
      </w:r>
      <w:r>
        <w:t xml:space="preserve"> </w:t>
      </w:r>
      <w:r>
        <w:sym w:font="Wingdings" w:char="F0E0"/>
      </w:r>
      <w:r>
        <w:t xml:space="preserve"> ligando ao canal de Ca+ entrando no citosol </w:t>
      </w:r>
      <w:r>
        <w:sym w:font="Wingdings" w:char="F0E0"/>
      </w:r>
      <w:r>
        <w:t xml:space="preserve"> liberando Ca+ no citosol </w:t>
      </w:r>
      <w:r>
        <w:sym w:font="Wingdings" w:char="F0E0"/>
      </w:r>
      <w:r>
        <w:t xml:space="preserve"> se ligando a proteínas.</w:t>
      </w:r>
    </w:p>
    <w:p w14:paraId="00A01980" w14:textId="114AD8FE" w:rsidR="008E1DE5" w:rsidRDefault="008E1DE5" w:rsidP="008E1DE5">
      <w:pPr>
        <w:pStyle w:val="PargrafodaLista"/>
        <w:numPr>
          <w:ilvl w:val="0"/>
          <w:numId w:val="1"/>
        </w:numPr>
        <w:rPr>
          <w:highlight w:val="yellow"/>
        </w:rPr>
      </w:pPr>
      <w:r w:rsidRPr="008E1DE5">
        <w:rPr>
          <w:highlight w:val="yellow"/>
        </w:rPr>
        <w:t>É uma célula sinalizadora e media uma abertura de Ca+ no RE.</w:t>
      </w:r>
    </w:p>
    <w:p w14:paraId="034680BC" w14:textId="5E65E06E" w:rsidR="008E1DE5" w:rsidRDefault="008E1DE5" w:rsidP="008E1DE5">
      <w:pPr>
        <w:ind w:left="708"/>
        <w:rPr>
          <w:highlight w:val="yellow"/>
        </w:rPr>
      </w:pPr>
      <w:r w:rsidRPr="008E1DE5">
        <w:lastRenderedPageBreak/>
        <w:drawing>
          <wp:inline distT="0" distB="0" distL="0" distR="0" wp14:anchorId="055FD619" wp14:editId="44AD0E29">
            <wp:extent cx="4953000" cy="3143967"/>
            <wp:effectExtent l="0" t="0" r="0" b="0"/>
            <wp:docPr id="741384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4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0636" cy="31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7C14" w14:textId="647932E9" w:rsidR="008E1DE5" w:rsidRDefault="008E1DE5" w:rsidP="008E1DE5">
      <w:pPr>
        <w:pStyle w:val="PargrafodaLista"/>
        <w:numPr>
          <w:ilvl w:val="0"/>
          <w:numId w:val="1"/>
        </w:numPr>
      </w:pPr>
      <w:r w:rsidRPr="008E1DE5">
        <w:t xml:space="preserve">Moléculas </w:t>
      </w:r>
      <w:r>
        <w:t xml:space="preserve">de sinalização </w:t>
      </w:r>
      <w:r w:rsidRPr="008E1DE5">
        <w:t xml:space="preserve">produzidas a partir de AG. </w:t>
      </w:r>
    </w:p>
    <w:p w14:paraId="40755C42" w14:textId="1DF5A462" w:rsidR="008E1DE5" w:rsidRDefault="008F3830" w:rsidP="008E1DE5">
      <w:pPr>
        <w:pStyle w:val="PargrafodaLista"/>
        <w:numPr>
          <w:ilvl w:val="0"/>
          <w:numId w:val="1"/>
        </w:numPr>
      </w:pPr>
      <w:r>
        <w:t>Eicosanóides série 3 (</w:t>
      </w:r>
      <w:r w:rsidRPr="008F3830">
        <w:rPr>
          <w:highlight w:val="yellow"/>
        </w:rPr>
        <w:t>ômega 3</w:t>
      </w:r>
      <w:r>
        <w:t>): faz s</w:t>
      </w:r>
      <w:r w:rsidR="008E1DE5">
        <w:t xml:space="preserve">inalização </w:t>
      </w:r>
      <w:r w:rsidR="008E1DE5" w:rsidRPr="008F3830">
        <w:rPr>
          <w:highlight w:val="yellow"/>
        </w:rPr>
        <w:t>antinflamatória</w:t>
      </w:r>
      <w:r w:rsidR="008E1DE5">
        <w:t>.</w:t>
      </w:r>
    </w:p>
    <w:p w14:paraId="379F6AA9" w14:textId="291443BF" w:rsidR="008E1DE5" w:rsidRDefault="008E1DE5" w:rsidP="008E1DE5">
      <w:pPr>
        <w:pStyle w:val="PargrafodaLista"/>
        <w:numPr>
          <w:ilvl w:val="0"/>
          <w:numId w:val="1"/>
        </w:numPr>
      </w:pPr>
      <w:r>
        <w:t>Eicosanóides série 2</w:t>
      </w:r>
      <w:r w:rsidR="008F3830">
        <w:t xml:space="preserve"> (</w:t>
      </w:r>
      <w:r w:rsidR="008F3830" w:rsidRPr="008F3830">
        <w:rPr>
          <w:highlight w:val="yellow"/>
        </w:rPr>
        <w:t>ômega 6</w:t>
      </w:r>
      <w:r w:rsidR="008F3830">
        <w:t>):</w:t>
      </w:r>
      <w:r>
        <w:t xml:space="preserve"> </w:t>
      </w:r>
      <w:r w:rsidRPr="008F3830">
        <w:rPr>
          <w:highlight w:val="yellow"/>
        </w:rPr>
        <w:t>ativam a inflamação.</w:t>
      </w:r>
    </w:p>
    <w:p w14:paraId="4ADC9216" w14:textId="6CDE8A04" w:rsidR="008F3830" w:rsidRDefault="008F3830" w:rsidP="008F3830">
      <w:pPr>
        <w:ind w:firstLine="708"/>
      </w:pPr>
      <w:r w:rsidRPr="008F3830">
        <w:drawing>
          <wp:inline distT="0" distB="0" distL="0" distR="0" wp14:anchorId="1E9828A6" wp14:editId="7D6DC863">
            <wp:extent cx="4591050" cy="1895092"/>
            <wp:effectExtent l="0" t="0" r="0" b="0"/>
            <wp:docPr id="541435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5386" name=""/>
                    <pic:cNvPicPr/>
                  </pic:nvPicPr>
                  <pic:blipFill rotWithShape="1">
                    <a:blip r:embed="rId17"/>
                    <a:srcRect l="1176"/>
                    <a:stretch/>
                  </pic:blipFill>
                  <pic:spPr bwMode="auto">
                    <a:xfrm>
                      <a:off x="0" y="0"/>
                      <a:ext cx="4606775" cy="1901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350B2" w14:textId="19ED6D15" w:rsidR="008F3830" w:rsidRDefault="008F3830" w:rsidP="008F3830">
      <w:pPr>
        <w:pStyle w:val="PargrafodaLista"/>
        <w:numPr>
          <w:ilvl w:val="0"/>
          <w:numId w:val="1"/>
        </w:numPr>
      </w:pPr>
      <w:r>
        <w:t xml:space="preserve">Leucotrienos e Prostaglandinas (inflamação): cascata de sinalização </w:t>
      </w:r>
      <w:r>
        <w:sym w:font="Wingdings" w:char="F0E1"/>
      </w:r>
      <w:r>
        <w:t xml:space="preserve"> plaquetas sanguíneas p/ proteger o organismo.</w:t>
      </w:r>
    </w:p>
    <w:p w14:paraId="58590C06" w14:textId="630D4887" w:rsidR="00A629BE" w:rsidRDefault="00A629BE" w:rsidP="00A629BE">
      <w:pPr>
        <w:ind w:left="708"/>
      </w:pPr>
      <w:r w:rsidRPr="00A629BE">
        <w:drawing>
          <wp:inline distT="0" distB="0" distL="0" distR="0" wp14:anchorId="0FA44B0C" wp14:editId="51EDA75C">
            <wp:extent cx="4756150" cy="2026286"/>
            <wp:effectExtent l="0" t="0" r="0" b="0"/>
            <wp:docPr id="1502452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0835" cy="206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5137" w14:textId="1ECCDBEC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green"/>
        </w:rPr>
        <w:t>Agonistas</w:t>
      </w:r>
      <w:r>
        <w:t xml:space="preserve">: parece uma substância que nós já produzimos, exerce a </w:t>
      </w:r>
      <w:r w:rsidRPr="00A629BE">
        <w:rPr>
          <w:highlight w:val="yellow"/>
        </w:rPr>
        <w:t>mesma ação</w:t>
      </w:r>
      <w:r>
        <w:t xml:space="preserve"> do que uma molécula endógena, via um receptor.</w:t>
      </w:r>
    </w:p>
    <w:p w14:paraId="72060184" w14:textId="4991C49B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red"/>
        </w:rPr>
        <w:lastRenderedPageBreak/>
        <w:t>Antagonista</w:t>
      </w:r>
      <w:r>
        <w:t xml:space="preserve">: é competidor que se liga ao receptor, mas bloqueia a sinalização, </w:t>
      </w:r>
      <w:r w:rsidRPr="00A629BE">
        <w:rPr>
          <w:highlight w:val="yellow"/>
        </w:rPr>
        <w:t>ação contrária.</w:t>
      </w:r>
      <w:r>
        <w:t xml:space="preserve"> Não deixa a ação ocorrer.</w:t>
      </w:r>
    </w:p>
    <w:p w14:paraId="0EAB679D" w14:textId="77777777" w:rsidR="00A629BE" w:rsidRDefault="00A629BE" w:rsidP="00A629BE">
      <w:pPr>
        <w:pStyle w:val="PargrafodaLista"/>
        <w:ind w:left="1068"/>
      </w:pPr>
    </w:p>
    <w:p w14:paraId="40002A36" w14:textId="70012FC5" w:rsidR="00A629BE" w:rsidRDefault="00A629BE" w:rsidP="00A629BE">
      <w:pPr>
        <w:pStyle w:val="PargrafodaLista"/>
        <w:ind w:left="1068"/>
      </w:pPr>
      <w:r w:rsidRPr="00A629BE">
        <w:drawing>
          <wp:inline distT="0" distB="0" distL="0" distR="0" wp14:anchorId="78928848" wp14:editId="45184686">
            <wp:extent cx="4489450" cy="2144419"/>
            <wp:effectExtent l="0" t="0" r="0" b="0"/>
            <wp:docPr id="1121610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0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363" cy="215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F40C" w14:textId="2C8F220A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yellow"/>
        </w:rPr>
        <w:t>Noradrenalina</w:t>
      </w:r>
      <w:r>
        <w:t xml:space="preserve"> tem afinidade pelo receptor Alfa.</w:t>
      </w:r>
    </w:p>
    <w:p w14:paraId="0EC2A88D" w14:textId="7FC1C1C4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yellow"/>
        </w:rPr>
        <w:t>Adrenalina</w:t>
      </w:r>
      <w:r>
        <w:t xml:space="preserve"> tem maior afinidade pelo receptor B2.</w:t>
      </w:r>
    </w:p>
    <w:p w14:paraId="24A86DDE" w14:textId="766B3384" w:rsidR="00A629BE" w:rsidRDefault="00A629BE" w:rsidP="00A629BE">
      <w:pPr>
        <w:pStyle w:val="PargrafodaLista"/>
        <w:numPr>
          <w:ilvl w:val="0"/>
          <w:numId w:val="1"/>
        </w:numPr>
      </w:pPr>
      <w:r>
        <w:t xml:space="preserve">Mudando a </w:t>
      </w:r>
      <w:r w:rsidRPr="00A629BE">
        <w:rPr>
          <w:highlight w:val="green"/>
        </w:rPr>
        <w:t>isoforma</w:t>
      </w:r>
      <w:r>
        <w:t xml:space="preserve"> vai ter uma resposta diferente para o mesmo </w:t>
      </w:r>
      <w:r w:rsidRPr="00A629BE">
        <w:rPr>
          <w:highlight w:val="green"/>
        </w:rPr>
        <w:t>hormônio</w:t>
      </w:r>
      <w:r>
        <w:t>.</w:t>
      </w:r>
    </w:p>
    <w:p w14:paraId="7DF974A9" w14:textId="2FD10EDC" w:rsidR="00A629BE" w:rsidRDefault="00A629BE" w:rsidP="00A629BE">
      <w:pPr>
        <w:pStyle w:val="PargrafodaLista"/>
        <w:numPr>
          <w:ilvl w:val="1"/>
          <w:numId w:val="1"/>
        </w:numPr>
      </w:pPr>
      <w:r>
        <w:t>Faz isso para cada tecido.</w:t>
      </w:r>
    </w:p>
    <w:p w14:paraId="1AD94654" w14:textId="7F1489C7" w:rsidR="00A629BE" w:rsidRDefault="00A629BE" w:rsidP="00A629BE">
      <w:pPr>
        <w:ind w:left="708"/>
      </w:pPr>
      <w:r w:rsidRPr="00A629BE">
        <w:drawing>
          <wp:inline distT="0" distB="0" distL="0" distR="0" wp14:anchorId="51F69A44" wp14:editId="147A61BA">
            <wp:extent cx="2971800" cy="2151267"/>
            <wp:effectExtent l="0" t="0" r="0" b="0"/>
            <wp:docPr id="305444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4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9542" cy="215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5A1" w14:textId="7A4B0EFE" w:rsidR="00A629BE" w:rsidRDefault="00A629BE" w:rsidP="00A629BE">
      <w:pPr>
        <w:pStyle w:val="PargrafodaLista"/>
        <w:numPr>
          <w:ilvl w:val="0"/>
          <w:numId w:val="1"/>
        </w:numPr>
      </w:pPr>
      <w:r w:rsidRPr="00A93CFF">
        <w:rPr>
          <w:highlight w:val="green"/>
        </w:rPr>
        <w:t>Receptores</w:t>
      </w:r>
      <w:r>
        <w:t xml:space="preserve"> que se ligam ao </w:t>
      </w:r>
      <w:r w:rsidRPr="00A93CFF">
        <w:rPr>
          <w:highlight w:val="green"/>
        </w:rPr>
        <w:t>mesmo ligante</w:t>
      </w:r>
      <w:r>
        <w:t xml:space="preserve">, porém, acoplados dentro do tecido em diferentes proteínas, </w:t>
      </w:r>
      <w:r w:rsidRPr="00A93CFF">
        <w:rPr>
          <w:highlight w:val="green"/>
        </w:rPr>
        <w:t>mudando</w:t>
      </w:r>
      <w:r>
        <w:t xml:space="preserve"> sua </w:t>
      </w:r>
      <w:r w:rsidRPr="00A93CFF">
        <w:rPr>
          <w:highlight w:val="green"/>
        </w:rPr>
        <w:t>isoforma</w:t>
      </w:r>
      <w:r>
        <w:t>, e trazendo uma resposta especifica para o mes</w:t>
      </w:r>
      <w:r w:rsidR="00A93CFF">
        <w:t>mo tecido.</w:t>
      </w:r>
    </w:p>
    <w:p w14:paraId="6FA39B69" w14:textId="429BE532" w:rsidR="00A93CFF" w:rsidRDefault="00A93CFF" w:rsidP="00A93CFF">
      <w:pPr>
        <w:ind w:left="708"/>
      </w:pPr>
      <w:r w:rsidRPr="00A93CFF">
        <w:drawing>
          <wp:inline distT="0" distB="0" distL="0" distR="0" wp14:anchorId="71B499EF" wp14:editId="4DCCBF58">
            <wp:extent cx="4362450" cy="1851887"/>
            <wp:effectExtent l="0" t="0" r="0" b="0"/>
            <wp:docPr id="1089382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82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3841" cy="186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B6DA" w14:textId="6D3D0860" w:rsidR="00A93CFF" w:rsidRPr="008E1DE5" w:rsidRDefault="00A93CFF" w:rsidP="00A93CFF">
      <w:pPr>
        <w:pStyle w:val="PargrafodaLista"/>
        <w:numPr>
          <w:ilvl w:val="0"/>
          <w:numId w:val="1"/>
        </w:numPr>
      </w:pPr>
      <w:r w:rsidRPr="00A93CFF">
        <w:rPr>
          <w:highlight w:val="yellow"/>
        </w:rPr>
        <w:t>DM1</w:t>
      </w:r>
      <w:r>
        <w:t xml:space="preserve"> (280mg/dl): o receptor precisa de (–) GLUT na membrana, fazendo uma regulação para baixo. Fazendo dieta adequada (120mg/dl): o neurônio estava </w:t>
      </w:r>
      <w:r>
        <w:lastRenderedPageBreak/>
        <w:t xml:space="preserve">acustumado com a concentração alta de glicose (280mg/dl), e quando a glicose diminui (120mg/dl) o corpo sente uma hipoglicemia (neuroglicopênico) – neurônio vai </w:t>
      </w:r>
      <w:r>
        <w:sym w:font="Wingdings" w:char="F0E1"/>
      </w:r>
      <w:r>
        <w:t xml:space="preserve"> receptores de membrana para captar mais glicose </w:t>
      </w:r>
      <w:r>
        <w:sym w:font="Wingdings" w:char="F0E0"/>
      </w:r>
      <w:r>
        <w:t xml:space="preserve"> equalizando os sintomas (resposta de regulação para cima).</w:t>
      </w:r>
    </w:p>
    <w:sectPr w:rsidR="00A93CFF" w:rsidRPr="008E1D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63422"/>
    <w:multiLevelType w:val="hybridMultilevel"/>
    <w:tmpl w:val="D82A80E6"/>
    <w:lvl w:ilvl="0" w:tplc="AEA0BDB8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3349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79"/>
    <w:rsid w:val="000D41D1"/>
    <w:rsid w:val="000F121C"/>
    <w:rsid w:val="0010417E"/>
    <w:rsid w:val="001741AE"/>
    <w:rsid w:val="003979E9"/>
    <w:rsid w:val="004600F2"/>
    <w:rsid w:val="00490DFD"/>
    <w:rsid w:val="004B5EE8"/>
    <w:rsid w:val="005B3B7C"/>
    <w:rsid w:val="00807B6E"/>
    <w:rsid w:val="008D469D"/>
    <w:rsid w:val="008E1DE5"/>
    <w:rsid w:val="008F3830"/>
    <w:rsid w:val="00A629BE"/>
    <w:rsid w:val="00A81379"/>
    <w:rsid w:val="00A9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CACF"/>
  <w15:chartTrackingRefBased/>
  <w15:docId w15:val="{9FC986DA-7687-41C6-994B-5651EFE8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1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473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2024-06-10T13:55:00Z</dcterms:created>
  <dcterms:modified xsi:type="dcterms:W3CDTF">2024-06-10T13:55:00Z</dcterms:modified>
</cp:coreProperties>
</file>