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196387" w14:textId="260C2D9A" w:rsidR="00EC2EB5" w:rsidRDefault="00EC2EB5" w:rsidP="00EC2EB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RECEPTORES DE MEMBRANA E SINALIZAÇÃO (C &amp; G)</w:t>
      </w:r>
    </w:p>
    <w:p w14:paraId="394BDF9A" w14:textId="38D55E1F" w:rsidR="00EC2EB5" w:rsidRDefault="00EC2EB5" w:rsidP="00EC2EB5">
      <w:pPr>
        <w:jc w:val="both"/>
        <w:rPr>
          <w:bCs/>
        </w:rPr>
      </w:pPr>
      <w:r w:rsidRPr="00EC2EB5">
        <w:rPr>
          <w:bCs/>
        </w:rPr>
        <w:drawing>
          <wp:inline distT="0" distB="0" distL="0" distR="0" wp14:anchorId="6C889404" wp14:editId="630C1943">
            <wp:extent cx="5022850" cy="2537413"/>
            <wp:effectExtent l="0" t="0" r="0" b="0"/>
            <wp:docPr id="1475965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5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6861" cy="253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01A1" w14:textId="6B0BDFF5" w:rsidR="006D19AB" w:rsidRPr="006D19AB" w:rsidRDefault="006D19AB" w:rsidP="006D19AB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 xml:space="preserve">Ligantes </w:t>
      </w:r>
      <w:r w:rsidRPr="006D19AB">
        <w:rPr>
          <w:bCs/>
          <w:highlight w:val="yellow"/>
        </w:rPr>
        <w:t>lipossolúveis</w:t>
      </w:r>
      <w:r>
        <w:rPr>
          <w:bCs/>
        </w:rPr>
        <w:t xml:space="preserve"> são os da membrana celular.</w:t>
      </w:r>
    </w:p>
    <w:p w14:paraId="355BC6EA" w14:textId="28B26593" w:rsidR="00EC2EB5" w:rsidRDefault="00EC2EB5" w:rsidP="00EC2EB5">
      <w:pPr>
        <w:jc w:val="both"/>
        <w:rPr>
          <w:bCs/>
        </w:rPr>
      </w:pPr>
      <w:r w:rsidRPr="00EC2EB5">
        <w:rPr>
          <w:bCs/>
        </w:rPr>
        <w:drawing>
          <wp:inline distT="0" distB="0" distL="0" distR="0" wp14:anchorId="5EEF7757" wp14:editId="589A7177">
            <wp:extent cx="4730750" cy="2560635"/>
            <wp:effectExtent l="0" t="0" r="0" b="0"/>
            <wp:docPr id="1313262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62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2612" cy="25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0618" w14:textId="77777777" w:rsidR="006D19AB" w:rsidRDefault="006D19AB" w:rsidP="006D19AB">
      <w:pPr>
        <w:jc w:val="both"/>
        <w:rPr>
          <w:bCs/>
        </w:rPr>
      </w:pPr>
    </w:p>
    <w:p w14:paraId="29586914" w14:textId="7A48ACBF" w:rsidR="006D19AB" w:rsidRDefault="006D19AB" w:rsidP="006D19AB">
      <w:pPr>
        <w:jc w:val="both"/>
        <w:rPr>
          <w:bCs/>
        </w:rPr>
      </w:pPr>
      <w:r w:rsidRPr="006D19AB">
        <w:rPr>
          <w:bCs/>
        </w:rPr>
        <w:drawing>
          <wp:inline distT="0" distB="0" distL="0" distR="0" wp14:anchorId="51181CA3" wp14:editId="760944AB">
            <wp:extent cx="4692650" cy="2164225"/>
            <wp:effectExtent l="0" t="0" r="0" b="0"/>
            <wp:docPr id="443196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96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01" cy="216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3EE0" w14:textId="2B4BD0C8" w:rsidR="006D19AB" w:rsidRDefault="006D19AB" w:rsidP="006D19AB">
      <w:pPr>
        <w:pStyle w:val="PargrafodaLista"/>
        <w:numPr>
          <w:ilvl w:val="0"/>
          <w:numId w:val="2"/>
        </w:numPr>
        <w:jc w:val="both"/>
        <w:rPr>
          <w:bCs/>
        </w:rPr>
      </w:pPr>
      <w:r>
        <w:rPr>
          <w:bCs/>
        </w:rPr>
        <w:t>Distante: cai na corrente sanguínea.</w:t>
      </w:r>
    </w:p>
    <w:p w14:paraId="10C5B9D7" w14:textId="710E666C" w:rsidR="006D19AB" w:rsidRDefault="006D19AB" w:rsidP="006D19AB">
      <w:pPr>
        <w:jc w:val="both"/>
        <w:rPr>
          <w:bCs/>
        </w:rPr>
      </w:pPr>
      <w:r w:rsidRPr="006D19AB">
        <w:rPr>
          <w:bCs/>
        </w:rPr>
        <w:lastRenderedPageBreak/>
        <w:drawing>
          <wp:inline distT="0" distB="0" distL="0" distR="0" wp14:anchorId="507C24DC" wp14:editId="69A95753">
            <wp:extent cx="5651500" cy="2421692"/>
            <wp:effectExtent l="0" t="0" r="0" b="0"/>
            <wp:docPr id="1054683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3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3280" cy="24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8252" w14:textId="14303D48" w:rsidR="006D19AB" w:rsidRPr="006D19AB" w:rsidRDefault="006D19AB" w:rsidP="006D19AB">
      <w:pPr>
        <w:pStyle w:val="PargrafodaLista"/>
        <w:numPr>
          <w:ilvl w:val="0"/>
          <w:numId w:val="2"/>
        </w:numPr>
        <w:jc w:val="both"/>
        <w:rPr>
          <w:rFonts w:cstheme="minorHAnsi"/>
          <w:bCs/>
          <w:sz w:val="20"/>
          <w:szCs w:val="20"/>
        </w:rPr>
      </w:pPr>
      <w:r w:rsidRPr="006D19AB">
        <w:rPr>
          <w:rFonts w:cstheme="minorHAnsi"/>
        </w:rPr>
        <w:t xml:space="preserve">É uma indução, quando a célula indutora está </w:t>
      </w:r>
      <w:r w:rsidRPr="006D19AB">
        <w:rPr>
          <w:rFonts w:cstheme="minorHAnsi"/>
          <w:highlight w:val="cyan"/>
        </w:rPr>
        <w:t>próxima</w:t>
      </w:r>
      <w:r w:rsidRPr="006D19AB">
        <w:rPr>
          <w:rFonts w:cstheme="minorHAnsi"/>
        </w:rPr>
        <w:t xml:space="preserve"> à célula induzida</w:t>
      </w:r>
    </w:p>
    <w:p w14:paraId="72D87D03" w14:textId="65A2B1FC" w:rsidR="006D19AB" w:rsidRPr="006D19AB" w:rsidRDefault="006D19AB" w:rsidP="006D19AB">
      <w:pPr>
        <w:pStyle w:val="PargrafodaLista"/>
        <w:numPr>
          <w:ilvl w:val="1"/>
          <w:numId w:val="2"/>
        </w:numPr>
        <w:rPr>
          <w:rFonts w:cstheme="minorHAnsi"/>
        </w:rPr>
      </w:pPr>
      <w:r w:rsidRPr="006D19AB">
        <w:rPr>
          <w:rFonts w:cstheme="minorHAnsi"/>
        </w:rPr>
        <w:t>a subs. indutora percorre um pequeno trajeto da matriz extracelular para alcançar a célula-alvo.</w:t>
      </w:r>
    </w:p>
    <w:p w14:paraId="3A783B46" w14:textId="171C3968" w:rsidR="006D19AB" w:rsidRDefault="006D19AB" w:rsidP="006D19AB">
      <w:pPr>
        <w:jc w:val="both"/>
        <w:rPr>
          <w:bCs/>
        </w:rPr>
      </w:pPr>
      <w:r w:rsidRPr="006D19AB">
        <w:rPr>
          <w:bCs/>
        </w:rPr>
        <w:drawing>
          <wp:inline distT="0" distB="0" distL="0" distR="0" wp14:anchorId="7A15C989" wp14:editId="56CA4CF5">
            <wp:extent cx="4794250" cy="2123700"/>
            <wp:effectExtent l="0" t="0" r="0" b="0"/>
            <wp:docPr id="3183747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7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7869" cy="21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285" w14:textId="75C485ED" w:rsidR="006D19AB" w:rsidRDefault="006D19AB" w:rsidP="00901980">
      <w:pPr>
        <w:jc w:val="both"/>
        <w:rPr>
          <w:bCs/>
        </w:rPr>
      </w:pPr>
      <w:r w:rsidRPr="006D19AB">
        <w:rPr>
          <w:bCs/>
        </w:rPr>
        <w:drawing>
          <wp:inline distT="0" distB="0" distL="0" distR="0" wp14:anchorId="531E003E" wp14:editId="700BC649">
            <wp:extent cx="4775200" cy="2227004"/>
            <wp:effectExtent l="0" t="0" r="0" b="0"/>
            <wp:docPr id="608258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8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3316" cy="223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44EC" w14:textId="2873EDE6" w:rsidR="00901980" w:rsidRDefault="00901980" w:rsidP="00901980">
      <w:pPr>
        <w:jc w:val="both"/>
      </w:pPr>
      <w:r w:rsidRPr="00901980">
        <w:lastRenderedPageBreak/>
        <w:drawing>
          <wp:inline distT="0" distB="0" distL="0" distR="0" wp14:anchorId="4952141A" wp14:editId="2BA1E47A">
            <wp:extent cx="4940300" cy="2243003"/>
            <wp:effectExtent l="0" t="0" r="0" b="0"/>
            <wp:docPr id="102473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3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6415" cy="22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0FBB" w14:textId="5FC65ECA" w:rsidR="00901980" w:rsidRDefault="00901980" w:rsidP="00901980">
      <w:pPr>
        <w:jc w:val="both"/>
      </w:pPr>
      <w:r w:rsidRPr="00901980">
        <w:drawing>
          <wp:inline distT="0" distB="0" distL="0" distR="0" wp14:anchorId="1341D236" wp14:editId="7C18D593">
            <wp:extent cx="5400040" cy="2614295"/>
            <wp:effectExtent l="0" t="0" r="0" b="0"/>
            <wp:docPr id="985811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1900" name=""/>
                    <pic:cNvPicPr/>
                  </pic:nvPicPr>
                  <pic:blipFill rotWithShape="1">
                    <a:blip r:embed="rId12"/>
                    <a:srcRect t="1906"/>
                    <a:stretch/>
                  </pic:blipFill>
                  <pic:spPr bwMode="auto"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CD543" w14:textId="20E9902A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>Fosfato altera a conformação da proteína, alterando a sua função.</w:t>
      </w:r>
    </w:p>
    <w:p w14:paraId="29F7DCE7" w14:textId="10755CDA" w:rsidR="00901980" w:rsidRDefault="00901980" w:rsidP="00901980">
      <w:pPr>
        <w:jc w:val="both"/>
      </w:pPr>
      <w:r w:rsidRPr="00901980">
        <w:drawing>
          <wp:inline distT="0" distB="0" distL="0" distR="0" wp14:anchorId="0177D577" wp14:editId="4DF5691D">
            <wp:extent cx="4724400" cy="2321645"/>
            <wp:effectExtent l="0" t="0" r="0" b="0"/>
            <wp:docPr id="1480314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14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0770" cy="23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7667" w14:textId="5B9993A0" w:rsidR="00901980" w:rsidRDefault="00901980" w:rsidP="00901980">
      <w:pPr>
        <w:jc w:val="both"/>
      </w:pPr>
      <w:r w:rsidRPr="00901980">
        <w:lastRenderedPageBreak/>
        <w:drawing>
          <wp:inline distT="0" distB="0" distL="0" distR="0" wp14:anchorId="2DC15231" wp14:editId="561D8720">
            <wp:extent cx="4425950" cy="2808375"/>
            <wp:effectExtent l="0" t="0" r="0" b="0"/>
            <wp:docPr id="579983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8626" cy="281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5D63" w14:textId="4344EEE2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>Isolados ou associados a Receptores de membrana.</w:t>
      </w:r>
    </w:p>
    <w:p w14:paraId="1DDF1E2F" w14:textId="58E88A28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 xml:space="preserve">Ex: Canais sensível à acetilcolina no músculo esquelético </w:t>
      </w:r>
      <w:r>
        <w:sym w:font="Wingdings" w:char="F0E0"/>
      </w:r>
      <w:r>
        <w:t xml:space="preserve"> abertura de canais de Na e K </w:t>
      </w:r>
      <w:r>
        <w:sym w:font="Wingdings" w:char="F0E0"/>
      </w:r>
      <w:r>
        <w:t xml:space="preserve"> despolarização de contração muscular.</w:t>
      </w:r>
    </w:p>
    <w:p w14:paraId="32D55984" w14:textId="468D1E5B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>Canais ligados a GPCR.</w:t>
      </w:r>
    </w:p>
    <w:p w14:paraId="583182D6" w14:textId="12692B4C" w:rsidR="00901980" w:rsidRDefault="00901980" w:rsidP="00901980">
      <w:pPr>
        <w:jc w:val="both"/>
      </w:pPr>
      <w:r w:rsidRPr="00901980">
        <w:drawing>
          <wp:inline distT="0" distB="0" distL="0" distR="0" wp14:anchorId="67AECF69" wp14:editId="1C35C030">
            <wp:extent cx="4768850" cy="2373770"/>
            <wp:effectExtent l="0" t="0" r="0" b="0"/>
            <wp:docPr id="1271579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98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8498" cy="237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6499" w14:textId="62829790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>Ligantes está sempre vindo do meio externo.</w:t>
      </w:r>
    </w:p>
    <w:p w14:paraId="0210DF1F" w14:textId="2669CE89" w:rsidR="00901980" w:rsidRDefault="00901980" w:rsidP="00901980">
      <w:pPr>
        <w:pStyle w:val="PargrafodaLista"/>
        <w:numPr>
          <w:ilvl w:val="0"/>
          <w:numId w:val="2"/>
        </w:numPr>
        <w:jc w:val="both"/>
      </w:pPr>
      <w:r>
        <w:t xml:space="preserve">Receptor de </w:t>
      </w:r>
      <w:r w:rsidRPr="00901980">
        <w:rPr>
          <w:highlight w:val="yellow"/>
        </w:rPr>
        <w:t>insulina</w:t>
      </w:r>
      <w:r>
        <w:t xml:space="preserve"> é um receptor com atividade de </w:t>
      </w:r>
      <w:r w:rsidRPr="00901980">
        <w:rPr>
          <w:highlight w:val="yellow"/>
        </w:rPr>
        <w:t>Tirosina quinase</w:t>
      </w:r>
      <w:r>
        <w:t>.</w:t>
      </w:r>
    </w:p>
    <w:p w14:paraId="35E15767" w14:textId="5757793B" w:rsidR="008966A7" w:rsidRDefault="008966A7" w:rsidP="008966A7">
      <w:pPr>
        <w:jc w:val="both"/>
      </w:pPr>
      <w:r w:rsidRPr="008966A7">
        <w:lastRenderedPageBreak/>
        <w:drawing>
          <wp:inline distT="0" distB="0" distL="0" distR="0" wp14:anchorId="78E18889" wp14:editId="2C9EBEEE">
            <wp:extent cx="4679950" cy="1993820"/>
            <wp:effectExtent l="0" t="0" r="0" b="0"/>
            <wp:docPr id="565070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0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7594" cy="206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66A7">
        <w:drawing>
          <wp:inline distT="0" distB="0" distL="0" distR="0" wp14:anchorId="372DA395" wp14:editId="74E8421D">
            <wp:extent cx="4622800" cy="2429362"/>
            <wp:effectExtent l="0" t="0" r="0" b="0"/>
            <wp:docPr id="20465138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13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1880" cy="244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0E71" w14:textId="06382D5D" w:rsidR="008966A7" w:rsidRDefault="008966A7" w:rsidP="008966A7">
      <w:pPr>
        <w:jc w:val="both"/>
      </w:pPr>
      <w:r w:rsidRPr="008966A7">
        <w:drawing>
          <wp:inline distT="0" distB="0" distL="0" distR="0" wp14:anchorId="34310627" wp14:editId="36A64DC6">
            <wp:extent cx="4432300" cy="2213545"/>
            <wp:effectExtent l="0" t="0" r="0" b="0"/>
            <wp:docPr id="966393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935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0889" cy="222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894D" w14:textId="19B3398F" w:rsidR="008966A7" w:rsidRDefault="008966A7" w:rsidP="008966A7">
      <w:pPr>
        <w:jc w:val="both"/>
      </w:pPr>
      <w:r w:rsidRPr="008966A7">
        <w:lastRenderedPageBreak/>
        <w:drawing>
          <wp:inline distT="0" distB="0" distL="0" distR="0" wp14:anchorId="0BB3DAA0" wp14:editId="7BD93872">
            <wp:extent cx="4870450" cy="2326980"/>
            <wp:effectExtent l="0" t="0" r="0" b="0"/>
            <wp:docPr id="3359086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08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5007" cy="23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918B" w14:textId="3755139B" w:rsidR="008966A7" w:rsidRDefault="008966A7" w:rsidP="008966A7">
      <w:pPr>
        <w:jc w:val="both"/>
      </w:pPr>
      <w:r w:rsidRPr="008966A7">
        <w:drawing>
          <wp:inline distT="0" distB="0" distL="0" distR="0" wp14:anchorId="55DDE2A5" wp14:editId="701D4211">
            <wp:extent cx="4711700" cy="2212348"/>
            <wp:effectExtent l="0" t="0" r="0" b="0"/>
            <wp:docPr id="1394409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9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6811" cy="222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7090" w14:textId="37430683" w:rsidR="008966A7" w:rsidRDefault="008966A7" w:rsidP="008966A7">
      <w:pPr>
        <w:jc w:val="both"/>
      </w:pPr>
      <w:r w:rsidRPr="008966A7">
        <w:drawing>
          <wp:inline distT="0" distB="0" distL="0" distR="0" wp14:anchorId="215DA3F6" wp14:editId="5DD97990">
            <wp:extent cx="5400040" cy="3035935"/>
            <wp:effectExtent l="0" t="0" r="0" b="0"/>
            <wp:docPr id="1387623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23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28B7" w14:textId="25BF8A91" w:rsidR="008966A7" w:rsidRDefault="008966A7" w:rsidP="008966A7">
      <w:pPr>
        <w:pStyle w:val="PargrafodaLista"/>
        <w:numPr>
          <w:ilvl w:val="0"/>
          <w:numId w:val="2"/>
        </w:numPr>
        <w:jc w:val="both"/>
      </w:pPr>
      <w:r>
        <w:t xml:space="preserve">TLR: </w:t>
      </w:r>
      <w:r w:rsidR="00061D17">
        <w:t>receptor de lipossolúveis (AG).</w:t>
      </w:r>
    </w:p>
    <w:p w14:paraId="1A9D3B40" w14:textId="4D94B5C6" w:rsidR="00061D17" w:rsidRDefault="00061D17" w:rsidP="00061D17">
      <w:pPr>
        <w:pStyle w:val="PargrafodaLista"/>
        <w:numPr>
          <w:ilvl w:val="1"/>
          <w:numId w:val="2"/>
        </w:numPr>
        <w:jc w:val="both"/>
      </w:pPr>
      <w:r>
        <w:t>Por isso o AGS inflama o nosso corpo.</w:t>
      </w:r>
    </w:p>
    <w:p w14:paraId="6BF87401" w14:textId="3FAEAEDD" w:rsidR="00061D17" w:rsidRPr="00901980" w:rsidRDefault="00061D17" w:rsidP="00FF626A">
      <w:pPr>
        <w:pStyle w:val="PargrafodaLista"/>
        <w:numPr>
          <w:ilvl w:val="0"/>
          <w:numId w:val="2"/>
        </w:numPr>
        <w:jc w:val="both"/>
      </w:pPr>
      <w:r>
        <w:t>LPS é um padrão molecular que o organismo reconhece por meio de um receptor.</w:t>
      </w:r>
    </w:p>
    <w:sectPr w:rsidR="00061D17" w:rsidRPr="009019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177D0"/>
    <w:multiLevelType w:val="hybridMultilevel"/>
    <w:tmpl w:val="2E2234BE"/>
    <w:lvl w:ilvl="0" w:tplc="0092384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74504"/>
    <w:multiLevelType w:val="hybridMultilevel"/>
    <w:tmpl w:val="99F240DE"/>
    <w:lvl w:ilvl="0" w:tplc="CED8ADF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B440E"/>
    <w:multiLevelType w:val="hybridMultilevel"/>
    <w:tmpl w:val="61BCE7DE"/>
    <w:lvl w:ilvl="0" w:tplc="810E539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9436296">
    <w:abstractNumId w:val="1"/>
  </w:num>
  <w:num w:numId="2" w16cid:durableId="236480340">
    <w:abstractNumId w:val="2"/>
  </w:num>
  <w:num w:numId="3" w16cid:durableId="137542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2EB5"/>
    <w:rsid w:val="00061D17"/>
    <w:rsid w:val="000D41D1"/>
    <w:rsid w:val="0010417E"/>
    <w:rsid w:val="001741AE"/>
    <w:rsid w:val="004600F2"/>
    <w:rsid w:val="00490DFD"/>
    <w:rsid w:val="006D19AB"/>
    <w:rsid w:val="00807B6E"/>
    <w:rsid w:val="008966A7"/>
    <w:rsid w:val="008C106C"/>
    <w:rsid w:val="008D469D"/>
    <w:rsid w:val="00901980"/>
    <w:rsid w:val="00EC2EB5"/>
    <w:rsid w:val="00FF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7758D"/>
  <w15:chartTrackingRefBased/>
  <w15:docId w15:val="{2881EB2E-6B2E-4711-A435-CC750B819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2E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135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2024-06-10T10:42:00Z</dcterms:created>
  <dcterms:modified xsi:type="dcterms:W3CDTF">2024-06-10T11:48:00Z</dcterms:modified>
</cp:coreProperties>
</file>