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841AC9" w14:textId="2D3CF18E" w:rsidR="002B10CB" w:rsidRPr="00E61889" w:rsidRDefault="002B10CB" w:rsidP="002B10CB">
      <w:pPr>
        <w:pStyle w:val="PargrafodaLista"/>
        <w:numPr>
          <w:ilvl w:val="0"/>
          <w:numId w:val="3"/>
        </w:numPr>
        <w:rPr>
          <w:b/>
          <w:bCs/>
        </w:rPr>
      </w:pPr>
      <w:r w:rsidRPr="00E61889">
        <w:rPr>
          <w:b/>
          <w:bCs/>
        </w:rPr>
        <w:t>Qual é a estrutura básica de um ácido graxo e de que forma ela é abreviada com o uso do sistema numérico proposto pela IUPAC?</w:t>
      </w:r>
    </w:p>
    <w:p w14:paraId="58C1F613" w14:textId="67C842C8" w:rsidR="002B10CB" w:rsidRDefault="002B10CB" w:rsidP="002B10CB">
      <w:pPr>
        <w:pStyle w:val="PargrafodaLista"/>
        <w:rPr>
          <w:color w:val="FF0000"/>
        </w:rPr>
      </w:pPr>
      <w:r w:rsidRPr="00E61889">
        <w:rPr>
          <w:b/>
          <w:bCs/>
          <w:color w:val="FF0000"/>
        </w:rPr>
        <w:t>ácidos graxos</w:t>
      </w:r>
      <w:r>
        <w:rPr>
          <w:color w:val="FF0000"/>
        </w:rPr>
        <w:t xml:space="preserve"> </w:t>
      </w:r>
      <w:r w:rsidRPr="002B10CB">
        <w:rPr>
          <w:color w:val="FF0000"/>
        </w:rPr>
        <w:sym w:font="Wingdings" w:char="F0E0"/>
      </w:r>
      <w:r w:rsidRPr="002B10CB">
        <w:rPr>
          <w:color w:val="FF0000"/>
        </w:rPr>
        <w:t xml:space="preserve"> contêm uma cadeia alifática e um grupo ácido carboxílico</w:t>
      </w:r>
      <w:r>
        <w:rPr>
          <w:color w:val="FF0000"/>
        </w:rPr>
        <w:t xml:space="preserve">; </w:t>
      </w:r>
      <w:r w:rsidRPr="002B10CB">
        <w:rPr>
          <w:color w:val="FF0000"/>
        </w:rPr>
        <w:t>possui número par de carbonos</w:t>
      </w:r>
      <w:r>
        <w:rPr>
          <w:color w:val="FF0000"/>
        </w:rPr>
        <w:t xml:space="preserve"> (entre </w:t>
      </w:r>
      <w:r w:rsidRPr="002B10CB">
        <w:rPr>
          <w:color w:val="FF0000"/>
        </w:rPr>
        <w:t>14 e 24</w:t>
      </w:r>
      <w:r>
        <w:rPr>
          <w:color w:val="FF0000"/>
        </w:rPr>
        <w:t>)</w:t>
      </w:r>
      <w:r w:rsidRPr="002B10CB">
        <w:rPr>
          <w:color w:val="FF0000"/>
        </w:rPr>
        <w:t xml:space="preserve"> em uma cadeia linear</w:t>
      </w:r>
      <w:r>
        <w:rPr>
          <w:color w:val="FF0000"/>
        </w:rPr>
        <w:t>.</w:t>
      </w:r>
    </w:p>
    <w:p w14:paraId="26B9B4BA" w14:textId="77777777" w:rsidR="004B4DA9" w:rsidRDefault="004B4DA9" w:rsidP="002B10CB">
      <w:pPr>
        <w:pStyle w:val="PargrafodaLista"/>
        <w:rPr>
          <w:color w:val="FF0000"/>
        </w:rPr>
      </w:pPr>
    </w:p>
    <w:p w14:paraId="684DB06A" w14:textId="367E5299" w:rsidR="002B10CB" w:rsidRPr="002B10CB" w:rsidRDefault="002B10CB" w:rsidP="002B10CB">
      <w:pPr>
        <w:pStyle w:val="PargrafodaLista"/>
        <w:rPr>
          <w:bCs/>
          <w:color w:val="FF0000"/>
        </w:rPr>
      </w:pPr>
      <w:r w:rsidRPr="002B10CB">
        <w:rPr>
          <w:b/>
          <w:bCs/>
          <w:color w:val="FF0000"/>
        </w:rPr>
        <w:t>Número de carbonos e ligações duplas</w:t>
      </w:r>
      <w:r>
        <w:rPr>
          <w:b/>
          <w:bCs/>
          <w:color w:val="FF0000"/>
        </w:rPr>
        <w:t xml:space="preserve">: </w:t>
      </w:r>
      <w:r w:rsidRPr="002B10CB">
        <w:rPr>
          <w:b/>
          <w:bCs/>
          <w:color w:val="FF0000"/>
        </w:rPr>
        <w:t>X</w:t>
      </w:r>
      <w:r w:rsidRPr="002B10CB">
        <w:rPr>
          <w:bCs/>
          <w:color w:val="FF0000"/>
        </w:rPr>
        <w:t xml:space="preserve"> é o número de átomos de carbono e </w:t>
      </w:r>
      <w:r w:rsidRPr="002B10CB">
        <w:rPr>
          <w:b/>
          <w:bCs/>
          <w:color w:val="FF0000"/>
        </w:rPr>
        <w:t>Y</w:t>
      </w:r>
      <w:r w:rsidRPr="002B10CB">
        <w:rPr>
          <w:bCs/>
          <w:color w:val="FF0000"/>
        </w:rPr>
        <w:t xml:space="preserve"> é o número de ligações duplas na cadeia.</w:t>
      </w:r>
    </w:p>
    <w:p w14:paraId="0775B20C" w14:textId="77777777" w:rsidR="002B10CB" w:rsidRDefault="002B10CB" w:rsidP="002B10CB">
      <w:pPr>
        <w:pStyle w:val="PargrafodaLista"/>
        <w:numPr>
          <w:ilvl w:val="0"/>
          <w:numId w:val="4"/>
        </w:numPr>
        <w:rPr>
          <w:bCs/>
          <w:color w:val="FF0000"/>
        </w:rPr>
      </w:pPr>
      <w:r w:rsidRPr="002B10CB">
        <w:rPr>
          <w:b/>
          <w:color w:val="FF0000"/>
        </w:rPr>
        <w:t>Exemplo</w:t>
      </w:r>
      <w:r w:rsidRPr="002B10CB">
        <w:rPr>
          <w:bCs/>
          <w:color w:val="FF0000"/>
        </w:rPr>
        <w:t xml:space="preserve">: O ácido graxo </w:t>
      </w:r>
      <w:r w:rsidRPr="002B10CB">
        <w:rPr>
          <w:b/>
          <w:color w:val="FF0000"/>
        </w:rPr>
        <w:t>C18:1</w:t>
      </w:r>
      <w:r w:rsidRPr="002B10CB">
        <w:rPr>
          <w:bCs/>
          <w:color w:val="FF0000"/>
        </w:rPr>
        <w:t xml:space="preserve"> indica um ácido graxo com 18 átomos de carbono e uma ligação dupla.</w:t>
      </w:r>
    </w:p>
    <w:p w14:paraId="01198581" w14:textId="5E20DDE4" w:rsidR="002B10CB" w:rsidRDefault="002B10CB" w:rsidP="002B10CB">
      <w:pPr>
        <w:pStyle w:val="PargrafodaLista"/>
        <w:rPr>
          <w:color w:val="FF0000"/>
        </w:rPr>
      </w:pPr>
      <w:r w:rsidRPr="002B10CB">
        <w:rPr>
          <w:b/>
          <w:bCs/>
          <w:color w:val="FF0000"/>
        </w:rPr>
        <w:t>Localização das ligações duplas</w:t>
      </w:r>
      <w:r w:rsidRPr="002B10CB">
        <w:rPr>
          <w:color w:val="FF0000"/>
        </w:rPr>
        <w:t>:</w:t>
      </w:r>
    </w:p>
    <w:p w14:paraId="759D0FEA" w14:textId="2006D46A" w:rsidR="002B10CB" w:rsidRPr="004B4DA9" w:rsidRDefault="002B10CB" w:rsidP="002B10CB">
      <w:pPr>
        <w:pStyle w:val="PargrafodaLista"/>
        <w:numPr>
          <w:ilvl w:val="0"/>
          <w:numId w:val="5"/>
        </w:numPr>
        <w:rPr>
          <w:color w:val="FF0000"/>
        </w:rPr>
      </w:pPr>
      <w:r w:rsidRPr="004B4DA9">
        <w:rPr>
          <w:color w:val="FF0000"/>
        </w:rPr>
        <w:t>A localização das ligações duplas é indicada pela contagem dos átomos de carbono a partir do carbono da carboxila (</w:t>
      </w:r>
      <w:r w:rsidRPr="004B4DA9">
        <w:rPr>
          <w:b/>
          <w:bCs/>
          <w:color w:val="FF0000"/>
        </w:rPr>
        <w:t>C1</w:t>
      </w:r>
      <w:r w:rsidRPr="004B4DA9">
        <w:rPr>
          <w:color w:val="FF0000"/>
        </w:rPr>
        <w:t xml:space="preserve">). As posições das ligações duplas são indicadas por números após o sinal </w:t>
      </w:r>
      <w:r w:rsidRPr="004B4DA9">
        <w:rPr>
          <w:b/>
          <w:bCs/>
          <w:color w:val="FF0000"/>
        </w:rPr>
        <w:t>Δ</w:t>
      </w:r>
      <w:r w:rsidR="004B4DA9">
        <w:rPr>
          <w:color w:val="FF0000"/>
        </w:rPr>
        <w:t>.</w:t>
      </w:r>
    </w:p>
    <w:p w14:paraId="757E7675" w14:textId="246D6069" w:rsidR="002B10CB" w:rsidRDefault="002B10CB" w:rsidP="002B10CB">
      <w:pPr>
        <w:pStyle w:val="PargrafodaLista"/>
        <w:numPr>
          <w:ilvl w:val="0"/>
          <w:numId w:val="5"/>
        </w:numPr>
        <w:rPr>
          <w:color w:val="FF0000"/>
        </w:rPr>
      </w:pPr>
      <w:r w:rsidRPr="004B4DA9">
        <w:rPr>
          <w:b/>
          <w:bCs/>
          <w:color w:val="FF0000"/>
        </w:rPr>
        <w:t>Exemplo</w:t>
      </w:r>
      <w:r w:rsidRPr="004B4DA9">
        <w:rPr>
          <w:color w:val="FF0000"/>
        </w:rPr>
        <w:t xml:space="preserve">: </w:t>
      </w:r>
      <w:r w:rsidRPr="004B4DA9">
        <w:rPr>
          <w:b/>
          <w:bCs/>
          <w:color w:val="FF0000"/>
        </w:rPr>
        <w:t xml:space="preserve">C18:1 Δ9 </w:t>
      </w:r>
      <w:r w:rsidRPr="004B4DA9">
        <w:rPr>
          <w:color w:val="FF0000"/>
        </w:rPr>
        <w:t>indica que a ligação dupla está entre os carbonos 9 e 10.</w:t>
      </w:r>
    </w:p>
    <w:p w14:paraId="0FA71DCF" w14:textId="13D09763" w:rsidR="004B4DA9" w:rsidRDefault="004B4DA9" w:rsidP="004B4DA9">
      <w:pPr>
        <w:ind w:left="708"/>
        <w:rPr>
          <w:b/>
          <w:bCs/>
          <w:color w:val="FF0000"/>
        </w:rPr>
      </w:pPr>
      <w:r w:rsidRPr="004B4DA9">
        <w:rPr>
          <w:b/>
          <w:bCs/>
          <w:color w:val="FF0000"/>
        </w:rPr>
        <w:t>Série ômega (ω)</w:t>
      </w:r>
      <w:r>
        <w:rPr>
          <w:b/>
          <w:bCs/>
          <w:color w:val="FF0000"/>
        </w:rPr>
        <w:t>:</w:t>
      </w:r>
    </w:p>
    <w:p w14:paraId="13C282C9" w14:textId="3B349C42" w:rsidR="00813576" w:rsidRPr="00813576" w:rsidRDefault="004B4DA9" w:rsidP="00813576">
      <w:pPr>
        <w:pStyle w:val="PargrafodaLista"/>
        <w:numPr>
          <w:ilvl w:val="0"/>
          <w:numId w:val="5"/>
        </w:numPr>
        <w:rPr>
          <w:bCs/>
          <w:color w:val="FF0000"/>
        </w:rPr>
      </w:pPr>
      <w:r w:rsidRPr="004B4DA9">
        <w:rPr>
          <w:b/>
          <w:bCs/>
          <w:color w:val="FF0000"/>
        </w:rPr>
        <w:t>Exemplo</w:t>
      </w:r>
      <w:r w:rsidRPr="004B4DA9">
        <w:rPr>
          <w:bCs/>
          <w:color w:val="FF0000"/>
        </w:rPr>
        <w:t xml:space="preserve">: </w:t>
      </w:r>
      <w:r w:rsidRPr="004B4DA9">
        <w:rPr>
          <w:b/>
          <w:bCs/>
          <w:color w:val="FF0000"/>
        </w:rPr>
        <w:t>Ômega-3 (ω-3)</w:t>
      </w:r>
      <w:r w:rsidRPr="004B4DA9">
        <w:rPr>
          <w:bCs/>
          <w:color w:val="FF0000"/>
        </w:rPr>
        <w:t xml:space="preserve"> refere-se a ácidos graxos insaturados em que a primeira ligação dupla está localizada no terceiro carbono a partir do final da cadeia.</w:t>
      </w:r>
    </w:p>
    <w:p w14:paraId="45141B95" w14:textId="77777777" w:rsidR="004B4DA9" w:rsidRPr="004B4DA9" w:rsidRDefault="004B4DA9" w:rsidP="004B4DA9">
      <w:pPr>
        <w:pStyle w:val="PargrafodaLista"/>
        <w:ind w:left="1770"/>
        <w:rPr>
          <w:bCs/>
          <w:color w:val="FF0000"/>
        </w:rPr>
      </w:pPr>
    </w:p>
    <w:p w14:paraId="2AF52AD5" w14:textId="77777777" w:rsidR="004B4DA9" w:rsidRPr="00E61889" w:rsidRDefault="002B10CB" w:rsidP="000675D2">
      <w:pPr>
        <w:pStyle w:val="PargrafodaLista"/>
        <w:numPr>
          <w:ilvl w:val="0"/>
          <w:numId w:val="3"/>
        </w:numPr>
        <w:rPr>
          <w:b/>
          <w:bCs/>
        </w:rPr>
      </w:pPr>
      <w:r w:rsidRPr="00E61889">
        <w:rPr>
          <w:b/>
          <w:bCs/>
        </w:rPr>
        <w:t>Qual é a diferença entre ácidos graxos saturados e insaturados em termos de ponto de fusão e qual a relação disso com os conceitos de óleos e gorduras?</w:t>
      </w:r>
    </w:p>
    <w:p w14:paraId="79CA3C02" w14:textId="77777777" w:rsidR="004B4DA9" w:rsidRDefault="004B4DA9" w:rsidP="004B4DA9">
      <w:pPr>
        <w:pStyle w:val="PargrafodaLista"/>
        <w:rPr>
          <w:color w:val="FF0000"/>
        </w:rPr>
      </w:pPr>
      <w:r w:rsidRPr="004B4DA9">
        <w:rPr>
          <w:b/>
          <w:bCs/>
          <w:color w:val="FF0000"/>
        </w:rPr>
        <w:t>Ácidos graxos saturados</w:t>
      </w:r>
      <w:r w:rsidRPr="004B4DA9">
        <w:rPr>
          <w:color w:val="FF0000"/>
        </w:rPr>
        <w:t xml:space="preserve"> → pontos de fusão mais altos → tendem a formar gorduras sólidas à temperatura ambiente. </w:t>
      </w:r>
    </w:p>
    <w:p w14:paraId="18AA6812" w14:textId="1E7D194A" w:rsidR="004B4DA9" w:rsidRDefault="004B4DA9" w:rsidP="004B4DA9">
      <w:pPr>
        <w:pStyle w:val="PargrafodaLista"/>
        <w:numPr>
          <w:ilvl w:val="0"/>
          <w:numId w:val="5"/>
        </w:numPr>
        <w:rPr>
          <w:color w:val="FF0000"/>
        </w:rPr>
      </w:pPr>
      <w:r>
        <w:rPr>
          <w:color w:val="FF0000"/>
        </w:rPr>
        <w:t>Ligação simples.</w:t>
      </w:r>
    </w:p>
    <w:p w14:paraId="7195EDFB" w14:textId="6070E673" w:rsidR="004B4DA9" w:rsidRDefault="004B4DA9" w:rsidP="004B4DA9">
      <w:pPr>
        <w:pStyle w:val="PargrafodaLista"/>
        <w:numPr>
          <w:ilvl w:val="0"/>
          <w:numId w:val="5"/>
        </w:numPr>
        <w:rPr>
          <w:color w:val="FF0000"/>
        </w:rPr>
      </w:pPr>
      <w:r w:rsidRPr="004B4DA9">
        <w:rPr>
          <w:color w:val="FF0000"/>
        </w:rPr>
        <w:t xml:space="preserve">Devido a essa organização </w:t>
      </w:r>
      <w:r w:rsidR="00AD675C">
        <w:rPr>
          <w:color w:val="FF0000"/>
        </w:rPr>
        <w:t>+</w:t>
      </w:r>
      <w:r w:rsidRPr="004B4DA9">
        <w:rPr>
          <w:color w:val="FF0000"/>
        </w:rPr>
        <w:t xml:space="preserve"> eficiente</w:t>
      </w:r>
      <w:r>
        <w:rPr>
          <w:color w:val="FF0000"/>
        </w:rPr>
        <w:t xml:space="preserve">, tem o ponto de fusão </w:t>
      </w:r>
      <w:r w:rsidR="00AD675C">
        <w:rPr>
          <w:color w:val="FF0000"/>
        </w:rPr>
        <w:sym w:font="Wingdings" w:char="F0E1"/>
      </w:r>
      <w:r>
        <w:rPr>
          <w:color w:val="FF0000"/>
        </w:rPr>
        <w:t>. E s</w:t>
      </w:r>
      <w:r w:rsidRPr="004B4DA9">
        <w:rPr>
          <w:color w:val="FF0000"/>
        </w:rPr>
        <w:t>ão sólidos à temperatura ambiente.</w:t>
      </w:r>
    </w:p>
    <w:p w14:paraId="67F682EF" w14:textId="2A2BB8AA" w:rsidR="004B4DA9" w:rsidRDefault="004B4DA9" w:rsidP="004B4DA9">
      <w:pPr>
        <w:pStyle w:val="PargrafodaLista"/>
        <w:numPr>
          <w:ilvl w:val="0"/>
          <w:numId w:val="5"/>
        </w:numPr>
        <w:rPr>
          <w:color w:val="FF0000"/>
        </w:rPr>
      </w:pPr>
      <w:r>
        <w:rPr>
          <w:color w:val="FF0000"/>
        </w:rPr>
        <w:t>Ex: manteiga e gordura animal (banha).</w:t>
      </w:r>
    </w:p>
    <w:p w14:paraId="2B53F7DA" w14:textId="2A758709" w:rsidR="004B4DA9" w:rsidRDefault="004B4DA9" w:rsidP="004B4DA9">
      <w:pPr>
        <w:pStyle w:val="PargrafodaLista"/>
        <w:rPr>
          <w:color w:val="FF0000"/>
        </w:rPr>
      </w:pPr>
      <w:r w:rsidRPr="004B4DA9">
        <w:rPr>
          <w:b/>
          <w:color w:val="FF0000"/>
        </w:rPr>
        <w:t>Ácidos graxos insaturados</w:t>
      </w:r>
      <w:r w:rsidRPr="004B4DA9">
        <w:rPr>
          <w:color w:val="FF0000"/>
        </w:rPr>
        <w:t xml:space="preserve"> → pontos de fusão mais baixos → tendem a formar óleos líquidos à temperatura ambiente.</w:t>
      </w:r>
    </w:p>
    <w:p w14:paraId="604A4BA0" w14:textId="0FD286F7" w:rsidR="004B4DA9" w:rsidRDefault="004B4DA9" w:rsidP="004B4DA9">
      <w:pPr>
        <w:pStyle w:val="PargrafodaLista"/>
        <w:numPr>
          <w:ilvl w:val="0"/>
          <w:numId w:val="5"/>
        </w:numPr>
        <w:rPr>
          <w:bCs/>
          <w:color w:val="FF0000"/>
        </w:rPr>
      </w:pPr>
      <w:r w:rsidRPr="004B4DA9">
        <w:rPr>
          <w:bCs/>
          <w:color w:val="FF0000"/>
        </w:rPr>
        <w:t>Ligação dupla</w:t>
      </w:r>
    </w:p>
    <w:p w14:paraId="32F1781F" w14:textId="208D5130" w:rsidR="004B4DA9" w:rsidRDefault="004B4DA9" w:rsidP="004B4DA9">
      <w:pPr>
        <w:pStyle w:val="PargrafodaLista"/>
        <w:numPr>
          <w:ilvl w:val="0"/>
          <w:numId w:val="5"/>
        </w:numPr>
        <w:rPr>
          <w:bCs/>
          <w:color w:val="FF0000"/>
        </w:rPr>
      </w:pPr>
      <w:r w:rsidRPr="004B4DA9">
        <w:rPr>
          <w:bCs/>
          <w:color w:val="FF0000"/>
        </w:rPr>
        <w:t xml:space="preserve">Devido a essas dobras, </w:t>
      </w:r>
      <w:r w:rsidRPr="004B4DA9">
        <w:rPr>
          <w:color w:val="FF0000"/>
        </w:rPr>
        <w:t>não se empacotam</w:t>
      </w:r>
      <w:r>
        <w:rPr>
          <w:color w:val="FF0000"/>
        </w:rPr>
        <w:t xml:space="preserve"> tão bem</w:t>
      </w:r>
      <w:r w:rsidRPr="004B4DA9">
        <w:rPr>
          <w:bCs/>
          <w:color w:val="FF0000"/>
        </w:rPr>
        <w:t>, o que diminui as interações entre elas</w:t>
      </w:r>
      <w:r>
        <w:rPr>
          <w:bCs/>
          <w:color w:val="FF0000"/>
        </w:rPr>
        <w:t>, tendo</w:t>
      </w:r>
      <w:r w:rsidRPr="004B4DA9">
        <w:rPr>
          <w:bCs/>
          <w:color w:val="FF0000"/>
        </w:rPr>
        <w:t xml:space="preserve"> </w:t>
      </w:r>
      <w:r w:rsidRPr="004B4DA9">
        <w:rPr>
          <w:color w:val="FF0000"/>
        </w:rPr>
        <w:t xml:space="preserve">pontos de fusão mais </w:t>
      </w:r>
      <w:r w:rsidR="00AD675C">
        <w:rPr>
          <w:color w:val="FF0000"/>
        </w:rPr>
        <w:sym w:font="Wingdings" w:char="F0E2"/>
      </w:r>
      <w:r w:rsidR="00AD675C">
        <w:rPr>
          <w:color w:val="FF0000"/>
        </w:rPr>
        <w:t xml:space="preserve"> </w:t>
      </w:r>
      <w:r w:rsidRPr="004B4DA9">
        <w:rPr>
          <w:bCs/>
          <w:color w:val="FF0000"/>
        </w:rPr>
        <w:t>e tendem a ser líquidos à temperatura ambiente.</w:t>
      </w:r>
    </w:p>
    <w:p w14:paraId="3CA4EC95" w14:textId="50937410" w:rsidR="004B4DA9" w:rsidRDefault="004B4DA9" w:rsidP="004B4DA9">
      <w:pPr>
        <w:pStyle w:val="PargrafodaLista"/>
        <w:numPr>
          <w:ilvl w:val="0"/>
          <w:numId w:val="5"/>
        </w:numPr>
        <w:rPr>
          <w:bCs/>
          <w:color w:val="FF0000"/>
        </w:rPr>
      </w:pPr>
      <w:r>
        <w:rPr>
          <w:bCs/>
          <w:color w:val="FF0000"/>
        </w:rPr>
        <w:t xml:space="preserve">Ex: </w:t>
      </w:r>
      <w:r w:rsidRPr="004B4DA9">
        <w:rPr>
          <w:bCs/>
          <w:color w:val="FF0000"/>
        </w:rPr>
        <w:t>azeite de oliva, óleo de soja e óleo de canola.</w:t>
      </w:r>
    </w:p>
    <w:p w14:paraId="60ADD8DF" w14:textId="77777777" w:rsidR="00813576" w:rsidRPr="00813576" w:rsidRDefault="00813576" w:rsidP="00813576">
      <w:pPr>
        <w:ind w:left="708"/>
        <w:rPr>
          <w:color w:val="FF0000"/>
        </w:rPr>
      </w:pPr>
      <w:r w:rsidRPr="00813576">
        <w:rPr>
          <w:b/>
          <w:color w:val="FF0000"/>
        </w:rPr>
        <w:t xml:space="preserve">Ácido graxo insaturado </w:t>
      </w:r>
      <w:r w:rsidRPr="00813576">
        <w:rPr>
          <w:color w:val="FF0000"/>
        </w:rPr>
        <w:t>(trans – isomeria)</w:t>
      </w:r>
      <w:r w:rsidRPr="00813576">
        <w:rPr>
          <w:b/>
          <w:color w:val="FF0000"/>
        </w:rPr>
        <w:t xml:space="preserve">: </w:t>
      </w:r>
      <w:r w:rsidRPr="00813576">
        <w:rPr>
          <w:color w:val="FF0000"/>
        </w:rPr>
        <w:sym w:font="Wingdings" w:char="F0E1"/>
      </w:r>
      <w:r w:rsidRPr="00813576">
        <w:rPr>
          <w:color w:val="FF0000"/>
        </w:rPr>
        <w:t xml:space="preserve"> ponto de fusão e melhora o empacotamento.</w:t>
      </w:r>
    </w:p>
    <w:p w14:paraId="0865C180" w14:textId="15613420" w:rsidR="00813576" w:rsidRPr="00813576" w:rsidRDefault="00813576" w:rsidP="00813576">
      <w:pPr>
        <w:pStyle w:val="PargrafodaLista"/>
        <w:numPr>
          <w:ilvl w:val="0"/>
          <w:numId w:val="5"/>
        </w:numPr>
        <w:rPr>
          <w:color w:val="FF0000"/>
        </w:rPr>
      </w:pPr>
      <w:r w:rsidRPr="00813576">
        <w:rPr>
          <w:color w:val="FF0000"/>
        </w:rPr>
        <w:t>Ele sofreu uma hidrogenação e com isso os A.G passam a serem linearizados.</w:t>
      </w:r>
      <w:r w:rsidRPr="00813576">
        <w:rPr>
          <w:b/>
          <w:color w:val="FF0000"/>
        </w:rPr>
        <w:t xml:space="preserve"> </w:t>
      </w:r>
    </w:p>
    <w:p w14:paraId="7B13C4F6" w14:textId="77777777" w:rsidR="004B4DA9" w:rsidRPr="004B4DA9" w:rsidRDefault="004B4DA9" w:rsidP="004B4DA9">
      <w:pPr>
        <w:pStyle w:val="PargrafodaLista"/>
        <w:ind w:left="1770"/>
        <w:rPr>
          <w:bCs/>
          <w:color w:val="FF0000"/>
        </w:rPr>
      </w:pPr>
    </w:p>
    <w:p w14:paraId="29EAC3F5" w14:textId="0BE35309" w:rsidR="002B10CB" w:rsidRPr="00E61889" w:rsidRDefault="002B10CB" w:rsidP="000675D2">
      <w:pPr>
        <w:pStyle w:val="PargrafodaLista"/>
        <w:numPr>
          <w:ilvl w:val="0"/>
          <w:numId w:val="3"/>
        </w:numPr>
        <w:rPr>
          <w:b/>
          <w:bCs/>
        </w:rPr>
      </w:pPr>
      <w:r w:rsidRPr="00E61889">
        <w:rPr>
          <w:b/>
          <w:bCs/>
        </w:rPr>
        <w:t>O que explica a propriedade surfactante dos fosfolipídios e qual a importância disso para a gastronomia e a indústria de alimentos?</w:t>
      </w:r>
    </w:p>
    <w:p w14:paraId="4EB675FE" w14:textId="270F80D8" w:rsidR="004B4DA9" w:rsidRDefault="00DD56E7" w:rsidP="004B4DA9">
      <w:pPr>
        <w:pStyle w:val="PargrafodaLista"/>
        <w:rPr>
          <w:color w:val="FF0000"/>
        </w:rPr>
      </w:pPr>
      <w:r w:rsidRPr="00DD56E7">
        <w:rPr>
          <w:color w:val="FF0000"/>
        </w:rPr>
        <w:t xml:space="preserve">A </w:t>
      </w:r>
      <w:r w:rsidRPr="00AD675C">
        <w:rPr>
          <w:b/>
          <w:bCs/>
          <w:color w:val="FF0000"/>
        </w:rPr>
        <w:t>atividade surfactante</w:t>
      </w:r>
      <w:r w:rsidRPr="00DD56E7">
        <w:rPr>
          <w:color w:val="FF0000"/>
        </w:rPr>
        <w:t xml:space="preserve"> dos fosfolipídeos possibilita que eles possam ser utilizados para a modificação das propriedades físicas de lipídeos, atuando como </w:t>
      </w:r>
      <w:r w:rsidRPr="00DD56E7">
        <w:rPr>
          <w:b/>
          <w:bCs/>
          <w:color w:val="FF0000"/>
        </w:rPr>
        <w:t>emulsificantes</w:t>
      </w:r>
      <w:r w:rsidRPr="00DD56E7">
        <w:rPr>
          <w:color w:val="FF0000"/>
        </w:rPr>
        <w:t xml:space="preserve">, bem como para a modificação do comportamento de </w:t>
      </w:r>
      <w:r w:rsidRPr="00DD56E7">
        <w:rPr>
          <w:b/>
          <w:bCs/>
          <w:color w:val="FF0000"/>
        </w:rPr>
        <w:t>cristalização de lipídeos</w:t>
      </w:r>
      <w:r>
        <w:rPr>
          <w:color w:val="FF0000"/>
        </w:rPr>
        <w:t>.</w:t>
      </w:r>
    </w:p>
    <w:p w14:paraId="59959632" w14:textId="7E4EDADF" w:rsidR="004B4DA9" w:rsidRDefault="00DD56E7" w:rsidP="00DD56E7">
      <w:pPr>
        <w:pStyle w:val="PargrafodaLista"/>
        <w:rPr>
          <w:color w:val="FF0000"/>
        </w:rPr>
      </w:pPr>
      <w:r w:rsidRPr="00AD675C">
        <w:rPr>
          <w:b/>
          <w:bCs/>
          <w:color w:val="FF0000"/>
        </w:rPr>
        <w:lastRenderedPageBreak/>
        <w:t>Na gastronomia</w:t>
      </w:r>
      <w:r w:rsidR="00AD675C">
        <w:rPr>
          <w:color w:val="FF0000"/>
        </w:rPr>
        <w:t>:</w:t>
      </w:r>
      <w:r>
        <w:rPr>
          <w:color w:val="FF0000"/>
        </w:rPr>
        <w:t xml:space="preserve"> </w:t>
      </w:r>
      <w:r w:rsidRPr="00DD56E7">
        <w:rPr>
          <w:color w:val="FF0000"/>
        </w:rPr>
        <w:t xml:space="preserve">permite a criação e a estabilização de </w:t>
      </w:r>
      <w:r w:rsidRPr="00DD56E7">
        <w:rPr>
          <w:b/>
          <w:bCs/>
          <w:color w:val="FF0000"/>
        </w:rPr>
        <w:t>emulsões</w:t>
      </w:r>
      <w:r w:rsidRPr="00DD56E7">
        <w:rPr>
          <w:color w:val="FF0000"/>
        </w:rPr>
        <w:t xml:space="preserve">, misturando água e gordura. </w:t>
      </w:r>
      <w:r>
        <w:rPr>
          <w:color w:val="FF0000"/>
        </w:rPr>
        <w:t xml:space="preserve">Crucial </w:t>
      </w:r>
      <w:r w:rsidRPr="00DD56E7">
        <w:rPr>
          <w:color w:val="FF0000"/>
        </w:rPr>
        <w:t>p</w:t>
      </w:r>
      <w:r>
        <w:rPr>
          <w:color w:val="FF0000"/>
        </w:rPr>
        <w:t>/</w:t>
      </w:r>
      <w:r w:rsidRPr="00DD56E7">
        <w:rPr>
          <w:color w:val="FF0000"/>
        </w:rPr>
        <w:t xml:space="preserve"> produção de uma ampla variedade de produtos alimentares com boas propriedades de </w:t>
      </w:r>
      <w:r w:rsidRPr="00DD56E7">
        <w:rPr>
          <w:b/>
          <w:bCs/>
          <w:color w:val="FF0000"/>
        </w:rPr>
        <w:t>textura</w:t>
      </w:r>
      <w:r w:rsidRPr="00DD56E7">
        <w:rPr>
          <w:color w:val="FF0000"/>
        </w:rPr>
        <w:t xml:space="preserve">, </w:t>
      </w:r>
      <w:r w:rsidRPr="00DD56E7">
        <w:rPr>
          <w:b/>
          <w:bCs/>
          <w:color w:val="FF0000"/>
        </w:rPr>
        <w:t>estabilidade</w:t>
      </w:r>
      <w:r w:rsidRPr="00DD56E7">
        <w:rPr>
          <w:color w:val="FF0000"/>
        </w:rPr>
        <w:t xml:space="preserve"> e </w:t>
      </w:r>
      <w:r w:rsidRPr="00DD56E7">
        <w:rPr>
          <w:b/>
          <w:bCs/>
          <w:color w:val="FF0000"/>
        </w:rPr>
        <w:t>sabor</w:t>
      </w:r>
      <w:r w:rsidRPr="00DD56E7">
        <w:rPr>
          <w:color w:val="FF0000"/>
        </w:rPr>
        <w:t xml:space="preserve">, </w:t>
      </w:r>
      <w:r>
        <w:rPr>
          <w:color w:val="FF0000"/>
        </w:rPr>
        <w:t xml:space="preserve">ex: </w:t>
      </w:r>
      <w:r w:rsidRPr="00DD56E7">
        <w:rPr>
          <w:color w:val="FF0000"/>
        </w:rPr>
        <w:t>maioneses, margarinas, sorvetes e chocolates</w:t>
      </w:r>
      <w:r>
        <w:rPr>
          <w:color w:val="FF0000"/>
        </w:rPr>
        <w:t>.</w:t>
      </w:r>
    </w:p>
    <w:p w14:paraId="6D9749D5" w14:textId="77777777" w:rsidR="00DD56E7" w:rsidRPr="00DD56E7" w:rsidRDefault="00DD56E7" w:rsidP="00DD56E7">
      <w:pPr>
        <w:pStyle w:val="PargrafodaLista"/>
        <w:rPr>
          <w:color w:val="FF0000"/>
        </w:rPr>
      </w:pPr>
    </w:p>
    <w:p w14:paraId="2E6C66A5" w14:textId="0037E0B6" w:rsidR="002B10CB" w:rsidRPr="00E61889" w:rsidRDefault="002B10CB" w:rsidP="002B10CB">
      <w:pPr>
        <w:pStyle w:val="PargrafodaLista"/>
        <w:numPr>
          <w:ilvl w:val="0"/>
          <w:numId w:val="3"/>
        </w:numPr>
        <w:rPr>
          <w:b/>
          <w:bCs/>
        </w:rPr>
      </w:pPr>
      <w:r w:rsidRPr="00E61889">
        <w:rPr>
          <w:b/>
          <w:bCs/>
        </w:rPr>
        <w:t>Quais são os produtos desejáveis e indesejáveis do processo de hidrogenação, utilizado industrialmente para converter óleos em gorduras?</w:t>
      </w:r>
    </w:p>
    <w:p w14:paraId="3039D48F" w14:textId="77777777" w:rsidR="00DD56E7" w:rsidRDefault="00DD56E7" w:rsidP="00DD56E7">
      <w:pPr>
        <w:pStyle w:val="PargrafodaLista"/>
        <w:rPr>
          <w:b/>
          <w:color w:val="FF0000"/>
        </w:rPr>
      </w:pPr>
      <w:r>
        <w:rPr>
          <w:b/>
          <w:color w:val="FF0000"/>
        </w:rPr>
        <w:t xml:space="preserve">Produtos desejáveis: </w:t>
      </w:r>
    </w:p>
    <w:p w14:paraId="2672B48F" w14:textId="6A41EDDB" w:rsidR="00DD56E7" w:rsidRDefault="00DD56E7" w:rsidP="00DD56E7">
      <w:pPr>
        <w:pStyle w:val="PargrafodaLista"/>
        <w:numPr>
          <w:ilvl w:val="0"/>
          <w:numId w:val="5"/>
        </w:numPr>
        <w:rPr>
          <w:color w:val="FF0000"/>
        </w:rPr>
      </w:pPr>
      <w:r>
        <w:rPr>
          <w:b/>
          <w:bCs/>
          <w:color w:val="FF0000"/>
        </w:rPr>
        <w:t>G</w:t>
      </w:r>
      <w:r w:rsidRPr="00DD56E7">
        <w:rPr>
          <w:b/>
          <w:bCs/>
          <w:color w:val="FF0000"/>
        </w:rPr>
        <w:t>orduras mais estáveis</w:t>
      </w:r>
      <w:r>
        <w:rPr>
          <w:color w:val="FF0000"/>
        </w:rPr>
        <w:t xml:space="preserve"> (</w:t>
      </w:r>
      <w:r w:rsidR="00AD675C">
        <w:rPr>
          <w:color w:val="FF0000"/>
        </w:rPr>
        <w:sym w:font="Wingdings" w:char="F0E1"/>
      </w:r>
      <w:r w:rsidR="00AD675C">
        <w:rPr>
          <w:color w:val="FF0000"/>
        </w:rPr>
        <w:t xml:space="preserve"> </w:t>
      </w:r>
      <w:r>
        <w:rPr>
          <w:color w:val="FF0000"/>
        </w:rPr>
        <w:t>a vida útil de margarinas por ex).</w:t>
      </w:r>
    </w:p>
    <w:p w14:paraId="333F8E0E" w14:textId="77777777" w:rsidR="00DD56E7" w:rsidRDefault="00DD56E7" w:rsidP="00DD56E7">
      <w:pPr>
        <w:pStyle w:val="PargrafodaLista"/>
        <w:numPr>
          <w:ilvl w:val="0"/>
          <w:numId w:val="5"/>
        </w:numPr>
        <w:rPr>
          <w:color w:val="FF0000"/>
        </w:rPr>
      </w:pPr>
      <w:r w:rsidRPr="00DD56E7">
        <w:rPr>
          <w:b/>
          <w:bCs/>
          <w:color w:val="FF0000"/>
        </w:rPr>
        <w:t>Alteração da textura</w:t>
      </w:r>
      <w:r>
        <w:rPr>
          <w:color w:val="FF0000"/>
        </w:rPr>
        <w:t xml:space="preserve"> (mantem consistência sólida para produtos ex: sorvetes). </w:t>
      </w:r>
    </w:p>
    <w:p w14:paraId="54F064BF" w14:textId="19858B59" w:rsidR="00DD56E7" w:rsidRDefault="00DD56E7" w:rsidP="00DD56E7">
      <w:pPr>
        <w:pStyle w:val="PargrafodaLista"/>
        <w:numPr>
          <w:ilvl w:val="0"/>
          <w:numId w:val="5"/>
        </w:numPr>
        <w:rPr>
          <w:color w:val="FF0000"/>
        </w:rPr>
      </w:pPr>
      <w:r w:rsidRPr="00DD56E7">
        <w:rPr>
          <w:b/>
          <w:bCs/>
          <w:color w:val="FF0000"/>
        </w:rPr>
        <w:t>Versatilidade na culinária</w:t>
      </w:r>
      <w:r>
        <w:rPr>
          <w:color w:val="FF0000"/>
        </w:rPr>
        <w:t xml:space="preserve"> (massas folhadas e confeitaria, devido a consistência moldável).</w:t>
      </w:r>
    </w:p>
    <w:p w14:paraId="0A9F6B03" w14:textId="63D64782" w:rsidR="00DD56E7" w:rsidRDefault="00DD56E7" w:rsidP="00DD56E7">
      <w:pPr>
        <w:pStyle w:val="PargrafodaLista"/>
        <w:rPr>
          <w:b/>
          <w:bCs/>
          <w:color w:val="FF0000"/>
        </w:rPr>
      </w:pPr>
      <w:r w:rsidRPr="00DD56E7">
        <w:rPr>
          <w:b/>
          <w:bCs/>
          <w:color w:val="FF0000"/>
        </w:rPr>
        <w:t>Produtos indesejáveis da hidrogenação:</w:t>
      </w:r>
    </w:p>
    <w:p w14:paraId="3F69BEBF" w14:textId="7A75FEEC" w:rsidR="00DD56E7" w:rsidRPr="00AD675C" w:rsidRDefault="00DD56E7" w:rsidP="00DD56E7">
      <w:pPr>
        <w:pStyle w:val="PargrafodaLista"/>
        <w:numPr>
          <w:ilvl w:val="0"/>
          <w:numId w:val="5"/>
        </w:numPr>
        <w:rPr>
          <w:b/>
          <w:bCs/>
          <w:color w:val="FF0000"/>
        </w:rPr>
      </w:pPr>
      <w:r w:rsidRPr="00DD56E7">
        <w:rPr>
          <w:b/>
          <w:bCs/>
          <w:color w:val="FF0000"/>
        </w:rPr>
        <w:t>Gorduras trans</w:t>
      </w:r>
      <w:r>
        <w:rPr>
          <w:b/>
          <w:bCs/>
          <w:color w:val="FF0000"/>
        </w:rPr>
        <w:t xml:space="preserve"> </w:t>
      </w:r>
      <w:r>
        <w:rPr>
          <w:bCs/>
          <w:color w:val="FF0000"/>
        </w:rPr>
        <w:t>(</w:t>
      </w:r>
      <w:r w:rsidR="00AD675C">
        <w:rPr>
          <w:bCs/>
          <w:color w:val="FF0000"/>
        </w:rPr>
        <w:sym w:font="Wingdings" w:char="F0E1"/>
      </w:r>
      <w:r w:rsidR="00AD675C">
        <w:rPr>
          <w:bCs/>
          <w:color w:val="FF0000"/>
        </w:rPr>
        <w:t xml:space="preserve"> </w:t>
      </w:r>
      <w:r>
        <w:rPr>
          <w:bCs/>
          <w:color w:val="FF0000"/>
        </w:rPr>
        <w:t xml:space="preserve">LDL e </w:t>
      </w:r>
      <w:r w:rsidR="00AD675C">
        <w:rPr>
          <w:bCs/>
          <w:color w:val="FF0000"/>
        </w:rPr>
        <w:sym w:font="Wingdings" w:char="F0E2"/>
      </w:r>
      <w:r w:rsidR="00AD675C">
        <w:rPr>
          <w:bCs/>
          <w:color w:val="FF0000"/>
        </w:rPr>
        <w:t xml:space="preserve"> </w:t>
      </w:r>
      <w:r>
        <w:rPr>
          <w:bCs/>
          <w:color w:val="FF0000"/>
        </w:rPr>
        <w:t>HDL</w:t>
      </w:r>
      <w:r w:rsidR="00AD675C">
        <w:rPr>
          <w:bCs/>
          <w:color w:val="FF0000"/>
        </w:rPr>
        <w:t>)</w:t>
      </w:r>
    </w:p>
    <w:p w14:paraId="14F51D99" w14:textId="4620996A" w:rsidR="00AD675C" w:rsidRDefault="00AD675C" w:rsidP="00DD56E7">
      <w:pPr>
        <w:pStyle w:val="PargrafodaLista"/>
        <w:numPr>
          <w:ilvl w:val="0"/>
          <w:numId w:val="5"/>
        </w:numPr>
        <w:rPr>
          <w:b/>
          <w:bCs/>
          <w:color w:val="FF0000"/>
        </w:rPr>
      </w:pPr>
      <w:r w:rsidRPr="00AD675C">
        <w:rPr>
          <w:b/>
          <w:bCs/>
          <w:color w:val="FF0000"/>
        </w:rPr>
        <w:t>Saturação excessiva</w:t>
      </w:r>
      <w:r>
        <w:rPr>
          <w:b/>
          <w:bCs/>
          <w:color w:val="FF0000"/>
        </w:rPr>
        <w:t xml:space="preserve"> (</w:t>
      </w:r>
      <w:r>
        <w:rPr>
          <w:bCs/>
          <w:color w:val="FF0000"/>
        </w:rPr>
        <w:sym w:font="Wingdings" w:char="F0E1"/>
      </w:r>
      <w:r w:rsidRPr="00AD675C">
        <w:rPr>
          <w:bCs/>
          <w:color w:val="FF0000"/>
        </w:rPr>
        <w:t xml:space="preserve"> do risco de doenças cardíacas</w:t>
      </w:r>
      <w:r>
        <w:rPr>
          <w:b/>
          <w:bCs/>
          <w:color w:val="FF0000"/>
        </w:rPr>
        <w:t>)</w:t>
      </w:r>
    </w:p>
    <w:p w14:paraId="57ADAE5E" w14:textId="5E9FFE51" w:rsidR="00AD675C" w:rsidRPr="00AD675C" w:rsidRDefault="00AD675C" w:rsidP="00DD56E7">
      <w:pPr>
        <w:pStyle w:val="PargrafodaLista"/>
        <w:numPr>
          <w:ilvl w:val="0"/>
          <w:numId w:val="5"/>
        </w:numPr>
        <w:rPr>
          <w:b/>
          <w:bCs/>
          <w:color w:val="FF0000"/>
        </w:rPr>
      </w:pPr>
      <w:r w:rsidRPr="00AD675C">
        <w:rPr>
          <w:b/>
          <w:bCs/>
          <w:color w:val="FF0000"/>
        </w:rPr>
        <w:t>Perda de propriedades nutricionais</w:t>
      </w:r>
      <w:r>
        <w:rPr>
          <w:b/>
          <w:bCs/>
          <w:color w:val="FF0000"/>
        </w:rPr>
        <w:t xml:space="preserve"> </w:t>
      </w:r>
      <w:r>
        <w:rPr>
          <w:bCs/>
          <w:color w:val="FF0000"/>
        </w:rPr>
        <w:t xml:space="preserve">(ex: </w:t>
      </w:r>
      <w:r w:rsidRPr="00AD675C">
        <w:rPr>
          <w:color w:val="FF0000"/>
        </w:rPr>
        <w:t>ômega-3 e ômega-6</w:t>
      </w:r>
      <w:r w:rsidRPr="00AD675C">
        <w:rPr>
          <w:bCs/>
          <w:color w:val="FF0000"/>
        </w:rPr>
        <w:t>, podem perder suas propriedades nutricionais</w:t>
      </w:r>
      <w:r>
        <w:rPr>
          <w:bCs/>
          <w:color w:val="FF0000"/>
        </w:rPr>
        <w:t>).</w:t>
      </w:r>
    </w:p>
    <w:p w14:paraId="18445231" w14:textId="77777777" w:rsidR="00AD675C" w:rsidRPr="00AD675C" w:rsidRDefault="00AD675C" w:rsidP="00AD675C">
      <w:pPr>
        <w:rPr>
          <w:b/>
          <w:bCs/>
          <w:color w:val="FF0000"/>
        </w:rPr>
      </w:pPr>
    </w:p>
    <w:p w14:paraId="0FAA9D37" w14:textId="06AA582C" w:rsidR="002B10CB" w:rsidRPr="00E61889" w:rsidRDefault="002B10CB" w:rsidP="002B10CB">
      <w:pPr>
        <w:pStyle w:val="PargrafodaLista"/>
        <w:numPr>
          <w:ilvl w:val="0"/>
          <w:numId w:val="3"/>
        </w:numPr>
        <w:rPr>
          <w:b/>
          <w:bCs/>
        </w:rPr>
      </w:pPr>
      <w:r w:rsidRPr="00E61889">
        <w:rPr>
          <w:b/>
          <w:bCs/>
        </w:rPr>
        <w:t>Quais os diferentes agentes desencadeantes da rancidez oxidativa e da rancidez hidrolítica em alimentos lipídicos?</w:t>
      </w:r>
    </w:p>
    <w:p w14:paraId="20AC5754" w14:textId="33A4AE05" w:rsidR="00AD675C" w:rsidRDefault="00AD675C" w:rsidP="00AD675C">
      <w:pPr>
        <w:pStyle w:val="PargrafodaLista"/>
        <w:rPr>
          <w:b/>
          <w:bCs/>
          <w:color w:val="FF0000"/>
        </w:rPr>
      </w:pPr>
      <w:r w:rsidRPr="00AD675C">
        <w:rPr>
          <w:b/>
          <w:bCs/>
          <w:color w:val="FF0000"/>
        </w:rPr>
        <w:t>Rancidez oxidativa:</w:t>
      </w:r>
      <w:r w:rsidR="00E61889">
        <w:rPr>
          <w:b/>
          <w:bCs/>
          <w:color w:val="FF0000"/>
        </w:rPr>
        <w:t xml:space="preserve"> </w:t>
      </w:r>
      <w:r w:rsidR="00E61889">
        <w:rPr>
          <w:color w:val="FF0000"/>
        </w:rPr>
        <w:t>ocorre</w:t>
      </w:r>
      <w:r w:rsidR="00E61889" w:rsidRPr="00E61889">
        <w:rPr>
          <w:color w:val="FF0000"/>
        </w:rPr>
        <w:t xml:space="preserve"> quando os </w:t>
      </w:r>
      <w:r w:rsidR="00E61889" w:rsidRPr="00E61889">
        <w:rPr>
          <w:b/>
          <w:bCs/>
          <w:color w:val="FF0000"/>
        </w:rPr>
        <w:t>lipídios</w:t>
      </w:r>
      <w:r w:rsidR="00E61889" w:rsidRPr="00E61889">
        <w:rPr>
          <w:color w:val="FF0000"/>
        </w:rPr>
        <w:t xml:space="preserve">, especialmente os que contêm ácidos graxos insaturados, reagem com o </w:t>
      </w:r>
      <w:r w:rsidR="00E61889" w:rsidRPr="00E61889">
        <w:rPr>
          <w:b/>
          <w:bCs/>
          <w:color w:val="FF0000"/>
        </w:rPr>
        <w:t>oxigênio</w:t>
      </w:r>
      <w:r w:rsidR="00E61889" w:rsidRPr="00E61889">
        <w:rPr>
          <w:color w:val="FF0000"/>
        </w:rPr>
        <w:t xml:space="preserve">. </w:t>
      </w:r>
      <w:r w:rsidR="00E61889">
        <w:rPr>
          <w:color w:val="FF0000"/>
        </w:rPr>
        <w:t>Leva</w:t>
      </w:r>
      <w:r w:rsidR="00E61889" w:rsidRPr="00E61889">
        <w:rPr>
          <w:color w:val="FF0000"/>
        </w:rPr>
        <w:t xml:space="preserve"> à formação de </w:t>
      </w:r>
      <w:r w:rsidR="00E61889" w:rsidRPr="00E61889">
        <w:rPr>
          <w:b/>
          <w:bCs/>
          <w:color w:val="FF0000"/>
        </w:rPr>
        <w:t>peróxidos</w:t>
      </w:r>
      <w:r w:rsidR="00E61889" w:rsidRPr="00E61889">
        <w:rPr>
          <w:color w:val="FF0000"/>
        </w:rPr>
        <w:t xml:space="preserve"> e outros produtos de degradação que resultam em </w:t>
      </w:r>
      <w:r w:rsidR="00E61889" w:rsidRPr="00E61889">
        <w:rPr>
          <w:b/>
          <w:bCs/>
          <w:color w:val="FF0000"/>
        </w:rPr>
        <w:t>odores e sabores desagradáveis</w:t>
      </w:r>
      <w:r w:rsidR="00E61889" w:rsidRPr="00E61889">
        <w:rPr>
          <w:color w:val="FF0000"/>
        </w:rPr>
        <w:t>.</w:t>
      </w:r>
    </w:p>
    <w:p w14:paraId="64833318" w14:textId="77777777" w:rsidR="00AD675C" w:rsidRPr="00AD675C" w:rsidRDefault="00AD675C" w:rsidP="00AD675C">
      <w:pPr>
        <w:pStyle w:val="PargrafodaLista"/>
        <w:rPr>
          <w:b/>
          <w:bCs/>
          <w:color w:val="FF0000"/>
        </w:rPr>
      </w:pPr>
    </w:p>
    <w:p w14:paraId="1514054F" w14:textId="5189782B" w:rsidR="00AD675C" w:rsidRDefault="00AD675C" w:rsidP="00AD675C">
      <w:pPr>
        <w:pStyle w:val="PargrafodaLista"/>
        <w:rPr>
          <w:color w:val="FF0000"/>
        </w:rPr>
      </w:pPr>
      <w:r w:rsidRPr="00AD675C">
        <w:rPr>
          <w:b/>
          <w:bCs/>
          <w:color w:val="FF0000"/>
        </w:rPr>
        <w:t>Rancidez hidrolítica:</w:t>
      </w:r>
      <w:r>
        <w:rPr>
          <w:b/>
          <w:bCs/>
          <w:color w:val="FF0000"/>
        </w:rPr>
        <w:t xml:space="preserve"> </w:t>
      </w:r>
      <w:r w:rsidRPr="00AD675C">
        <w:rPr>
          <w:color w:val="FF0000"/>
        </w:rPr>
        <w:t xml:space="preserve">ocorre quando os </w:t>
      </w:r>
      <w:r w:rsidRPr="00AD675C">
        <w:rPr>
          <w:b/>
          <w:bCs/>
          <w:color w:val="FF0000"/>
        </w:rPr>
        <w:t>triglicerídeos</w:t>
      </w:r>
      <w:r>
        <w:rPr>
          <w:color w:val="FF0000"/>
        </w:rPr>
        <w:t xml:space="preserve"> </w:t>
      </w:r>
      <w:r w:rsidRPr="00AD675C">
        <w:rPr>
          <w:color w:val="FF0000"/>
        </w:rPr>
        <w:t xml:space="preserve">sofrem </w:t>
      </w:r>
      <w:r w:rsidRPr="00AD675C">
        <w:rPr>
          <w:b/>
          <w:bCs/>
          <w:color w:val="FF0000"/>
        </w:rPr>
        <w:t>hidrólise</w:t>
      </w:r>
      <w:r w:rsidRPr="00AD675C">
        <w:rPr>
          <w:color w:val="FF0000"/>
        </w:rPr>
        <w:t xml:space="preserve">, liberando </w:t>
      </w:r>
      <w:r w:rsidRPr="00AD675C">
        <w:rPr>
          <w:b/>
          <w:bCs/>
          <w:color w:val="FF0000"/>
        </w:rPr>
        <w:t>ácidos graxos livres</w:t>
      </w:r>
      <w:r w:rsidRPr="00AD675C">
        <w:rPr>
          <w:color w:val="FF0000"/>
        </w:rPr>
        <w:t xml:space="preserve">. Esse processo pode resultar em </w:t>
      </w:r>
      <w:r w:rsidRPr="00E61889">
        <w:rPr>
          <w:b/>
          <w:bCs/>
          <w:color w:val="FF0000"/>
        </w:rPr>
        <w:t>odores e sabores indesejáveis</w:t>
      </w:r>
      <w:r w:rsidRPr="00AD675C">
        <w:rPr>
          <w:color w:val="FF0000"/>
        </w:rPr>
        <w:t>, dependendo dos ácidos graxos liberados.</w:t>
      </w:r>
    </w:p>
    <w:p w14:paraId="62453A1B" w14:textId="77777777" w:rsidR="00E61889" w:rsidRDefault="00E61889" w:rsidP="00AD675C">
      <w:pPr>
        <w:pStyle w:val="PargrafodaLista"/>
        <w:rPr>
          <w:color w:val="FF0000"/>
        </w:rPr>
      </w:pPr>
    </w:p>
    <w:p w14:paraId="00F9D8DD" w14:textId="78769E60" w:rsidR="00E61889" w:rsidRDefault="00E61889" w:rsidP="00AD675C">
      <w:pPr>
        <w:pStyle w:val="PargrafodaLista"/>
        <w:rPr>
          <w:color w:val="FF0000"/>
        </w:rPr>
      </w:pPr>
      <w:r w:rsidRPr="00E61889">
        <w:rPr>
          <w:b/>
          <w:bCs/>
          <w:color w:val="FF0000"/>
          <w:highlight w:val="yellow"/>
        </w:rPr>
        <w:t>Agentes desencadeantes da rancidez oxidativa</w:t>
      </w:r>
      <w:r w:rsidRPr="00E61889">
        <w:rPr>
          <w:color w:val="FF0000"/>
          <w:highlight w:val="yellow"/>
        </w:rPr>
        <w:t>:</w:t>
      </w:r>
    </w:p>
    <w:p w14:paraId="10308409" w14:textId="17AB0ACE" w:rsidR="00E61889" w:rsidRDefault="00E61889" w:rsidP="00E61889">
      <w:pPr>
        <w:pStyle w:val="PargrafodaLista"/>
        <w:numPr>
          <w:ilvl w:val="0"/>
          <w:numId w:val="5"/>
        </w:numPr>
        <w:rPr>
          <w:color w:val="FF0000"/>
        </w:rPr>
      </w:pPr>
      <w:r>
        <w:rPr>
          <w:b/>
          <w:bCs/>
          <w:color w:val="FF0000"/>
        </w:rPr>
        <w:t>Oxigênio</w:t>
      </w:r>
      <w:r w:rsidRPr="00E61889">
        <w:rPr>
          <w:color w:val="FF0000"/>
        </w:rPr>
        <w:t>:</w:t>
      </w:r>
      <w:r>
        <w:rPr>
          <w:color w:val="FF0000"/>
        </w:rPr>
        <w:t xml:space="preserve"> R</w:t>
      </w:r>
      <w:r w:rsidRPr="00E61889">
        <w:rPr>
          <w:color w:val="FF0000"/>
        </w:rPr>
        <w:t xml:space="preserve">eage com as ligações duplas presentes nos ácidos graxos insaturados, iniciando uma série de reações de </w:t>
      </w:r>
      <w:r w:rsidRPr="00E61889">
        <w:rPr>
          <w:b/>
          <w:bCs/>
          <w:color w:val="FF0000"/>
        </w:rPr>
        <w:t>auto oxidação</w:t>
      </w:r>
      <w:r w:rsidRPr="00E61889">
        <w:rPr>
          <w:color w:val="FF0000"/>
        </w:rPr>
        <w:t>.</w:t>
      </w:r>
    </w:p>
    <w:p w14:paraId="4368312F" w14:textId="111A7882" w:rsidR="00E61889" w:rsidRDefault="00E61889" w:rsidP="00E61889">
      <w:pPr>
        <w:pStyle w:val="PargrafodaLista"/>
        <w:numPr>
          <w:ilvl w:val="0"/>
          <w:numId w:val="5"/>
        </w:numPr>
        <w:rPr>
          <w:color w:val="FF0000"/>
        </w:rPr>
      </w:pPr>
      <w:r>
        <w:rPr>
          <w:b/>
          <w:bCs/>
          <w:color w:val="FF0000"/>
        </w:rPr>
        <w:t>Luz</w:t>
      </w:r>
      <w:r w:rsidRPr="00E61889">
        <w:rPr>
          <w:color w:val="FF0000"/>
        </w:rPr>
        <w:t>:</w:t>
      </w:r>
      <w:r>
        <w:rPr>
          <w:color w:val="FF0000"/>
        </w:rPr>
        <w:t xml:space="preserve"> </w:t>
      </w:r>
      <w:r w:rsidRPr="00E61889">
        <w:rPr>
          <w:color w:val="FF0000"/>
        </w:rPr>
        <w:t>A exposição à luz, especialmente a luz ultravioleta (UV), acelera a rancidez oxidativa</w:t>
      </w:r>
      <w:r>
        <w:rPr>
          <w:color w:val="FF0000"/>
        </w:rPr>
        <w:t>.</w:t>
      </w:r>
    </w:p>
    <w:p w14:paraId="40D28D9C" w14:textId="16C0A0E8" w:rsidR="00E61889" w:rsidRDefault="00E61889" w:rsidP="00E61889">
      <w:pPr>
        <w:pStyle w:val="PargrafodaLista"/>
        <w:numPr>
          <w:ilvl w:val="0"/>
          <w:numId w:val="5"/>
        </w:numPr>
        <w:rPr>
          <w:color w:val="FF0000"/>
        </w:rPr>
      </w:pPr>
      <w:r>
        <w:rPr>
          <w:b/>
          <w:bCs/>
          <w:color w:val="FF0000"/>
        </w:rPr>
        <w:t>Calor</w:t>
      </w:r>
      <w:r w:rsidRPr="00E61889">
        <w:rPr>
          <w:color w:val="FF0000"/>
        </w:rPr>
        <w:t>:</w:t>
      </w:r>
      <w:r>
        <w:rPr>
          <w:color w:val="FF0000"/>
        </w:rPr>
        <w:t xml:space="preserve"> </w:t>
      </w:r>
      <w:r>
        <w:rPr>
          <w:color w:val="FF0000"/>
        </w:rPr>
        <w:sym w:font="Wingdings" w:char="F0E1"/>
      </w:r>
      <w:r>
        <w:rPr>
          <w:color w:val="FF0000"/>
        </w:rPr>
        <w:t xml:space="preserve"> </w:t>
      </w:r>
      <w:r w:rsidRPr="00E61889">
        <w:rPr>
          <w:color w:val="FF0000"/>
        </w:rPr>
        <w:t>da temperatura acelera a velocidade das reações químicas</w:t>
      </w:r>
      <w:r>
        <w:rPr>
          <w:color w:val="FF0000"/>
        </w:rPr>
        <w:t xml:space="preserve">, </w:t>
      </w:r>
      <w:r w:rsidRPr="00E61889">
        <w:rPr>
          <w:color w:val="FF0000"/>
        </w:rPr>
        <w:t>incluindo a oxidação lipídica</w:t>
      </w:r>
      <w:r>
        <w:rPr>
          <w:color w:val="FF0000"/>
        </w:rPr>
        <w:t>.</w:t>
      </w:r>
    </w:p>
    <w:p w14:paraId="7A2AC240" w14:textId="6DBB8529" w:rsidR="00E61889" w:rsidRDefault="00E61889" w:rsidP="00E61889">
      <w:pPr>
        <w:pStyle w:val="PargrafodaLista"/>
        <w:numPr>
          <w:ilvl w:val="0"/>
          <w:numId w:val="5"/>
        </w:numPr>
        <w:rPr>
          <w:color w:val="FF0000"/>
        </w:rPr>
      </w:pPr>
      <w:r>
        <w:rPr>
          <w:b/>
          <w:bCs/>
          <w:color w:val="FF0000"/>
        </w:rPr>
        <w:t>Metais de transição</w:t>
      </w:r>
      <w:r w:rsidRPr="00E61889">
        <w:rPr>
          <w:color w:val="FF0000"/>
        </w:rPr>
        <w:t>:</w:t>
      </w:r>
      <w:r>
        <w:rPr>
          <w:color w:val="FF0000"/>
        </w:rPr>
        <w:t xml:space="preserve"> </w:t>
      </w:r>
      <w:r w:rsidRPr="00E61889">
        <w:rPr>
          <w:color w:val="FF0000"/>
        </w:rPr>
        <w:t xml:space="preserve">Traços de metais como </w:t>
      </w:r>
      <w:r w:rsidRPr="00E61889">
        <w:rPr>
          <w:b/>
          <w:bCs/>
          <w:color w:val="FF0000"/>
        </w:rPr>
        <w:t>ferro</w:t>
      </w:r>
      <w:r w:rsidRPr="00E61889">
        <w:rPr>
          <w:color w:val="FF0000"/>
        </w:rPr>
        <w:t xml:space="preserve"> (Fe) e </w:t>
      </w:r>
      <w:r w:rsidRPr="00E61889">
        <w:rPr>
          <w:b/>
          <w:bCs/>
          <w:color w:val="FF0000"/>
        </w:rPr>
        <w:t>cobre</w:t>
      </w:r>
      <w:r w:rsidRPr="00E61889">
        <w:rPr>
          <w:color w:val="FF0000"/>
        </w:rPr>
        <w:t xml:space="preserve"> (Cu) podem atuar como catalisadores para as reações de oxidação, acelerando a formação de radicais livres que desencadeiam a oxidação lipídica.</w:t>
      </w:r>
    </w:p>
    <w:p w14:paraId="181FB649" w14:textId="55FC438D" w:rsidR="00E61889" w:rsidRDefault="00E61889" w:rsidP="00E61889">
      <w:pPr>
        <w:pStyle w:val="PargrafodaLista"/>
        <w:numPr>
          <w:ilvl w:val="0"/>
          <w:numId w:val="5"/>
        </w:numPr>
        <w:rPr>
          <w:color w:val="FF0000"/>
        </w:rPr>
      </w:pPr>
      <w:r>
        <w:rPr>
          <w:b/>
          <w:bCs/>
          <w:color w:val="FF0000"/>
        </w:rPr>
        <w:t xml:space="preserve">Radicais </w:t>
      </w:r>
      <w:r w:rsidRPr="00E61889">
        <w:rPr>
          <w:b/>
          <w:bCs/>
          <w:color w:val="FF0000"/>
        </w:rPr>
        <w:t>Livres</w:t>
      </w:r>
      <w:r>
        <w:rPr>
          <w:color w:val="FF0000"/>
        </w:rPr>
        <w:t xml:space="preserve">: </w:t>
      </w:r>
      <w:r w:rsidRPr="00E61889">
        <w:rPr>
          <w:color w:val="FF0000"/>
        </w:rPr>
        <w:t xml:space="preserve">são espécies </w:t>
      </w:r>
      <w:r>
        <w:rPr>
          <w:color w:val="FF0000"/>
        </w:rPr>
        <w:sym w:font="Wingdings" w:char="F0E1"/>
      </w:r>
      <w:r>
        <w:rPr>
          <w:color w:val="FF0000"/>
        </w:rPr>
        <w:t xml:space="preserve"> </w:t>
      </w:r>
      <w:r w:rsidRPr="00E61889">
        <w:rPr>
          <w:color w:val="FF0000"/>
        </w:rPr>
        <w:t>reativas que podem iniciar ou acelerar a oxidação lipídica</w:t>
      </w:r>
      <w:r>
        <w:rPr>
          <w:color w:val="FF0000"/>
        </w:rPr>
        <w:t>.</w:t>
      </w:r>
    </w:p>
    <w:p w14:paraId="41A6852A" w14:textId="484E622D" w:rsidR="00E61889" w:rsidRPr="00E61889" w:rsidRDefault="00E61889" w:rsidP="00E61889">
      <w:pPr>
        <w:ind w:left="708"/>
        <w:rPr>
          <w:color w:val="FF0000"/>
        </w:rPr>
      </w:pPr>
      <w:r w:rsidRPr="00E61889">
        <w:rPr>
          <w:color w:val="FF0000"/>
        </w:rPr>
        <w:t xml:space="preserve">Produtos ricos em ácidos graxos poli-insaturados, como </w:t>
      </w:r>
      <w:r w:rsidRPr="00E61889">
        <w:rPr>
          <w:b/>
          <w:bCs/>
          <w:color w:val="FF0000"/>
        </w:rPr>
        <w:t>óleos vegetais, peixes e nozes</w:t>
      </w:r>
      <w:r w:rsidRPr="00E61889">
        <w:rPr>
          <w:color w:val="FF0000"/>
        </w:rPr>
        <w:t>, são suscetíveis.</w:t>
      </w:r>
    </w:p>
    <w:p w14:paraId="1203CBDC" w14:textId="77777777" w:rsidR="00E61889" w:rsidRDefault="00E61889" w:rsidP="00AD675C">
      <w:pPr>
        <w:pStyle w:val="PargrafodaLista"/>
        <w:rPr>
          <w:color w:val="FF0000"/>
        </w:rPr>
      </w:pPr>
    </w:p>
    <w:p w14:paraId="5B61F9AA" w14:textId="1E82CE92" w:rsidR="00AD675C" w:rsidRDefault="00AD675C" w:rsidP="00AD675C">
      <w:pPr>
        <w:pStyle w:val="PargrafodaLista"/>
        <w:rPr>
          <w:b/>
          <w:bCs/>
          <w:color w:val="FF0000"/>
        </w:rPr>
      </w:pPr>
      <w:r w:rsidRPr="00E61889">
        <w:rPr>
          <w:b/>
          <w:bCs/>
          <w:color w:val="FF0000"/>
          <w:highlight w:val="yellow"/>
        </w:rPr>
        <w:t>Agentes desencadeantes da rancidez hidrolítica:</w:t>
      </w:r>
    </w:p>
    <w:p w14:paraId="3CBB5738" w14:textId="19AE529F" w:rsidR="00AD675C" w:rsidRPr="00AD675C" w:rsidRDefault="00AD675C" w:rsidP="00AD675C">
      <w:pPr>
        <w:pStyle w:val="PargrafodaLista"/>
        <w:numPr>
          <w:ilvl w:val="0"/>
          <w:numId w:val="5"/>
        </w:numPr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 xml:space="preserve">Água: </w:t>
      </w:r>
      <w:r w:rsidRPr="00AD675C">
        <w:rPr>
          <w:bCs/>
          <w:color w:val="FF0000"/>
        </w:rPr>
        <w:t>hidrólise dos triglicerídeos ocorre quando a água reage com os ésteres de glicerol nos lipídios, liberando ácidos graxos livres.</w:t>
      </w:r>
    </w:p>
    <w:p w14:paraId="24741FE8" w14:textId="5E85B663" w:rsidR="00AD675C" w:rsidRPr="00E61889" w:rsidRDefault="00AD675C" w:rsidP="00AD675C">
      <w:pPr>
        <w:pStyle w:val="PargrafodaLista"/>
        <w:numPr>
          <w:ilvl w:val="0"/>
          <w:numId w:val="5"/>
        </w:numPr>
        <w:rPr>
          <w:b/>
          <w:bCs/>
          <w:color w:val="FF0000"/>
        </w:rPr>
      </w:pPr>
      <w:r>
        <w:rPr>
          <w:b/>
          <w:bCs/>
          <w:color w:val="FF0000"/>
        </w:rPr>
        <w:t>Enzimas lipases:</w:t>
      </w:r>
      <w:r w:rsidRPr="00AD675C">
        <w:rPr>
          <w:bCs/>
          <w:color w:val="FF0000"/>
        </w:rPr>
        <w:t xml:space="preserve"> catalisam a quebra de triglicerídeos em ácidos graxos livres e glicerol.</w:t>
      </w:r>
    </w:p>
    <w:p w14:paraId="4A825301" w14:textId="4CF5AF7E" w:rsidR="00E61889" w:rsidRDefault="00E61889" w:rsidP="00AD675C">
      <w:pPr>
        <w:pStyle w:val="PargrafodaLista"/>
        <w:numPr>
          <w:ilvl w:val="0"/>
          <w:numId w:val="5"/>
        </w:numPr>
        <w:rPr>
          <w:color w:val="FF0000"/>
        </w:rPr>
      </w:pPr>
      <w:r>
        <w:rPr>
          <w:b/>
          <w:bCs/>
          <w:color w:val="FF0000"/>
        </w:rPr>
        <w:t xml:space="preserve">Microrganismos: </w:t>
      </w:r>
      <w:r w:rsidRPr="00E61889">
        <w:rPr>
          <w:color w:val="FF0000"/>
        </w:rPr>
        <w:t>Bactérias e fungos podem produzir lipases que hidrolisam os triglicerídeos</w:t>
      </w:r>
      <w:r>
        <w:rPr>
          <w:color w:val="FF0000"/>
        </w:rPr>
        <w:t>.</w:t>
      </w:r>
    </w:p>
    <w:p w14:paraId="7F914EDF" w14:textId="5577415B" w:rsidR="00E61889" w:rsidRPr="00E61889" w:rsidRDefault="00E61889" w:rsidP="00E61889">
      <w:pPr>
        <w:pStyle w:val="PargrafodaLista"/>
        <w:numPr>
          <w:ilvl w:val="0"/>
          <w:numId w:val="5"/>
        </w:numPr>
        <w:rPr>
          <w:color w:val="FF0000"/>
        </w:rPr>
      </w:pPr>
      <w:r>
        <w:rPr>
          <w:b/>
          <w:bCs/>
          <w:color w:val="FF0000"/>
        </w:rPr>
        <w:t>Temperatura:</w:t>
      </w:r>
      <w:r>
        <w:rPr>
          <w:color w:val="FF0000"/>
        </w:rPr>
        <w:t xml:space="preserve"> </w:t>
      </w:r>
      <w:r w:rsidRPr="00E61889">
        <w:rPr>
          <w:color w:val="FF0000"/>
        </w:rPr>
        <w:t xml:space="preserve">O calor pode </w:t>
      </w:r>
      <w:r>
        <w:rPr>
          <w:color w:val="FF0000"/>
        </w:rPr>
        <w:sym w:font="Wingdings" w:char="F0E1"/>
      </w:r>
      <w:r>
        <w:rPr>
          <w:color w:val="FF0000"/>
        </w:rPr>
        <w:t xml:space="preserve"> </w:t>
      </w:r>
      <w:r w:rsidRPr="00E61889">
        <w:rPr>
          <w:color w:val="FF0000"/>
        </w:rPr>
        <w:t>a velocidade das reações hidrolíticas, especialmente quando há presença de água.</w:t>
      </w:r>
    </w:p>
    <w:p w14:paraId="0834F055" w14:textId="05E10939" w:rsidR="00E61889" w:rsidRDefault="00E61889" w:rsidP="00E61889">
      <w:pPr>
        <w:ind w:left="1410"/>
        <w:rPr>
          <w:color w:val="FF0000"/>
        </w:rPr>
      </w:pPr>
      <w:r w:rsidRPr="00E61889">
        <w:rPr>
          <w:b/>
          <w:bCs/>
          <w:color w:val="FF0000"/>
        </w:rPr>
        <w:t>Odores característicos</w:t>
      </w:r>
      <w:r w:rsidRPr="00E61889">
        <w:rPr>
          <w:color w:val="FF0000"/>
        </w:rPr>
        <w:t>, como o cheiro de "manteiga rançosa" ou o sabor de "sabão", que é comum em alimentos ricos em gorduras, como produtos lácteos. O cheiro é causado principalmente pela liberação de ácidos graxos de cadeia curta</w:t>
      </w:r>
    </w:p>
    <w:p w14:paraId="196846FA" w14:textId="3C75E652" w:rsidR="00E61889" w:rsidRPr="00E61889" w:rsidRDefault="00E61889" w:rsidP="00E61889">
      <w:pPr>
        <w:ind w:left="1410"/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1211B095" wp14:editId="2C7DB296">
            <wp:extent cx="5400040" cy="1300480"/>
            <wp:effectExtent l="0" t="0" r="0" b="0"/>
            <wp:docPr id="20155199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19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03BA" w14:textId="77777777" w:rsidR="002B10CB" w:rsidRDefault="002B10CB"/>
    <w:sectPr w:rsidR="002B10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B929F8"/>
    <w:multiLevelType w:val="multilevel"/>
    <w:tmpl w:val="B524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C23C4D"/>
    <w:multiLevelType w:val="multilevel"/>
    <w:tmpl w:val="214A936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F7CB8"/>
    <w:multiLevelType w:val="hybridMultilevel"/>
    <w:tmpl w:val="F44EE0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14659D"/>
    <w:multiLevelType w:val="hybridMultilevel"/>
    <w:tmpl w:val="2B90774A"/>
    <w:lvl w:ilvl="0" w:tplc="79E2606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5F261A"/>
    <w:multiLevelType w:val="hybridMultilevel"/>
    <w:tmpl w:val="EDAA2DA0"/>
    <w:lvl w:ilvl="0" w:tplc="CE702374">
      <w:numFmt w:val="bullet"/>
      <w:lvlText w:val=""/>
      <w:lvlJc w:val="left"/>
      <w:pPr>
        <w:ind w:left="1770" w:hanging="360"/>
      </w:pPr>
      <w:rPr>
        <w:rFonts w:ascii="Wingdings" w:eastAsiaTheme="minorHAnsi" w:hAnsi="Wingdings" w:cstheme="minorBidi" w:hint="default"/>
        <w:b/>
      </w:rPr>
    </w:lvl>
    <w:lvl w:ilvl="1" w:tplc="04160003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5" w15:restartNumberingAfterBreak="0">
    <w:nsid w:val="6E033FA3"/>
    <w:multiLevelType w:val="multilevel"/>
    <w:tmpl w:val="13F64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053598">
    <w:abstractNumId w:val="5"/>
  </w:num>
  <w:num w:numId="2" w16cid:durableId="573705937">
    <w:abstractNumId w:val="0"/>
  </w:num>
  <w:num w:numId="3" w16cid:durableId="64495766">
    <w:abstractNumId w:val="2"/>
  </w:num>
  <w:num w:numId="4" w16cid:durableId="1466854811">
    <w:abstractNumId w:val="1"/>
  </w:num>
  <w:num w:numId="5" w16cid:durableId="145053090">
    <w:abstractNumId w:val="4"/>
  </w:num>
  <w:num w:numId="6" w16cid:durableId="1771051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0CB"/>
    <w:rsid w:val="002B10CB"/>
    <w:rsid w:val="004B4DA9"/>
    <w:rsid w:val="005A52AE"/>
    <w:rsid w:val="00813576"/>
    <w:rsid w:val="00AD675C"/>
    <w:rsid w:val="00DD40B3"/>
    <w:rsid w:val="00DD56E7"/>
    <w:rsid w:val="00E6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1814A"/>
  <w15:chartTrackingRefBased/>
  <w15:docId w15:val="{3A66D314-2481-43FF-84F0-2E88C7B7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B10C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B10CB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2B10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5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811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2024-10-03T17:29:00Z</dcterms:created>
  <dcterms:modified xsi:type="dcterms:W3CDTF">2024-10-03T17:29:00Z</dcterms:modified>
</cp:coreProperties>
</file>