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1744" w14:textId="77777777" w:rsidR="005E2384" w:rsidRDefault="005E2384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Relatório de Auditoria EvidentiApp</w:t>
      </w:r>
    </w:p>
    <w:p w14:paraId="522B5D73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t>Gerado em: 03/03/2026</w:t>
      </w:r>
    </w:p>
    <w:p w14:paraId="64ACE522" w14:textId="77777777" w:rsidR="005E2384" w:rsidRDefault="005E2384">
      <w:pPr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pict w14:anchorId="330870D5">
          <v:rect id="_x0000_i1025" style="width:425.2pt;height:1.5pt" o:hralign="center" o:hrstd="t" o:hr="t" fillcolor="#a0a0a0" stroked="f"/>
        </w:pict>
      </w:r>
    </w:p>
    <w:p w14:paraId="57DF39D1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Resumo</w:t>
      </w:r>
    </w:p>
    <w:p w14:paraId="29B9F96B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 estudo em questão investiga a relação entre a </w:t>
      </w:r>
      <w:r>
        <w:rPr>
          <w:rFonts w:ascii="Arial" w:hAnsi="Arial" w:cs="Arial"/>
          <w:b/>
          <w:bCs/>
          <w:color w:val="000000"/>
        </w:rPr>
        <w:t>obesidade infantil e o risco cardiovascular precoce</w:t>
      </w:r>
      <w:r>
        <w:rPr>
          <w:rFonts w:ascii="Arial" w:hAnsi="Arial" w:cs="Arial"/>
          <w:color w:val="000000"/>
        </w:rPr>
        <w:t xml:space="preserve">, focando em </w:t>
      </w:r>
      <w:r>
        <w:rPr>
          <w:rFonts w:ascii="Arial" w:hAnsi="Arial" w:cs="Arial"/>
          <w:b/>
          <w:bCs/>
          <w:color w:val="000000"/>
        </w:rPr>
        <w:t>biomarcadores inflamatórios e de lesão vascular</w:t>
      </w:r>
      <w:r>
        <w:rPr>
          <w:rFonts w:ascii="Arial" w:hAnsi="Arial" w:cs="Arial"/>
          <w:color w:val="000000"/>
        </w:rPr>
        <w:t xml:space="preserve">. A justificativa reside na necessidade de </w:t>
      </w:r>
      <w:r>
        <w:rPr>
          <w:rFonts w:ascii="Arial" w:hAnsi="Arial" w:cs="Arial"/>
          <w:b/>
          <w:bCs/>
          <w:color w:val="000000"/>
          <w:highlight w:val="yellow"/>
        </w:rPr>
        <w:t>identificar sinais subclínicos de dano endotelial em crianças, antes que doenças crônicas como hipertensão e aterosclerose se manifestem plenamente na vida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highlight w:val="yellow"/>
        </w:rPr>
        <w:t>adulta</w:t>
      </w:r>
      <w:r>
        <w:rPr>
          <w:rFonts w:ascii="Arial" w:hAnsi="Arial" w:cs="Arial"/>
          <w:color w:val="000000"/>
        </w:rPr>
        <w:t>. Os autores propõem que a inflamação de baixo grau, característica da obesidade, promove a liberação de micropartículas endoteliais e altera a expressão gênica no sangue total.</w:t>
      </w:r>
    </w:p>
    <w:p w14:paraId="5EA24653" w14:textId="77777777" w:rsidR="005E2384" w:rsidRDefault="005E2384">
      <w:pPr>
        <w:pStyle w:val="NormalWeb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A metodologia adotada foi </w:t>
      </w:r>
      <w:r>
        <w:rPr>
          <w:rFonts w:ascii="Arial" w:hAnsi="Arial" w:cs="Arial"/>
          <w:b/>
          <w:bCs/>
          <w:color w:val="000000"/>
        </w:rPr>
        <w:t>um estudo transversal com 113 crianças</w:t>
      </w:r>
      <w:r>
        <w:rPr>
          <w:rFonts w:ascii="Arial" w:hAnsi="Arial" w:cs="Arial"/>
          <w:color w:val="000000"/>
        </w:rPr>
        <w:t xml:space="preserve"> (6 a 11 anos), divididas em dois grupos: peso saudável (n=82) e sobrepeso/obesidade (n=31). A função endotelial foi medida pelo Índice de </w:t>
      </w:r>
      <w:r>
        <w:rPr>
          <w:rFonts w:ascii="Arial" w:hAnsi="Arial" w:cs="Arial"/>
          <w:b/>
          <w:bCs/>
          <w:color w:val="000000"/>
        </w:rPr>
        <w:t>Hiperemia Reativa (RHI) via tonometria arterial periférica (</w:t>
      </w:r>
      <w:proofErr w:type="spellStart"/>
      <w:r>
        <w:rPr>
          <w:rFonts w:ascii="Arial" w:hAnsi="Arial" w:cs="Arial"/>
          <w:b/>
          <w:bCs/>
          <w:color w:val="000000"/>
        </w:rPr>
        <w:t>EndoPAT</w:t>
      </w:r>
      <w:proofErr w:type="spellEnd"/>
      <w:r>
        <w:rPr>
          <w:rFonts w:ascii="Arial" w:hAnsi="Arial" w:cs="Arial"/>
          <w:color w:val="000000"/>
        </w:rPr>
        <w:t xml:space="preserve">). Além disso, uma subamostra de 49 crianças foi selecionada aleatoriamente para análises mais complexas: citometria de fluxo para quantificar </w:t>
      </w:r>
      <w:r>
        <w:rPr>
          <w:rFonts w:ascii="Arial" w:hAnsi="Arial" w:cs="Arial"/>
          <w:b/>
          <w:bCs/>
          <w:color w:val="000000"/>
        </w:rPr>
        <w:t>micropartículas endoteliais apoptóticas (</w:t>
      </w:r>
      <w:proofErr w:type="spellStart"/>
      <w:r>
        <w:rPr>
          <w:rFonts w:ascii="Arial" w:hAnsi="Arial" w:cs="Arial"/>
          <w:b/>
          <w:bCs/>
          <w:color w:val="000000"/>
        </w:rPr>
        <w:t>EMPs</w:t>
      </w:r>
      <w:proofErr w:type="spellEnd"/>
      <w:r>
        <w:rPr>
          <w:rFonts w:ascii="Arial" w:hAnsi="Arial" w:cs="Arial"/>
          <w:b/>
          <w:bCs/>
          <w:color w:val="000000"/>
        </w:rPr>
        <w:t xml:space="preserve">) e </w:t>
      </w:r>
      <w:proofErr w:type="spellStart"/>
      <w:r>
        <w:rPr>
          <w:rFonts w:ascii="Arial" w:hAnsi="Arial" w:cs="Arial"/>
          <w:b/>
          <w:bCs/>
          <w:color w:val="000000"/>
        </w:rPr>
        <w:t>qRT</w:t>
      </w:r>
      <w:proofErr w:type="spellEnd"/>
      <w:r>
        <w:rPr>
          <w:rFonts w:ascii="Arial" w:hAnsi="Arial" w:cs="Arial"/>
          <w:b/>
          <w:bCs/>
          <w:color w:val="000000"/>
        </w:rPr>
        <w:t xml:space="preserve">-PCR para avaliar a expressão de mRNA das citocinas TNF-α, IL-17A e IL-2 </w:t>
      </w:r>
      <w:r>
        <w:rPr>
          <w:rFonts w:ascii="Arial" w:hAnsi="Arial" w:cs="Arial"/>
          <w:b/>
          <w:bCs/>
          <w:color w:val="000000"/>
        </w:rPr>
        <w:t>no sangue.</w:t>
      </w:r>
    </w:p>
    <w:p w14:paraId="1270D0CC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Os resultados indicaram que crianças com </w:t>
      </w:r>
      <w:r>
        <w:rPr>
          <w:rFonts w:ascii="Arial" w:hAnsi="Arial" w:cs="Arial"/>
          <w:b/>
          <w:bCs/>
          <w:color w:val="000000"/>
        </w:rPr>
        <w:t>sobrepeso/obesidade apresentaram valores de RHI significativamente menores</w:t>
      </w:r>
      <w:r>
        <w:rPr>
          <w:rFonts w:ascii="Arial" w:hAnsi="Arial" w:cs="Arial"/>
          <w:color w:val="000000"/>
        </w:rPr>
        <w:t xml:space="preserve"> (1.4 vs 2.0, p &lt; 0.001), </w:t>
      </w:r>
      <w:r>
        <w:rPr>
          <w:rFonts w:ascii="Arial" w:hAnsi="Arial" w:cs="Arial"/>
          <w:b/>
          <w:bCs/>
          <w:color w:val="000000"/>
          <w:highlight w:val="yellow"/>
        </w:rPr>
        <w:t>sugerindo disfunção endotelial precoce</w:t>
      </w:r>
      <w:r>
        <w:rPr>
          <w:rFonts w:ascii="Arial" w:hAnsi="Arial" w:cs="Arial"/>
          <w:color w:val="000000"/>
        </w:rPr>
        <w:t xml:space="preserve">. Houve </w:t>
      </w:r>
      <w:r>
        <w:rPr>
          <w:rFonts w:ascii="Arial" w:hAnsi="Arial" w:cs="Arial"/>
          <w:b/>
          <w:bCs/>
          <w:color w:val="000000"/>
        </w:rPr>
        <w:t>correlação negativa entre o RHI e o IMC, circunferência da cintura e pressão arterial</w:t>
      </w:r>
      <w:r>
        <w:rPr>
          <w:rFonts w:ascii="Arial" w:hAnsi="Arial" w:cs="Arial"/>
          <w:color w:val="000000"/>
        </w:rPr>
        <w:t xml:space="preserve">. No grupo com obesidade, os níveis de </w:t>
      </w:r>
      <w:proofErr w:type="spellStart"/>
      <w:r>
        <w:rPr>
          <w:rFonts w:ascii="Arial" w:hAnsi="Arial" w:cs="Arial"/>
          <w:b/>
          <w:bCs/>
          <w:color w:val="000000"/>
          <w:highlight w:val="yellow"/>
        </w:rPr>
        <w:t>EMPs</w:t>
      </w:r>
      <w:proofErr w:type="spellEnd"/>
      <w:r>
        <w:rPr>
          <w:rFonts w:ascii="Arial" w:hAnsi="Arial" w:cs="Arial"/>
          <w:b/>
          <w:bCs/>
          <w:color w:val="000000"/>
          <w:highlight w:val="yellow"/>
        </w:rPr>
        <w:t xml:space="preserve"> estavam elevados e a expressão de TNF-α estava aumentada, correlacionando-se positivamente com a adiposidade e negativamente com a função vascular.</w:t>
      </w:r>
      <w:r>
        <w:rPr>
          <w:rFonts w:ascii="Arial" w:hAnsi="Arial" w:cs="Arial"/>
          <w:color w:val="000000"/>
        </w:rPr>
        <w:t xml:space="preserve"> Não foram encontradas diferenças significativas para IL-17A ou IL-2.</w:t>
      </w:r>
    </w:p>
    <w:p w14:paraId="0D06D224" w14:textId="77777777" w:rsidR="005E2384" w:rsidRDefault="005E2384">
      <w:pPr>
        <w:pStyle w:val="NormalWeb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A conclusão dos autores é que a expressão gênica de TNF-α e os níveis elevados de </w:t>
      </w:r>
      <w:proofErr w:type="spellStart"/>
      <w:r>
        <w:rPr>
          <w:rFonts w:ascii="Arial" w:hAnsi="Arial" w:cs="Arial"/>
          <w:color w:val="000000"/>
        </w:rPr>
        <w:t>EMPs</w:t>
      </w:r>
      <w:proofErr w:type="spellEnd"/>
      <w:r>
        <w:rPr>
          <w:rFonts w:ascii="Arial" w:hAnsi="Arial" w:cs="Arial"/>
          <w:color w:val="000000"/>
        </w:rPr>
        <w:t xml:space="preserve"> são preditores independentes de disfunção microvascular em crianças obesas. Eles sugerem que esses marcadores podem </w:t>
      </w:r>
      <w:r>
        <w:rPr>
          <w:rFonts w:ascii="Arial" w:hAnsi="Arial" w:cs="Arial"/>
          <w:b/>
          <w:bCs/>
          <w:color w:val="000000"/>
        </w:rPr>
        <w:t>servir como ferramentas de detecção precoce para estratificação de risco cardiovascular na pediatria, reforçando o papel da inflamação sistêmica na fisiopatologia da obesidade.</w:t>
      </w:r>
    </w:p>
    <w:p w14:paraId="59B8731D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 ponto de vista clínico, o estudo reforça que o dano vascular começa muito cedo. No entanto, a aplicabilidade prática imediata é limitada pelo custo e complexidade dos testes (</w:t>
      </w:r>
      <w:proofErr w:type="spellStart"/>
      <w:r>
        <w:rPr>
          <w:rFonts w:ascii="Arial" w:hAnsi="Arial" w:cs="Arial"/>
          <w:color w:val="000000"/>
        </w:rPr>
        <w:t>EndoPAT</w:t>
      </w:r>
      <w:proofErr w:type="spellEnd"/>
      <w:r>
        <w:rPr>
          <w:rFonts w:ascii="Arial" w:hAnsi="Arial" w:cs="Arial"/>
          <w:color w:val="000000"/>
        </w:rPr>
        <w:t xml:space="preserve"> e citometria), que não são rotineiros. O estudo sugere que intervenções para </w:t>
      </w:r>
      <w:r>
        <w:rPr>
          <w:rFonts w:ascii="Arial" w:hAnsi="Arial" w:cs="Arial"/>
          <w:b/>
          <w:bCs/>
          <w:color w:val="000000"/>
        </w:rPr>
        <w:t>reduzir a inflamação sistêmica podem ser cruciais para preservar a integridade vascular desde a infância.</w:t>
      </w:r>
    </w:p>
    <w:p w14:paraId="1424F6AE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Visão Geral (PICO)</w:t>
      </w:r>
    </w:p>
    <w:p w14:paraId="69182E33" w14:textId="77777777" w:rsidR="005E2384" w:rsidRDefault="005E2384">
      <w:pPr>
        <w:numPr>
          <w:ilvl w:val="0"/>
          <w:numId w:val="3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P (População):</w:t>
      </w:r>
      <w:r>
        <w:rPr>
          <w:rFonts w:ascii="Arial" w:eastAsia="Times New Roman" w:hAnsi="Arial" w:cs="Arial"/>
          <w:color w:val="000000"/>
        </w:rPr>
        <w:t xml:space="preserve"> 113 crianças brasileiras, idade entre 6 e 11 anos. Grupo saudável (n=82) e sobrepeso/obesidade (n=31). Subamostra para biologia molecular: n=49.</w:t>
      </w:r>
    </w:p>
    <w:p w14:paraId="5FB1552F" w14:textId="77777777" w:rsidR="005E2384" w:rsidRDefault="005E2384">
      <w:pPr>
        <w:numPr>
          <w:ilvl w:val="0"/>
          <w:numId w:val="3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I (Intervenção/Exposição):</w:t>
      </w:r>
      <w:r>
        <w:rPr>
          <w:rFonts w:ascii="Arial" w:eastAsia="Times New Roman" w:hAnsi="Arial" w:cs="Arial"/>
          <w:color w:val="000000"/>
        </w:rPr>
        <w:t xml:space="preserve"> Sobrepeso e Obesidade, definidos pelo </w:t>
      </w:r>
      <w:proofErr w:type="spellStart"/>
      <w:r>
        <w:rPr>
          <w:rFonts w:ascii="Arial" w:eastAsia="Times New Roman" w:hAnsi="Arial" w:cs="Arial"/>
          <w:color w:val="000000"/>
        </w:rPr>
        <w:t>escore-Z</w:t>
      </w:r>
      <w:proofErr w:type="spellEnd"/>
      <w:r>
        <w:rPr>
          <w:rFonts w:ascii="Arial" w:eastAsia="Times New Roman" w:hAnsi="Arial" w:cs="Arial"/>
          <w:color w:val="000000"/>
        </w:rPr>
        <w:t xml:space="preserve"> do IMC (OMS) entre +1 e +3 DP.</w:t>
      </w:r>
    </w:p>
    <w:p w14:paraId="311DD32D" w14:textId="77777777" w:rsidR="005E2384" w:rsidRDefault="005E2384">
      <w:pPr>
        <w:numPr>
          <w:ilvl w:val="0"/>
          <w:numId w:val="3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C (Comparação):</w:t>
      </w:r>
      <w:r>
        <w:rPr>
          <w:rFonts w:ascii="Arial" w:eastAsia="Times New Roman" w:hAnsi="Arial" w:cs="Arial"/>
          <w:color w:val="000000"/>
        </w:rPr>
        <w:t xml:space="preserve"> Crianças com peso saudável (</w:t>
      </w:r>
      <w:proofErr w:type="spellStart"/>
      <w:r>
        <w:rPr>
          <w:rFonts w:ascii="Arial" w:eastAsia="Times New Roman" w:hAnsi="Arial" w:cs="Arial"/>
          <w:color w:val="000000"/>
        </w:rPr>
        <w:t>escore-Z</w:t>
      </w:r>
      <w:proofErr w:type="spellEnd"/>
      <w:r>
        <w:rPr>
          <w:rFonts w:ascii="Arial" w:eastAsia="Times New Roman" w:hAnsi="Arial" w:cs="Arial"/>
          <w:color w:val="000000"/>
        </w:rPr>
        <w:t xml:space="preserve"> entre -2 e +1 DP).</w:t>
      </w:r>
    </w:p>
    <w:p w14:paraId="603B3CCA" w14:textId="77777777" w:rsidR="005E2384" w:rsidRDefault="005E2384">
      <w:pPr>
        <w:numPr>
          <w:ilvl w:val="0"/>
          <w:numId w:val="3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O (</w:t>
      </w:r>
      <w:proofErr w:type="spellStart"/>
      <w:r>
        <w:rPr>
          <w:rFonts w:ascii="Arial" w:eastAsia="Times New Roman" w:hAnsi="Arial" w:cs="Arial"/>
          <w:b/>
          <w:bCs/>
          <w:color w:val="000000"/>
        </w:rPr>
        <w:t>Outcomes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>/Desfechos):</w:t>
      </w:r>
      <w:r>
        <w:rPr>
          <w:rFonts w:ascii="Arial" w:eastAsia="Times New Roman" w:hAnsi="Arial" w:cs="Arial"/>
          <w:color w:val="000000"/>
        </w:rPr>
        <w:t xml:space="preserve"> Desfecho primário: Função endotelial (RHI). Desfechos secundários: Níveis de </w:t>
      </w:r>
      <w:proofErr w:type="spellStart"/>
      <w:r>
        <w:rPr>
          <w:rFonts w:ascii="Arial" w:eastAsia="Times New Roman" w:hAnsi="Arial" w:cs="Arial"/>
          <w:color w:val="000000"/>
        </w:rPr>
        <w:t>EMPs</w:t>
      </w:r>
      <w:proofErr w:type="spellEnd"/>
      <w:r>
        <w:rPr>
          <w:rFonts w:ascii="Arial" w:eastAsia="Times New Roman" w:hAnsi="Arial" w:cs="Arial"/>
          <w:color w:val="000000"/>
        </w:rPr>
        <w:t xml:space="preserve"> apoptóticas (CD31+/</w:t>
      </w:r>
      <w:proofErr w:type="spellStart"/>
      <w:r>
        <w:rPr>
          <w:rFonts w:ascii="Arial" w:eastAsia="Times New Roman" w:hAnsi="Arial" w:cs="Arial"/>
          <w:color w:val="000000"/>
        </w:rPr>
        <w:t>Annexin</w:t>
      </w:r>
      <w:proofErr w:type="spellEnd"/>
      <w:r>
        <w:rPr>
          <w:rFonts w:ascii="Arial" w:eastAsia="Times New Roman" w:hAnsi="Arial" w:cs="Arial"/>
          <w:color w:val="000000"/>
        </w:rPr>
        <w:t xml:space="preserve"> V+), expressão de mRNA de TNF-α, IL-17A e IL-2, e perfil lipídico/pressórico.</w:t>
      </w:r>
    </w:p>
    <w:p w14:paraId="5B97EA3F" w14:textId="77777777" w:rsidR="005E2384" w:rsidRDefault="005E2384">
      <w:pPr>
        <w:pStyle w:val="Ttulo2"/>
        <w:rPr>
          <w:rFonts w:ascii="Arial" w:eastAsia="Times New Roman" w:hAnsi="Arial" w:cs="Arial"/>
          <w:lang w:val="en-US"/>
        </w:rPr>
      </w:pPr>
      <w:proofErr w:type="spellStart"/>
      <w:r>
        <w:rPr>
          <w:rFonts w:ascii="Arial" w:eastAsia="Times New Roman" w:hAnsi="Arial" w:cs="Arial"/>
          <w:lang w:val="en-US"/>
        </w:rPr>
        <w:t>Destaques</w:t>
      </w:r>
      <w:proofErr w:type="spellEnd"/>
      <w:r>
        <w:rPr>
          <w:rFonts w:ascii="Arial" w:eastAsia="Times New Roman" w:hAnsi="Arial" w:cs="Arial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lang w:val="en-US"/>
        </w:rPr>
        <w:t>Encontrados</w:t>
      </w:r>
      <w:proofErr w:type="spellEnd"/>
    </w:p>
    <w:p w14:paraId="6E025D0F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lang w:val="en-US"/>
        </w:rPr>
        <w:t>"Children with overweight/obesity exhibited significantly lower RHI values, indicating early endothelial dysfunction."</w:t>
      </w:r>
      <w:r>
        <w:rPr>
          <w:rFonts w:ascii="Arial" w:hAnsi="Arial" w:cs="Arial"/>
          <w:color w:val="000000"/>
          <w:lang w:val="en-US"/>
        </w:rPr>
        <w:br/>
      </w:r>
      <w:r>
        <w:rPr>
          <w:rFonts w:ascii="Arial" w:hAnsi="Arial" w:cs="Arial"/>
          <w:b/>
          <w:bCs/>
          <w:color w:val="000000"/>
        </w:rPr>
        <w:t>Pág. 1</w:t>
      </w:r>
      <w:r>
        <w:rPr>
          <w:rFonts w:ascii="Arial" w:hAnsi="Arial" w:cs="Arial"/>
          <w:color w:val="000000"/>
        </w:rPr>
        <w:t>: Confirmação da hipótese principal, embora o valor de referência seja baseado em adultos.</w:t>
      </w:r>
    </w:p>
    <w:p w14:paraId="6BB8F10C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lang w:val="en-US"/>
        </w:rPr>
        <w:t>"Fo</w:t>
      </w:r>
      <w:r>
        <w:rPr>
          <w:rFonts w:ascii="Arial" w:hAnsi="Arial" w:cs="Arial"/>
          <w:i/>
          <w:iCs/>
          <w:color w:val="000000"/>
          <w:lang w:val="en-US"/>
        </w:rPr>
        <w:t>r the evaluation of apoptotic EMPs and gene expression, a subsample of 49 children... was randomly selected."</w:t>
      </w:r>
      <w:r>
        <w:rPr>
          <w:rFonts w:ascii="Arial" w:hAnsi="Arial" w:cs="Arial"/>
          <w:color w:val="000000"/>
          <w:lang w:val="en-US"/>
        </w:rPr>
        <w:br/>
      </w:r>
      <w:r>
        <w:rPr>
          <w:rFonts w:ascii="Arial" w:hAnsi="Arial" w:cs="Arial"/>
          <w:b/>
          <w:bCs/>
          <w:color w:val="000000"/>
        </w:rPr>
        <w:t>Pág. 2</w:t>
      </w:r>
      <w:r>
        <w:rPr>
          <w:rFonts w:ascii="Arial" w:hAnsi="Arial" w:cs="Arial"/>
          <w:color w:val="000000"/>
        </w:rPr>
        <w:t>: Ponto crítico: a análise molecular mais robusta foi feita em menos da metade da amostra total.</w:t>
      </w:r>
    </w:p>
    <w:p w14:paraId="31044914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lang w:val="en-US"/>
        </w:rPr>
        <w:t>"No significant differences were observed for IL-17A or IL-2 expression."</w:t>
      </w:r>
      <w:r>
        <w:rPr>
          <w:rFonts w:ascii="Arial" w:hAnsi="Arial" w:cs="Arial"/>
          <w:color w:val="000000"/>
          <w:lang w:val="en-US"/>
        </w:rPr>
        <w:br/>
      </w:r>
      <w:r>
        <w:rPr>
          <w:rFonts w:ascii="Arial" w:hAnsi="Arial" w:cs="Arial"/>
          <w:b/>
          <w:bCs/>
          <w:color w:val="000000"/>
        </w:rPr>
        <w:t>Pág. 3</w:t>
      </w:r>
      <w:r>
        <w:rPr>
          <w:rFonts w:ascii="Arial" w:hAnsi="Arial" w:cs="Arial"/>
          <w:color w:val="000000"/>
        </w:rPr>
        <w:t>: Indica que a inflamação na obesidade infantil pode ser via TNF-α específica, e não uma tempestade de citocinas generalizada.</w:t>
      </w:r>
    </w:p>
    <w:p w14:paraId="0C745784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Revisão Detalhada</w:t>
      </w:r>
    </w:p>
    <w:p w14:paraId="664E0EDC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Racional:</w:t>
      </w:r>
      <w:r>
        <w:rPr>
          <w:rFonts w:ascii="Arial" w:hAnsi="Arial" w:cs="Arial"/>
          <w:color w:val="000000"/>
        </w:rPr>
        <w:t xml:space="preserve"> O estudo busca conectar a </w:t>
      </w:r>
      <w:r>
        <w:rPr>
          <w:rFonts w:ascii="Arial" w:hAnsi="Arial" w:cs="Arial"/>
          <w:b/>
          <w:bCs/>
          <w:color w:val="000000"/>
        </w:rPr>
        <w:t>inflamação sistêmica (medida no sangue) com o dano vascular funcional (medido no braço).</w:t>
      </w:r>
      <w:r>
        <w:rPr>
          <w:rFonts w:ascii="Arial" w:hAnsi="Arial" w:cs="Arial"/>
          <w:color w:val="000000"/>
        </w:rPr>
        <w:t xml:space="preserve"> A plausibilidade biológica é alta, dado que o TNF-α é um conhecido indutor de apoptose endotelial.</w:t>
      </w:r>
    </w:p>
    <w:p w14:paraId="5B9CF8B1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Objetivo:</w:t>
      </w:r>
      <w:r>
        <w:rPr>
          <w:rFonts w:ascii="Arial" w:hAnsi="Arial" w:cs="Arial"/>
          <w:color w:val="000000"/>
        </w:rPr>
        <w:t xml:space="preserve"> Validar o TNF-α e as </w:t>
      </w:r>
      <w:proofErr w:type="spellStart"/>
      <w:r>
        <w:rPr>
          <w:rFonts w:ascii="Arial" w:hAnsi="Arial" w:cs="Arial"/>
          <w:color w:val="000000"/>
        </w:rPr>
        <w:t>EMPs</w:t>
      </w:r>
      <w:proofErr w:type="spellEnd"/>
      <w:r>
        <w:rPr>
          <w:rFonts w:ascii="Arial" w:hAnsi="Arial" w:cs="Arial"/>
          <w:color w:val="000000"/>
        </w:rPr>
        <w:t xml:space="preserve"> como marcadores de dano vascular em crianças obesas.</w:t>
      </w:r>
    </w:p>
    <w:p w14:paraId="2FFD9849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Métodos (Auditoria):</w:t>
      </w:r>
      <w:r>
        <w:rPr>
          <w:rFonts w:ascii="Arial" w:hAnsi="Arial" w:cs="Arial"/>
          <w:color w:val="000000"/>
        </w:rPr>
        <w:t xml:space="preserve"> O desenho transversal é a maior fraqueza, pois não permite dizer se a inflamação causou a disfunção ou se ambos são apenas subprodutos da obesidade. A seleção por "conveniência" e a exclusão de 58 crianças por falta de sangue introduzem um viés de seleção considerável. O uso do </w:t>
      </w:r>
      <w:proofErr w:type="spellStart"/>
      <w:r>
        <w:rPr>
          <w:rFonts w:ascii="Arial" w:hAnsi="Arial" w:cs="Arial"/>
          <w:color w:val="000000"/>
        </w:rPr>
        <w:t>EndoPAT</w:t>
      </w:r>
      <w:proofErr w:type="spellEnd"/>
      <w:r>
        <w:rPr>
          <w:rFonts w:ascii="Arial" w:hAnsi="Arial" w:cs="Arial"/>
          <w:color w:val="000000"/>
        </w:rPr>
        <w:t xml:space="preserve"> é válido, mas os autores admitem que o FMD (dilatação mediada por fluxo) seria o padrão-ouro.</w:t>
      </w:r>
    </w:p>
    <w:p w14:paraId="2EC7F745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Resultados (</w:t>
      </w:r>
      <w:proofErr w:type="spellStart"/>
      <w:r>
        <w:rPr>
          <w:rFonts w:ascii="Arial" w:hAnsi="Arial" w:cs="Arial"/>
          <w:b/>
          <w:bCs/>
          <w:color w:val="000000"/>
        </w:rPr>
        <w:t>Fact-Checking</w:t>
      </w:r>
      <w:proofErr w:type="spellEnd"/>
      <w:r>
        <w:rPr>
          <w:rFonts w:ascii="Arial" w:hAnsi="Arial" w:cs="Arial"/>
          <w:b/>
          <w:bCs/>
          <w:color w:val="000000"/>
        </w:rPr>
        <w:t>):</w:t>
      </w:r>
      <w:r>
        <w:rPr>
          <w:rFonts w:ascii="Arial" w:hAnsi="Arial" w:cs="Arial"/>
          <w:color w:val="000000"/>
        </w:rPr>
        <w:t xml:space="preserve"> Os dados mostram uma correlação clara (r = -0.543 para TNF-α e RHI). No entanto, a regressão linear múltipla (Tabela 3) foi feita com uma amostra muito pequena (n=49) para o número de variáveis testadas, o que aumenta o risco de </w:t>
      </w:r>
      <w:proofErr w:type="spellStart"/>
      <w:r>
        <w:rPr>
          <w:rFonts w:ascii="Arial" w:hAnsi="Arial" w:cs="Arial"/>
          <w:i/>
          <w:iCs/>
          <w:color w:val="000000"/>
        </w:rPr>
        <w:t>overfitting</w:t>
      </w:r>
      <w:proofErr w:type="spellEnd"/>
      <w:r>
        <w:rPr>
          <w:rFonts w:ascii="Arial" w:hAnsi="Arial" w:cs="Arial"/>
          <w:color w:val="000000"/>
        </w:rPr>
        <w:t xml:space="preserve"> (ajuste excessivo do modelo aos dados específicos, perdendo poder de generalização).</w:t>
      </w:r>
    </w:p>
    <w:p w14:paraId="4865E83C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Conclusão dos Autores vs Realidade:</w:t>
      </w:r>
      <w:r>
        <w:rPr>
          <w:rFonts w:ascii="Arial" w:hAnsi="Arial" w:cs="Arial"/>
          <w:color w:val="000000"/>
        </w:rPr>
        <w:t xml:space="preserve"> Os autores afirmam que </w:t>
      </w:r>
      <w:r>
        <w:rPr>
          <w:rFonts w:ascii="Arial" w:hAnsi="Arial" w:cs="Arial"/>
          <w:b/>
          <w:bCs/>
          <w:color w:val="000000"/>
        </w:rPr>
        <w:t xml:space="preserve">TNF-α e </w:t>
      </w:r>
      <w:proofErr w:type="spellStart"/>
      <w:r>
        <w:rPr>
          <w:rFonts w:ascii="Arial" w:hAnsi="Arial" w:cs="Arial"/>
          <w:b/>
          <w:bCs/>
          <w:color w:val="000000"/>
        </w:rPr>
        <w:t>EMPs</w:t>
      </w:r>
      <w:proofErr w:type="spellEnd"/>
      <w:r>
        <w:rPr>
          <w:rFonts w:ascii="Arial" w:hAnsi="Arial" w:cs="Arial"/>
          <w:b/>
          <w:bCs/>
          <w:color w:val="000000"/>
        </w:rPr>
        <w:t xml:space="preserve"> são "preditores". </w:t>
      </w:r>
      <w:r>
        <w:rPr>
          <w:rFonts w:ascii="Arial" w:hAnsi="Arial" w:cs="Arial"/>
          <w:color w:val="000000"/>
        </w:rPr>
        <w:t xml:space="preserve">Estatisticamente, no modelo deles, são. Mas, clinicamente, um estudo transversal não "prediz" o futuro; ele apenas mostra uma associação no presente. </w:t>
      </w:r>
      <w:r>
        <w:rPr>
          <w:rFonts w:ascii="Arial" w:hAnsi="Arial" w:cs="Arial"/>
          <w:b/>
          <w:bCs/>
          <w:color w:val="000000"/>
          <w:highlight w:val="yellow"/>
        </w:rPr>
        <w:t>A afirmação de que esses são "biomarcadores precoces" é promissora, mas carece de um estudo longitudinal para confirmar se essas crianças de fato terão eventos cardíacos mais cedo.</w:t>
      </w:r>
    </w:p>
    <w:p w14:paraId="088B1B4B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Figuras e Tabelas</w:t>
      </w:r>
    </w:p>
    <w:p w14:paraId="5BA2C963" w14:textId="77777777" w:rsidR="005E2384" w:rsidRDefault="005E2384">
      <w:pPr>
        <w:numPr>
          <w:ilvl w:val="0"/>
          <w:numId w:val="6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Figura 2 e 3:</w:t>
      </w:r>
      <w:r>
        <w:rPr>
          <w:rFonts w:ascii="Arial" w:eastAsia="Times New Roman" w:hAnsi="Arial" w:cs="Arial"/>
          <w:color w:val="000000"/>
        </w:rPr>
        <w:t xml:space="preserve"> Os gráficos de dispersão mostram uma correlação linear razoável, mas há </w:t>
      </w:r>
      <w:r>
        <w:rPr>
          <w:rFonts w:ascii="Arial" w:eastAsia="Times New Roman" w:hAnsi="Arial" w:cs="Arial"/>
          <w:i/>
          <w:iCs/>
          <w:color w:val="000000"/>
        </w:rPr>
        <w:t>outliers</w:t>
      </w:r>
      <w:r>
        <w:rPr>
          <w:rFonts w:ascii="Arial" w:eastAsia="Times New Roman" w:hAnsi="Arial" w:cs="Arial"/>
          <w:color w:val="000000"/>
        </w:rPr>
        <w:t xml:space="preserve"> visíveis. A linha de regressão parece fortemente influenciada pelos valores extremos do grupo obeso.</w:t>
      </w:r>
    </w:p>
    <w:p w14:paraId="0F14BD33" w14:textId="77777777" w:rsidR="005E2384" w:rsidRDefault="005E2384">
      <w:pPr>
        <w:numPr>
          <w:ilvl w:val="0"/>
          <w:numId w:val="6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Tabela 1:</w:t>
      </w:r>
      <w:r>
        <w:rPr>
          <w:rFonts w:ascii="Arial" w:eastAsia="Times New Roman" w:hAnsi="Arial" w:cs="Arial"/>
          <w:color w:val="000000"/>
        </w:rPr>
        <w:t xml:space="preserve"> Revela que o grupo obeso é significativamente menos </w:t>
      </w:r>
      <w:r>
        <w:rPr>
          <w:rFonts w:ascii="Arial" w:eastAsia="Times New Roman" w:hAnsi="Arial" w:cs="Arial"/>
          <w:color w:val="000000"/>
        </w:rPr>
        <w:t xml:space="preserve">ativo fisicamente (p=0.002). Isso levanta a questão: </w:t>
      </w:r>
      <w:r>
        <w:rPr>
          <w:rFonts w:ascii="Arial" w:eastAsia="Times New Roman" w:hAnsi="Arial" w:cs="Arial"/>
          <w:b/>
          <w:bCs/>
          <w:color w:val="000000"/>
        </w:rPr>
        <w:t>a disfunção endotelial é pela gordura corporal ou pelo sedentarismo</w:t>
      </w:r>
      <w:r>
        <w:rPr>
          <w:rFonts w:ascii="Arial" w:eastAsia="Times New Roman" w:hAnsi="Arial" w:cs="Arial"/>
          <w:color w:val="000000"/>
        </w:rPr>
        <w:t>? O estudo não isola completamente essas variáveis.</w:t>
      </w:r>
    </w:p>
    <w:p w14:paraId="29AB0606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Auditoria Metodológica</w:t>
      </w:r>
    </w:p>
    <w:p w14:paraId="2112EC5F" w14:textId="77777777" w:rsidR="005E2384" w:rsidRDefault="005E2384">
      <w:pPr>
        <w:numPr>
          <w:ilvl w:val="0"/>
          <w:numId w:val="9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Grau de Confiança:</w:t>
      </w:r>
      <w:r>
        <w:rPr>
          <w:rFonts w:ascii="Arial" w:eastAsia="Times New Roman" w:hAnsi="Arial" w:cs="Arial"/>
          <w:color w:val="000000"/>
        </w:rPr>
        <w:t xml:space="preserve"> Moderado-Baixo (devido ao desenho transversal e amostra reduzida na parte molecular).</w:t>
      </w:r>
    </w:p>
    <w:p w14:paraId="6E02CA55" w14:textId="77777777" w:rsidR="005E2384" w:rsidRDefault="005E2384">
      <w:pPr>
        <w:numPr>
          <w:ilvl w:val="0"/>
          <w:numId w:val="9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Viés de Seleção?</w:t>
      </w:r>
      <w:r>
        <w:rPr>
          <w:rFonts w:ascii="Arial" w:eastAsia="Times New Roman" w:hAnsi="Arial" w:cs="Arial"/>
          <w:color w:val="000000"/>
        </w:rPr>
        <w:t xml:space="preserve"> Sim. Amostra de conveniência e alta taxa de exclusão (29% por falta de amostra biológica).</w:t>
      </w:r>
    </w:p>
    <w:p w14:paraId="7C190634" w14:textId="77777777" w:rsidR="005E2384" w:rsidRDefault="005E2384">
      <w:pPr>
        <w:numPr>
          <w:ilvl w:val="0"/>
          <w:numId w:val="9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Viés de Aferição?</w:t>
      </w:r>
      <w:r>
        <w:rPr>
          <w:rFonts w:ascii="Arial" w:eastAsia="Times New Roman" w:hAnsi="Arial" w:cs="Arial"/>
          <w:color w:val="000000"/>
        </w:rPr>
        <w:t xml:space="preserve"> Baixo. O uso de </w:t>
      </w:r>
      <w:proofErr w:type="spellStart"/>
      <w:r>
        <w:rPr>
          <w:rFonts w:ascii="Arial" w:eastAsia="Times New Roman" w:hAnsi="Arial" w:cs="Arial"/>
          <w:color w:val="000000"/>
        </w:rPr>
        <w:t>EndoPAT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e citometria de fluxo automatizada reduz a subjetividade.</w:t>
      </w:r>
    </w:p>
    <w:p w14:paraId="670FE54F" w14:textId="77777777" w:rsidR="005E2384" w:rsidRDefault="005E2384">
      <w:pPr>
        <w:numPr>
          <w:ilvl w:val="0"/>
          <w:numId w:val="9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Viés de Confusão?</w:t>
      </w:r>
      <w:r>
        <w:rPr>
          <w:rFonts w:ascii="Arial" w:eastAsia="Times New Roman" w:hAnsi="Arial" w:cs="Arial"/>
          <w:color w:val="000000"/>
        </w:rPr>
        <w:t xml:space="preserve"> Sim. O nível de atividade física e a dieta não foram controlados na análise principal, podendo ser os verdadeiros motores da inflamação.</w:t>
      </w:r>
    </w:p>
    <w:p w14:paraId="67DD019B" w14:textId="77777777" w:rsidR="005E2384" w:rsidRDefault="005E2384">
      <w:pPr>
        <w:numPr>
          <w:ilvl w:val="0"/>
          <w:numId w:val="9"/>
        </w:numPr>
        <w:spacing w:before="100" w:beforeAutospacing="1" w:after="75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Aplicabilidade Prática?</w:t>
      </w:r>
      <w:r>
        <w:rPr>
          <w:rFonts w:ascii="Arial" w:eastAsia="Times New Roman" w:hAnsi="Arial" w:cs="Arial"/>
          <w:color w:val="000000"/>
        </w:rPr>
        <w:t xml:space="preserve"> Baixa no curto prazo. Médicos não pedem PCR de TNF-α ou contagem de </w:t>
      </w:r>
      <w:proofErr w:type="spellStart"/>
      <w:r>
        <w:rPr>
          <w:rFonts w:ascii="Arial" w:eastAsia="Times New Roman" w:hAnsi="Arial" w:cs="Arial"/>
          <w:color w:val="000000"/>
        </w:rPr>
        <w:t>EMPs</w:t>
      </w:r>
      <w:proofErr w:type="spellEnd"/>
      <w:r>
        <w:rPr>
          <w:rFonts w:ascii="Arial" w:eastAsia="Times New Roman" w:hAnsi="Arial" w:cs="Arial"/>
          <w:color w:val="000000"/>
        </w:rPr>
        <w:t xml:space="preserve"> na rotina pediátrica.</w:t>
      </w:r>
    </w:p>
    <w:p w14:paraId="24938575" w14:textId="77777777" w:rsidR="005E2384" w:rsidRDefault="005E2384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Discussão em Grupo</w:t>
      </w:r>
    </w:p>
    <w:p w14:paraId="4A738D6E" w14:textId="77777777" w:rsidR="005E2384" w:rsidRDefault="005E238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O Problema do N:</w:t>
      </w:r>
      <w:r>
        <w:rPr>
          <w:rFonts w:ascii="Arial" w:hAnsi="Arial" w:cs="Arial"/>
          <w:color w:val="000000"/>
        </w:rPr>
        <w:t xml:space="preserve"> Como a análise de apenas 14 crianças obesas para expressão gênica afeta a confiabilidade da regressão linear apresentada na Tabela 3?</w:t>
      </w:r>
      <w:r>
        <w:rPr>
          <w:rFonts w:ascii="Arial" w:hAnsi="Arial" w:cs="Arial"/>
          <w:color w:val="000000"/>
        </w:rPr>
        <w:br/>
        <w:t xml:space="preserve">2. </w:t>
      </w:r>
      <w:r>
        <w:rPr>
          <w:rFonts w:ascii="Arial" w:hAnsi="Arial" w:cs="Arial"/>
          <w:b/>
          <w:bCs/>
          <w:color w:val="000000"/>
        </w:rPr>
        <w:t>Causalidade Reversa:</w:t>
      </w:r>
      <w:r>
        <w:rPr>
          <w:rFonts w:ascii="Arial" w:hAnsi="Arial" w:cs="Arial"/>
          <w:color w:val="000000"/>
        </w:rPr>
        <w:t xml:space="preserve"> É possível que a disfunção endotelial (causada por outros fatores, como dieta rica em ultraprocessados) facilite o ganho de peso, em vez de a obesidade causar a disfunção?</w:t>
      </w:r>
      <w:r>
        <w:rPr>
          <w:rFonts w:ascii="Arial" w:hAnsi="Arial" w:cs="Arial"/>
          <w:color w:val="000000"/>
        </w:rPr>
        <w:br/>
        <w:t xml:space="preserve">3. </w:t>
      </w:r>
      <w:r>
        <w:rPr>
          <w:rFonts w:ascii="Arial" w:hAnsi="Arial" w:cs="Arial"/>
          <w:b/>
          <w:bCs/>
          <w:color w:val="000000"/>
        </w:rPr>
        <w:t>Ponto de Corte:</w:t>
      </w:r>
      <w:r>
        <w:rPr>
          <w:rFonts w:ascii="Arial" w:hAnsi="Arial" w:cs="Arial"/>
          <w:color w:val="000000"/>
        </w:rPr>
        <w:t xml:space="preserve"> O uso do RHI &lt; 1.67 (critério de adultos) é justo para crianças </w:t>
      </w:r>
      <w:r>
        <w:rPr>
          <w:rFonts w:ascii="Arial" w:hAnsi="Arial" w:cs="Arial"/>
          <w:color w:val="000000"/>
        </w:rPr>
        <w:lastRenderedPageBreak/>
        <w:t>pré-púberes? Como isso pode inflar a prevalência de "disfunção endotelial" no estu</w:t>
      </w:r>
      <w:r>
        <w:rPr>
          <w:rFonts w:ascii="Arial" w:hAnsi="Arial" w:cs="Arial"/>
          <w:color w:val="000000"/>
        </w:rPr>
        <w:t>do?</w:t>
      </w:r>
    </w:p>
    <w:p w14:paraId="4E058A14" w14:textId="77777777" w:rsidR="005E2384" w:rsidRDefault="005E2384">
      <w:pPr>
        <w:jc w:val="both"/>
        <w:rPr>
          <w:rFonts w:ascii="Arial" w:eastAsia="Times New Roman" w:hAnsi="Arial" w:cs="Arial"/>
          <w:color w:val="000000"/>
        </w:rPr>
      </w:pPr>
    </w:p>
    <w:p w14:paraId="458F084B" w14:textId="77777777" w:rsidR="005E2384" w:rsidRDefault="005E2384">
      <w:pPr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pict w14:anchorId="65DD5ED0">
          <v:rect id="_x0000_i1026" style="width:425.2pt;height:1.5pt" o:hralign="center" o:hrstd="t" o:hr="t" fillcolor="#a0a0a0" stroked="f"/>
        </w:pict>
      </w:r>
    </w:p>
    <w:p w14:paraId="1B3DF5B9" w14:textId="77777777" w:rsidR="005E2384" w:rsidRDefault="005E2384">
      <w:pPr>
        <w:pStyle w:val="NormalWeb"/>
        <w:spacing w:before="450" w:beforeAutospacing="0"/>
        <w:jc w:val="center"/>
        <w:rPr>
          <w:rFonts w:ascii="Arial" w:hAnsi="Arial" w:cs="Arial"/>
          <w:color w:val="64748B"/>
          <w:sz w:val="20"/>
          <w:szCs w:val="20"/>
        </w:rPr>
      </w:pPr>
      <w:r>
        <w:rPr>
          <w:rFonts w:ascii="Arial" w:hAnsi="Arial" w:cs="Arial"/>
          <w:color w:val="64748B"/>
          <w:sz w:val="20"/>
          <w:szCs w:val="20"/>
        </w:rPr>
        <w:t>Gerado por EvidentiApp - Motor de Inteligência Baseada em Evidências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0E7"/>
    <w:multiLevelType w:val="multilevel"/>
    <w:tmpl w:val="FA7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7663"/>
    <w:multiLevelType w:val="multilevel"/>
    <w:tmpl w:val="ACE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F4052C"/>
    <w:multiLevelType w:val="multilevel"/>
    <w:tmpl w:val="324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61EF8"/>
    <w:multiLevelType w:val="multilevel"/>
    <w:tmpl w:val="742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AE46CC"/>
    <w:multiLevelType w:val="multilevel"/>
    <w:tmpl w:val="854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A561C"/>
    <w:multiLevelType w:val="multilevel"/>
    <w:tmpl w:val="8FF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878091">
    <w:abstractNumId w:val="1"/>
  </w:num>
  <w:num w:numId="2" w16cid:durableId="873420447">
    <w:abstractNumId w:val="0"/>
  </w:num>
  <w:num w:numId="3" w16cid:durableId="14087649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06650720">
    <w:abstractNumId w:val="3"/>
  </w:num>
  <w:num w:numId="5" w16cid:durableId="1049917192">
    <w:abstractNumId w:val="4"/>
  </w:num>
  <w:num w:numId="6" w16cid:durableId="9382225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40356269">
    <w:abstractNumId w:val="5"/>
  </w:num>
  <w:num w:numId="8" w16cid:durableId="573709337">
    <w:abstractNumId w:val="2"/>
  </w:num>
  <w:num w:numId="9" w16cid:durableId="7017893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F3"/>
    <w:rsid w:val="002109DB"/>
    <w:rsid w:val="003E05F3"/>
    <w:rsid w:val="005E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4BDD4"/>
  <w15:chartTrackingRefBased/>
  <w15:docId w15:val="{0E7D0C2B-0B84-4650-BBFA-9B42CFFA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300"/>
      <w:outlineLvl w:val="0"/>
    </w:pPr>
    <w:rPr>
      <w:b/>
      <w:bCs/>
      <w:color w:val="1E3A8A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E2E8F0"/>
      </w:pBdr>
      <w:spacing w:before="375" w:after="150"/>
      <w:outlineLvl w:val="1"/>
    </w:pPr>
    <w:rPr>
      <w:b/>
      <w:bCs/>
      <w:color w:val="1E40A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225" w:after="75"/>
      <w:outlineLvl w:val="2"/>
    </w:pPr>
    <w:rPr>
      <w:b/>
      <w:bCs/>
      <w:color w:val="33415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1023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EvidentiApp</dc:title>
  <dc:subject/>
  <dc:creator>Pedro Miguel</dc:creator>
  <cp:keywords/>
  <dc:description/>
  <cp:lastModifiedBy>Pedro Miguel</cp:lastModifiedBy>
  <cp:revision>2</cp:revision>
  <dcterms:created xsi:type="dcterms:W3CDTF">2026-03-03T18:44:00Z</dcterms:created>
  <dcterms:modified xsi:type="dcterms:W3CDTF">2026-03-03T18:44:00Z</dcterms:modified>
</cp:coreProperties>
</file>