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69B9C" w14:textId="1047F78C" w:rsidR="00B5334E" w:rsidRPr="00B5334E" w:rsidRDefault="00B5334E" w:rsidP="00B5334E">
      <w:pPr>
        <w:jc w:val="center"/>
        <w:rPr>
          <w:b/>
          <w:sz w:val="28"/>
          <w:szCs w:val="28"/>
        </w:rPr>
      </w:pPr>
      <w:r w:rsidRPr="00B5334E">
        <w:rPr>
          <w:b/>
          <w:sz w:val="28"/>
          <w:szCs w:val="28"/>
          <w:highlight w:val="yellow"/>
        </w:rPr>
        <w:t>Tolerância Imunológica – Aula 10</w:t>
      </w:r>
    </w:p>
    <w:p w14:paraId="3E039205" w14:textId="79AE830E" w:rsidR="001741AE" w:rsidRPr="00B5334E" w:rsidRDefault="00B5334E" w:rsidP="00B5334E">
      <w:pPr>
        <w:rPr>
          <w:b/>
          <w:sz w:val="24"/>
          <w:szCs w:val="24"/>
        </w:rPr>
      </w:pPr>
      <w:r w:rsidRPr="00B5334E">
        <w:rPr>
          <w:b/>
          <w:sz w:val="24"/>
          <w:szCs w:val="24"/>
        </w:rPr>
        <w:t>Tolerância Central vs. Periférica</w:t>
      </w:r>
    </w:p>
    <w:p w14:paraId="33F9FF79" w14:textId="50157EDD" w:rsidR="00B5334E" w:rsidRPr="00B5334E" w:rsidRDefault="00B5334E" w:rsidP="00B5334E">
      <w:pPr>
        <w:rPr>
          <w:bCs/>
          <w:sz w:val="24"/>
          <w:szCs w:val="24"/>
        </w:rPr>
      </w:pPr>
      <w:r w:rsidRPr="0071382E">
        <w:rPr>
          <w:b/>
          <w:color w:val="FF0000"/>
          <w:sz w:val="24"/>
          <w:szCs w:val="24"/>
        </w:rPr>
        <w:t>Treg na Periferia</w:t>
      </w:r>
      <w:r w:rsidRPr="00B5334E">
        <w:rPr>
          <w:b/>
          <w:sz w:val="24"/>
          <w:szCs w:val="24"/>
        </w:rPr>
        <w:t xml:space="preserve"> </w:t>
      </w:r>
      <w:r w:rsidRPr="00B5334E">
        <w:rPr>
          <w:b/>
          <w:sz w:val="24"/>
          <w:szCs w:val="24"/>
        </w:rPr>
        <w:sym w:font="Wingdings" w:char="F0E0"/>
      </w:r>
      <w:r w:rsidRPr="00B5334E">
        <w:rPr>
          <w:b/>
          <w:sz w:val="24"/>
          <w:szCs w:val="24"/>
        </w:rPr>
        <w:t xml:space="preserve"> </w:t>
      </w:r>
      <w:r w:rsidRPr="00B5334E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N</w:t>
      </w:r>
      <w:r w:rsidRPr="00B5334E">
        <w:rPr>
          <w:bCs/>
          <w:sz w:val="24"/>
          <w:szCs w:val="24"/>
        </w:rPr>
        <w:t>aive e vai ser induzida pelo ambiente que se encontra</w:t>
      </w:r>
      <w:r>
        <w:rPr>
          <w:bCs/>
          <w:sz w:val="24"/>
          <w:szCs w:val="24"/>
        </w:rPr>
        <w:t>, vão ser moduladas pela situação da periferia.</w:t>
      </w:r>
    </w:p>
    <w:p w14:paraId="6F8A7E22" w14:textId="20CDA4E1" w:rsidR="00B5334E" w:rsidRDefault="00B5334E" w:rsidP="00B5334E">
      <w:pPr>
        <w:rPr>
          <w:bCs/>
          <w:sz w:val="24"/>
          <w:szCs w:val="24"/>
        </w:rPr>
      </w:pPr>
      <w:r w:rsidRPr="0071382E">
        <w:rPr>
          <w:b/>
          <w:color w:val="ED7D31" w:themeColor="accent2"/>
          <w:sz w:val="24"/>
          <w:szCs w:val="24"/>
        </w:rPr>
        <w:t>Treg na Central</w:t>
      </w:r>
      <w:r w:rsidRPr="00B5334E">
        <w:rPr>
          <w:bCs/>
          <w:sz w:val="24"/>
          <w:szCs w:val="24"/>
        </w:rPr>
        <w:t xml:space="preserve"> </w:t>
      </w:r>
      <w:r w:rsidRPr="00B5334E">
        <w:rPr>
          <w:bCs/>
          <w:sz w:val="24"/>
          <w:szCs w:val="24"/>
        </w:rPr>
        <w:sym w:font="Wingdings" w:char="F0E0"/>
      </w:r>
      <w:r w:rsidRPr="00B5334E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no Timo, citocinas vão amadurecer a Treg e chega nos tecidos com uma especificidade marcada já.</w:t>
      </w:r>
    </w:p>
    <w:p w14:paraId="2AA0E76C" w14:textId="466C4E8F" w:rsidR="00B5334E" w:rsidRDefault="00B5334E" w:rsidP="00B5334E">
      <w:pPr>
        <w:jc w:val="center"/>
        <w:rPr>
          <w:bCs/>
          <w:sz w:val="24"/>
          <w:szCs w:val="24"/>
        </w:rPr>
      </w:pPr>
      <w:r w:rsidRPr="00B5334E">
        <w:rPr>
          <w:bCs/>
          <w:noProof/>
          <w:sz w:val="24"/>
          <w:szCs w:val="24"/>
        </w:rPr>
        <w:drawing>
          <wp:inline distT="0" distB="0" distL="0" distR="0" wp14:anchorId="440E9925" wp14:editId="020A2DB8">
            <wp:extent cx="3300174" cy="3017520"/>
            <wp:effectExtent l="0" t="0" r="0" b="0"/>
            <wp:docPr id="155572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2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7387" cy="302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5629" w14:textId="6A127A2E" w:rsidR="00B5334E" w:rsidRDefault="00B5334E" w:rsidP="00B5334E">
      <w:pPr>
        <w:rPr>
          <w:b/>
          <w:sz w:val="24"/>
          <w:szCs w:val="24"/>
        </w:rPr>
      </w:pPr>
      <w:r w:rsidRPr="0071382E">
        <w:rPr>
          <w:b/>
          <w:sz w:val="24"/>
          <w:szCs w:val="24"/>
          <w:highlight w:val="yellow"/>
        </w:rPr>
        <w:t>Tolerância central de células T</w:t>
      </w:r>
    </w:p>
    <w:p w14:paraId="55B07961" w14:textId="517159D2" w:rsidR="00B5334E" w:rsidRDefault="0071382E" w:rsidP="0071382E">
      <w:pPr>
        <w:pStyle w:val="PargrafodaLista"/>
        <w:jc w:val="center"/>
        <w:rPr>
          <w:b/>
          <w:sz w:val="24"/>
          <w:szCs w:val="24"/>
        </w:rPr>
      </w:pPr>
      <w:r w:rsidRPr="0071382E">
        <w:rPr>
          <w:b/>
          <w:noProof/>
          <w:sz w:val="24"/>
          <w:szCs w:val="24"/>
        </w:rPr>
        <w:drawing>
          <wp:inline distT="0" distB="0" distL="0" distR="0" wp14:anchorId="552A54DF" wp14:editId="5067039E">
            <wp:extent cx="3161088" cy="1981200"/>
            <wp:effectExtent l="0" t="0" r="0" b="0"/>
            <wp:docPr id="1614001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01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843" cy="199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CA74" w14:textId="1351F880" w:rsidR="0071382E" w:rsidRPr="0071382E" w:rsidRDefault="0071382E" w:rsidP="0071382E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Forma Treg;</w:t>
      </w:r>
    </w:p>
    <w:p w14:paraId="5D7A76E1" w14:textId="77777777" w:rsidR="0071382E" w:rsidRDefault="0071382E" w:rsidP="0071382E">
      <w:pPr>
        <w:rPr>
          <w:b/>
          <w:sz w:val="24"/>
          <w:szCs w:val="24"/>
          <w:highlight w:val="green"/>
        </w:rPr>
      </w:pPr>
    </w:p>
    <w:p w14:paraId="3E3422CA" w14:textId="77777777" w:rsidR="0071382E" w:rsidRDefault="0071382E" w:rsidP="0071382E">
      <w:pPr>
        <w:rPr>
          <w:b/>
          <w:sz w:val="24"/>
          <w:szCs w:val="24"/>
          <w:highlight w:val="green"/>
        </w:rPr>
      </w:pPr>
    </w:p>
    <w:p w14:paraId="1253F207" w14:textId="77777777" w:rsidR="0071382E" w:rsidRDefault="0071382E" w:rsidP="0071382E">
      <w:pPr>
        <w:rPr>
          <w:b/>
          <w:sz w:val="24"/>
          <w:szCs w:val="24"/>
          <w:highlight w:val="green"/>
        </w:rPr>
      </w:pPr>
    </w:p>
    <w:p w14:paraId="68277091" w14:textId="77777777" w:rsidR="0071382E" w:rsidRDefault="0071382E" w:rsidP="0071382E">
      <w:pPr>
        <w:rPr>
          <w:b/>
          <w:sz w:val="24"/>
          <w:szCs w:val="24"/>
          <w:highlight w:val="green"/>
        </w:rPr>
      </w:pPr>
    </w:p>
    <w:p w14:paraId="12F80C73" w14:textId="77777777" w:rsidR="0071382E" w:rsidRDefault="0071382E" w:rsidP="0071382E">
      <w:pPr>
        <w:rPr>
          <w:b/>
          <w:sz w:val="24"/>
          <w:szCs w:val="24"/>
          <w:highlight w:val="green"/>
        </w:rPr>
      </w:pPr>
    </w:p>
    <w:p w14:paraId="2B1162CD" w14:textId="4C166A47" w:rsidR="0071382E" w:rsidRDefault="0071382E" w:rsidP="0071382E">
      <w:pPr>
        <w:rPr>
          <w:b/>
          <w:sz w:val="24"/>
          <w:szCs w:val="24"/>
        </w:rPr>
      </w:pPr>
      <w:r w:rsidRPr="0071382E">
        <w:rPr>
          <w:b/>
          <w:sz w:val="24"/>
          <w:szCs w:val="24"/>
          <w:highlight w:val="green"/>
        </w:rPr>
        <w:lastRenderedPageBreak/>
        <w:t>Tolerância periférica dos linfócitos T</w:t>
      </w:r>
    </w:p>
    <w:p w14:paraId="18405511" w14:textId="782AB7DC" w:rsidR="0071382E" w:rsidRPr="0071382E" w:rsidRDefault="0071382E" w:rsidP="0071382E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Tregs </w:t>
      </w:r>
      <w:r w:rsidRPr="0071382E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suprimir resposta imune</w:t>
      </w:r>
    </w:p>
    <w:p w14:paraId="39D49D64" w14:textId="68440E16" w:rsidR="0071382E" w:rsidRPr="0071382E" w:rsidRDefault="0071382E" w:rsidP="0071382E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Prevenir a autoimunidade</w:t>
      </w:r>
    </w:p>
    <w:p w14:paraId="6535D610" w14:textId="7DE0ACA5" w:rsidR="0071382E" w:rsidRPr="0071382E" w:rsidRDefault="0071382E" w:rsidP="0071382E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71382E">
        <w:rPr>
          <w:b/>
          <w:sz w:val="24"/>
          <w:szCs w:val="24"/>
        </w:rPr>
        <w:t>Treg</w:t>
      </w:r>
      <w:r>
        <w:rPr>
          <w:bCs/>
          <w:sz w:val="24"/>
          <w:szCs w:val="24"/>
        </w:rPr>
        <w:t xml:space="preserve"> </w:t>
      </w:r>
      <w:r w:rsidRPr="0071382E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induzida na periferia (IL-2, TGD-b; IDO)</w:t>
      </w:r>
    </w:p>
    <w:p w14:paraId="1C907A96" w14:textId="77777777" w:rsidR="0071382E" w:rsidRPr="0071382E" w:rsidRDefault="0071382E" w:rsidP="0071382E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71382E">
        <w:rPr>
          <w:bCs/>
          <w:sz w:val="24"/>
          <w:szCs w:val="24"/>
        </w:rPr>
        <w:t>Tem que expressar FOX-P3 ativo e ser uma CD4+, receptor de Leucina 2, coestimulador que vai inibir a cell apresentadora de antígeno e a célula T.</w:t>
      </w:r>
    </w:p>
    <w:p w14:paraId="1F7D14B7" w14:textId="5617D1C8" w:rsidR="0071382E" w:rsidRPr="0071382E" w:rsidRDefault="0071382E" w:rsidP="0071382E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sym w:font="Wingdings" w:char="F0E2"/>
      </w:r>
      <w:r>
        <w:rPr>
          <w:b/>
          <w:sz w:val="24"/>
          <w:szCs w:val="24"/>
        </w:rPr>
        <w:t xml:space="preserve"> Atividade de APC e Macrófago (em fagocitar) </w:t>
      </w:r>
    </w:p>
    <w:p w14:paraId="76255139" w14:textId="5F2D985F" w:rsidR="0071382E" w:rsidRDefault="0071382E" w:rsidP="0071382E">
      <w:pPr>
        <w:jc w:val="center"/>
        <w:rPr>
          <w:b/>
          <w:sz w:val="24"/>
          <w:szCs w:val="24"/>
        </w:rPr>
      </w:pPr>
      <w:r w:rsidRPr="0071382E">
        <w:rPr>
          <w:b/>
          <w:noProof/>
          <w:sz w:val="24"/>
          <w:szCs w:val="24"/>
        </w:rPr>
        <w:drawing>
          <wp:inline distT="0" distB="0" distL="0" distR="0" wp14:anchorId="79A810C0" wp14:editId="3D283459">
            <wp:extent cx="2570646" cy="2247900"/>
            <wp:effectExtent l="0" t="0" r="0" b="0"/>
            <wp:docPr id="624352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52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7012" cy="225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0C0E" w14:textId="624AE425" w:rsidR="0071382E" w:rsidRDefault="0071382E" w:rsidP="0071382E">
      <w:pPr>
        <w:rPr>
          <w:b/>
          <w:sz w:val="24"/>
          <w:szCs w:val="24"/>
        </w:rPr>
      </w:pPr>
      <w:r w:rsidRPr="0071382E">
        <w:rPr>
          <w:b/>
          <w:sz w:val="24"/>
          <w:szCs w:val="24"/>
          <w:highlight w:val="cyan"/>
        </w:rPr>
        <w:t>Treg</w:t>
      </w:r>
    </w:p>
    <w:p w14:paraId="42609491" w14:textId="79C6D87C" w:rsidR="0071382E" w:rsidRDefault="0071382E" w:rsidP="0071382E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71382E">
        <w:rPr>
          <w:b/>
          <w:sz w:val="24"/>
          <w:szCs w:val="24"/>
        </w:rPr>
        <w:t xml:space="preserve">Cel. T e Treg reconhecem o antígeno </w:t>
      </w:r>
      <w:r w:rsidR="0048429C">
        <w:rPr>
          <w:b/>
          <w:sz w:val="24"/>
          <w:szCs w:val="24"/>
        </w:rPr>
        <w:t xml:space="preserve">e se diferenciam no Timo. A partir de cel. T </w:t>
      </w:r>
      <w:r w:rsidR="0048429C" w:rsidRPr="0048429C">
        <w:rPr>
          <w:b/>
          <w:sz w:val="24"/>
          <w:szCs w:val="24"/>
        </w:rPr>
        <w:sym w:font="Wingdings" w:char="F0E0"/>
      </w:r>
      <w:r w:rsidR="0048429C">
        <w:rPr>
          <w:b/>
          <w:sz w:val="24"/>
          <w:szCs w:val="24"/>
        </w:rPr>
        <w:t xml:space="preserve"> faz Treg. </w:t>
      </w:r>
    </w:p>
    <w:p w14:paraId="79E0D570" w14:textId="77777777" w:rsidR="0071382E" w:rsidRDefault="0071382E" w:rsidP="0071382E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71382E">
        <w:rPr>
          <w:b/>
          <w:sz w:val="24"/>
          <w:szCs w:val="24"/>
        </w:rPr>
        <w:t xml:space="preserve">Cel T-CD4+ → </w:t>
      </w:r>
      <w:r w:rsidRPr="0071382E">
        <w:rPr>
          <w:bCs/>
          <w:sz w:val="24"/>
          <w:szCs w:val="24"/>
        </w:rPr>
        <w:t>secreção de IL-2</w:t>
      </w:r>
      <w:r w:rsidRPr="0071382E">
        <w:rPr>
          <w:b/>
          <w:sz w:val="24"/>
          <w:szCs w:val="24"/>
        </w:rPr>
        <w:t xml:space="preserve"> </w:t>
      </w:r>
    </w:p>
    <w:p w14:paraId="4CEA49B1" w14:textId="1085D8F4" w:rsidR="0071382E" w:rsidRDefault="0071382E" w:rsidP="0071382E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71382E">
        <w:rPr>
          <w:b/>
          <w:sz w:val="24"/>
          <w:szCs w:val="24"/>
        </w:rPr>
        <w:t xml:space="preserve">Treg → </w:t>
      </w:r>
      <w:r w:rsidRPr="0071382E">
        <w:rPr>
          <w:bCs/>
          <w:sz w:val="24"/>
          <w:szCs w:val="24"/>
        </w:rPr>
        <w:t xml:space="preserve">CTLA4 bloqueia ou </w:t>
      </w:r>
      <w:r w:rsidRPr="00FE1ED5">
        <w:rPr>
          <w:b/>
          <w:sz w:val="24"/>
          <w:szCs w:val="24"/>
        </w:rPr>
        <w:t>remove B7</w:t>
      </w:r>
      <w:r w:rsidRPr="0071382E">
        <w:rPr>
          <w:bCs/>
          <w:sz w:val="24"/>
          <w:szCs w:val="24"/>
        </w:rPr>
        <w:t xml:space="preserve"> na </w:t>
      </w:r>
      <w:r w:rsidRPr="00FE1ED5">
        <w:rPr>
          <w:b/>
          <w:sz w:val="24"/>
          <w:szCs w:val="24"/>
        </w:rPr>
        <w:t>APC</w:t>
      </w:r>
      <w:r w:rsidRPr="0071382E">
        <w:rPr>
          <w:b/>
          <w:sz w:val="24"/>
          <w:szCs w:val="24"/>
        </w:rPr>
        <w:t xml:space="preserve"> </w:t>
      </w:r>
    </w:p>
    <w:p w14:paraId="3F864996" w14:textId="6CBA94C5" w:rsidR="0071382E" w:rsidRPr="0071382E" w:rsidRDefault="0071382E" w:rsidP="0071382E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71382E">
        <w:rPr>
          <w:b/>
          <w:sz w:val="24"/>
          <w:szCs w:val="24"/>
        </w:rPr>
        <w:t xml:space="preserve">Treg → IL-10, TGF-β - </w:t>
      </w:r>
      <w:r w:rsidRPr="00FE1ED5">
        <w:rPr>
          <w:b/>
          <w:sz w:val="24"/>
          <w:szCs w:val="24"/>
        </w:rPr>
        <w:t>inibe</w:t>
      </w:r>
      <w:r w:rsidRPr="0071382E">
        <w:rPr>
          <w:bCs/>
          <w:sz w:val="24"/>
          <w:szCs w:val="24"/>
        </w:rPr>
        <w:t xml:space="preserve"> funções de </w:t>
      </w:r>
      <w:r w:rsidRPr="00FE1ED5">
        <w:rPr>
          <w:b/>
          <w:sz w:val="24"/>
          <w:szCs w:val="24"/>
        </w:rPr>
        <w:t>APCs</w:t>
      </w:r>
      <w:r w:rsidRPr="0071382E">
        <w:rPr>
          <w:bCs/>
          <w:sz w:val="24"/>
          <w:szCs w:val="24"/>
        </w:rPr>
        <w:t xml:space="preserve"> e células T</w:t>
      </w:r>
    </w:p>
    <w:p w14:paraId="16972749" w14:textId="72F8F152" w:rsidR="0071382E" w:rsidRDefault="0071382E" w:rsidP="0071382E">
      <w:pPr>
        <w:jc w:val="center"/>
        <w:rPr>
          <w:b/>
          <w:sz w:val="24"/>
          <w:szCs w:val="24"/>
        </w:rPr>
      </w:pPr>
      <w:r w:rsidRPr="0071382E">
        <w:rPr>
          <w:b/>
          <w:noProof/>
          <w:sz w:val="24"/>
          <w:szCs w:val="24"/>
        </w:rPr>
        <w:drawing>
          <wp:inline distT="0" distB="0" distL="0" distR="0" wp14:anchorId="534EC1F0" wp14:editId="64951E99">
            <wp:extent cx="4122420" cy="1677764"/>
            <wp:effectExtent l="0" t="0" r="0" b="0"/>
            <wp:docPr id="1253727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27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5032" cy="169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FA96" w14:textId="250118AB" w:rsidR="00571D86" w:rsidRDefault="00571D86" w:rsidP="00571D86">
      <w:pPr>
        <w:rPr>
          <w:b/>
          <w:sz w:val="24"/>
          <w:szCs w:val="24"/>
        </w:rPr>
      </w:pPr>
      <w:r w:rsidRPr="00571D86">
        <w:rPr>
          <w:b/>
          <w:sz w:val="24"/>
          <w:szCs w:val="24"/>
          <w:highlight w:val="green"/>
        </w:rPr>
        <w:t>Anergia e exaustão de células T</w:t>
      </w:r>
    </w:p>
    <w:p w14:paraId="0C9A2595" w14:textId="77777777" w:rsidR="00571D86" w:rsidRDefault="00571D86" w:rsidP="00571D86">
      <w:pPr>
        <w:rPr>
          <w:bCs/>
          <w:sz w:val="24"/>
          <w:szCs w:val="24"/>
        </w:rPr>
      </w:pPr>
      <w:r w:rsidRPr="00571D86">
        <w:rPr>
          <w:b/>
          <w:sz w:val="24"/>
          <w:szCs w:val="24"/>
        </w:rPr>
        <w:t xml:space="preserve">Anergia → </w:t>
      </w:r>
      <w:r w:rsidRPr="00571D86">
        <w:rPr>
          <w:bCs/>
          <w:sz w:val="24"/>
          <w:szCs w:val="24"/>
        </w:rPr>
        <w:t xml:space="preserve">não responsividade das </w:t>
      </w:r>
      <w:r w:rsidRPr="00FE1ED5">
        <w:rPr>
          <w:b/>
          <w:color w:val="ED7D31" w:themeColor="accent2"/>
          <w:sz w:val="24"/>
          <w:szCs w:val="24"/>
        </w:rPr>
        <w:t>células T</w:t>
      </w:r>
      <w:r w:rsidRPr="00FE1ED5">
        <w:rPr>
          <w:bCs/>
          <w:color w:val="ED7D31" w:themeColor="accent2"/>
          <w:sz w:val="24"/>
          <w:szCs w:val="24"/>
        </w:rPr>
        <w:t>:</w:t>
      </w:r>
      <w:r w:rsidRPr="00571D86">
        <w:rPr>
          <w:bCs/>
          <w:sz w:val="24"/>
          <w:szCs w:val="24"/>
        </w:rPr>
        <w:t xml:space="preserve"> </w:t>
      </w:r>
    </w:p>
    <w:p w14:paraId="2BC6045A" w14:textId="4A8E5671" w:rsidR="00571D86" w:rsidRPr="00571D86" w:rsidRDefault="00571D86" w:rsidP="00571D86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571D86">
        <w:rPr>
          <w:bCs/>
          <w:sz w:val="24"/>
          <w:szCs w:val="24"/>
        </w:rPr>
        <w:t xml:space="preserve">1. </w:t>
      </w:r>
      <w:r w:rsidRPr="00571D86">
        <w:rPr>
          <w:b/>
          <w:sz w:val="24"/>
          <w:szCs w:val="24"/>
        </w:rPr>
        <w:t>Reconhecimento</w:t>
      </w:r>
      <w:r w:rsidRPr="00571D86">
        <w:rPr>
          <w:bCs/>
          <w:sz w:val="24"/>
          <w:szCs w:val="24"/>
        </w:rPr>
        <w:t xml:space="preserve"> do antígeno (</w:t>
      </w:r>
      <w:r w:rsidRPr="00FE1ED5">
        <w:rPr>
          <w:b/>
          <w:color w:val="EE0000"/>
          <w:sz w:val="24"/>
          <w:szCs w:val="24"/>
        </w:rPr>
        <w:t>1º</w:t>
      </w:r>
      <w:r w:rsidRPr="00FE1ED5">
        <w:rPr>
          <w:bCs/>
          <w:color w:val="EE0000"/>
          <w:sz w:val="24"/>
          <w:szCs w:val="24"/>
        </w:rPr>
        <w:t xml:space="preserve"> </w:t>
      </w:r>
      <w:r w:rsidRPr="00FE1ED5">
        <w:rPr>
          <w:b/>
          <w:color w:val="EE0000"/>
          <w:sz w:val="24"/>
          <w:szCs w:val="24"/>
        </w:rPr>
        <w:t>sinal</w:t>
      </w:r>
      <w:r w:rsidRPr="00571D86">
        <w:rPr>
          <w:bCs/>
          <w:sz w:val="24"/>
          <w:szCs w:val="24"/>
        </w:rPr>
        <w:t xml:space="preserve">), sem </w:t>
      </w:r>
      <w:r w:rsidRPr="00571D86">
        <w:rPr>
          <w:b/>
          <w:sz w:val="24"/>
          <w:szCs w:val="24"/>
        </w:rPr>
        <w:t>coestimulação</w:t>
      </w:r>
      <w:r w:rsidRPr="00571D86">
        <w:rPr>
          <w:bCs/>
          <w:sz w:val="24"/>
          <w:szCs w:val="24"/>
        </w:rPr>
        <w:t xml:space="preserve"> (</w:t>
      </w:r>
      <w:r w:rsidRPr="00FE1ED5">
        <w:rPr>
          <w:b/>
          <w:color w:val="EE0000"/>
          <w:sz w:val="24"/>
          <w:szCs w:val="24"/>
        </w:rPr>
        <w:t>2º sinal</w:t>
      </w:r>
      <w:r w:rsidRPr="00571D86">
        <w:rPr>
          <w:bCs/>
          <w:sz w:val="24"/>
          <w:szCs w:val="24"/>
        </w:rPr>
        <w:t>)</w:t>
      </w:r>
    </w:p>
    <w:p w14:paraId="220B5E6A" w14:textId="0F7A286B" w:rsidR="00571D86" w:rsidRPr="00FE1ED5" w:rsidRDefault="00571D86" w:rsidP="00571D86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571D86">
        <w:rPr>
          <w:bCs/>
          <w:sz w:val="24"/>
          <w:szCs w:val="24"/>
        </w:rPr>
        <w:t>2.</w:t>
      </w:r>
      <w:r w:rsidRPr="00571D86">
        <w:rPr>
          <w:b/>
          <w:sz w:val="24"/>
          <w:szCs w:val="24"/>
        </w:rPr>
        <w:t xml:space="preserve"> </w:t>
      </w:r>
      <w:r w:rsidR="00FE1ED5">
        <w:rPr>
          <w:b/>
          <w:sz w:val="24"/>
          <w:szCs w:val="24"/>
        </w:rPr>
        <w:sym w:font="Wingdings" w:char="F0E1"/>
      </w:r>
      <w:r w:rsidR="00FE1ED5">
        <w:rPr>
          <w:b/>
          <w:sz w:val="24"/>
          <w:szCs w:val="24"/>
        </w:rPr>
        <w:t xml:space="preserve"> </w:t>
      </w:r>
      <w:r w:rsidRPr="00571D86">
        <w:rPr>
          <w:b/>
          <w:sz w:val="24"/>
          <w:szCs w:val="24"/>
        </w:rPr>
        <w:t xml:space="preserve">Expressão de PD-1 → </w:t>
      </w:r>
      <w:r w:rsidRPr="00571D86">
        <w:rPr>
          <w:bCs/>
          <w:sz w:val="24"/>
          <w:szCs w:val="24"/>
        </w:rPr>
        <w:t xml:space="preserve">impede a comunicação via </w:t>
      </w:r>
      <w:r w:rsidRPr="00FE1ED5">
        <w:rPr>
          <w:b/>
          <w:sz w:val="24"/>
          <w:szCs w:val="24"/>
        </w:rPr>
        <w:t>TCR/MHC</w:t>
      </w:r>
      <w:r w:rsidRPr="00571D86">
        <w:rPr>
          <w:bCs/>
          <w:sz w:val="24"/>
          <w:szCs w:val="24"/>
        </w:rPr>
        <w:t xml:space="preserve"> e </w:t>
      </w:r>
      <w:r w:rsidRPr="00FE1ED5">
        <w:rPr>
          <w:b/>
          <w:sz w:val="24"/>
          <w:szCs w:val="24"/>
        </w:rPr>
        <w:t>CD28/ B7</w:t>
      </w:r>
    </w:p>
    <w:p w14:paraId="65D32A9D" w14:textId="6FC1222F" w:rsidR="00FE1ED5" w:rsidRPr="00FE1ED5" w:rsidRDefault="00FE1ED5" w:rsidP="00FE1ED5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Uma cel que não faz a resposta ao antígeno, autoimunidade. </w:t>
      </w:r>
    </w:p>
    <w:p w14:paraId="28A80419" w14:textId="2F9EB2BA" w:rsidR="00571D86" w:rsidRDefault="00571D86" w:rsidP="00571D86">
      <w:pPr>
        <w:rPr>
          <w:bCs/>
          <w:sz w:val="24"/>
          <w:szCs w:val="24"/>
        </w:rPr>
      </w:pPr>
      <w:r w:rsidRPr="00571D86">
        <w:rPr>
          <w:b/>
          <w:sz w:val="24"/>
          <w:szCs w:val="24"/>
        </w:rPr>
        <w:t>PD-1</w:t>
      </w:r>
      <w:r w:rsidRPr="00571D86">
        <w:rPr>
          <w:bCs/>
          <w:sz w:val="24"/>
          <w:szCs w:val="24"/>
        </w:rPr>
        <w:t>→ limita a ativação por estímulos persistentes</w:t>
      </w:r>
    </w:p>
    <w:p w14:paraId="08A3B04E" w14:textId="23564936" w:rsidR="00571D86" w:rsidRDefault="00571D86" w:rsidP="00571D86">
      <w:pPr>
        <w:jc w:val="center"/>
        <w:rPr>
          <w:bCs/>
          <w:sz w:val="24"/>
          <w:szCs w:val="24"/>
        </w:rPr>
      </w:pPr>
      <w:r w:rsidRPr="00571D86">
        <w:rPr>
          <w:bCs/>
          <w:noProof/>
          <w:sz w:val="24"/>
          <w:szCs w:val="24"/>
        </w:rPr>
        <w:lastRenderedPageBreak/>
        <w:drawing>
          <wp:inline distT="0" distB="0" distL="0" distR="0" wp14:anchorId="404372B6" wp14:editId="2276F7C4">
            <wp:extent cx="2644140" cy="1643250"/>
            <wp:effectExtent l="0" t="0" r="0" b="0"/>
            <wp:docPr id="703888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88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6251" cy="165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3DDE" w14:textId="77777777" w:rsidR="00571D86" w:rsidRDefault="00571D86" w:rsidP="00571D86">
      <w:pPr>
        <w:rPr>
          <w:bCs/>
          <w:sz w:val="24"/>
          <w:szCs w:val="24"/>
        </w:rPr>
      </w:pPr>
      <w:r w:rsidRPr="00571D86">
        <w:rPr>
          <w:b/>
          <w:sz w:val="24"/>
          <w:szCs w:val="24"/>
          <w:highlight w:val="cyan"/>
        </w:rPr>
        <w:t>Deleção e morte</w:t>
      </w:r>
      <w:r w:rsidRPr="00571D86">
        <w:rPr>
          <w:bCs/>
          <w:sz w:val="24"/>
          <w:szCs w:val="24"/>
        </w:rPr>
        <w:t xml:space="preserve"> </w:t>
      </w:r>
    </w:p>
    <w:p w14:paraId="087CCA65" w14:textId="1F51AD4E" w:rsidR="00571D86" w:rsidRDefault="00571D86" w:rsidP="00571D86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571D86">
        <w:rPr>
          <w:b/>
          <w:sz w:val="24"/>
          <w:szCs w:val="24"/>
        </w:rPr>
        <w:t>Autoantígenos</w:t>
      </w:r>
      <w:r w:rsidRPr="00571D86">
        <w:rPr>
          <w:bCs/>
          <w:sz w:val="24"/>
          <w:szCs w:val="24"/>
        </w:rPr>
        <w:t xml:space="preserve"> </w:t>
      </w:r>
      <w:r w:rsidRPr="00571D86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571D86">
        <w:rPr>
          <w:b/>
          <w:sz w:val="24"/>
          <w:szCs w:val="24"/>
        </w:rPr>
        <w:t>ausência de coestimulação</w:t>
      </w:r>
      <w:r w:rsidRPr="00571D86">
        <w:rPr>
          <w:bCs/>
          <w:sz w:val="24"/>
          <w:szCs w:val="24"/>
        </w:rPr>
        <w:t xml:space="preserve"> → aumento de </w:t>
      </w:r>
      <w:r w:rsidRPr="00571D86">
        <w:rPr>
          <w:b/>
          <w:sz w:val="24"/>
          <w:szCs w:val="24"/>
        </w:rPr>
        <w:t>proteínas pró-apoptóticas</w:t>
      </w:r>
      <w:r w:rsidRPr="00571D86">
        <w:rPr>
          <w:bCs/>
          <w:sz w:val="24"/>
          <w:szCs w:val="24"/>
        </w:rPr>
        <w:t xml:space="preserve"> → </w:t>
      </w:r>
      <w:r w:rsidRPr="00571D86">
        <w:rPr>
          <w:b/>
          <w:sz w:val="24"/>
          <w:szCs w:val="24"/>
        </w:rPr>
        <w:t>caspases</w:t>
      </w:r>
      <w:r w:rsidRPr="00571D86">
        <w:rPr>
          <w:bCs/>
          <w:sz w:val="24"/>
          <w:szCs w:val="24"/>
        </w:rPr>
        <w:t xml:space="preserve"> → </w:t>
      </w:r>
      <w:r w:rsidRPr="0038253A">
        <w:rPr>
          <w:b/>
          <w:color w:val="EE0000"/>
          <w:sz w:val="24"/>
          <w:szCs w:val="24"/>
        </w:rPr>
        <w:t>APOPTOSE</w:t>
      </w:r>
      <w:r w:rsidRPr="00571D86">
        <w:rPr>
          <w:bCs/>
          <w:sz w:val="24"/>
          <w:szCs w:val="24"/>
        </w:rPr>
        <w:t xml:space="preserve"> </w:t>
      </w:r>
    </w:p>
    <w:p w14:paraId="247171A9" w14:textId="0D04B412" w:rsidR="00571D86" w:rsidRDefault="00571D86" w:rsidP="00571D86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571D86">
        <w:rPr>
          <w:b/>
          <w:sz w:val="24"/>
          <w:szCs w:val="24"/>
        </w:rPr>
        <w:t>Engajamento de receptores de morte celular</w:t>
      </w:r>
      <w:r w:rsidRPr="00571D86">
        <w:rPr>
          <w:bCs/>
          <w:sz w:val="24"/>
          <w:szCs w:val="24"/>
        </w:rPr>
        <w:t>: FAS-L + FASL</w:t>
      </w:r>
    </w:p>
    <w:p w14:paraId="4B32C610" w14:textId="1FA88B12" w:rsidR="00571D86" w:rsidRDefault="00571D86" w:rsidP="00571D86">
      <w:pPr>
        <w:pStyle w:val="PargrafodaLista"/>
        <w:jc w:val="center"/>
        <w:rPr>
          <w:bCs/>
          <w:sz w:val="24"/>
          <w:szCs w:val="24"/>
        </w:rPr>
      </w:pPr>
      <w:r w:rsidRPr="00571D86">
        <w:rPr>
          <w:bCs/>
          <w:noProof/>
          <w:sz w:val="24"/>
          <w:szCs w:val="24"/>
        </w:rPr>
        <w:drawing>
          <wp:inline distT="0" distB="0" distL="0" distR="0" wp14:anchorId="1FEBF221" wp14:editId="2E5C8C8E">
            <wp:extent cx="3185160" cy="2573274"/>
            <wp:effectExtent l="0" t="0" r="0" b="0"/>
            <wp:docPr id="90612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2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7477" cy="257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A829" w14:textId="26A9CFC3" w:rsidR="00571D86" w:rsidRDefault="00571D86" w:rsidP="00571D86">
      <w:pPr>
        <w:pStyle w:val="PargrafodaLista"/>
        <w:jc w:val="center"/>
        <w:rPr>
          <w:bCs/>
          <w:sz w:val="24"/>
          <w:szCs w:val="24"/>
        </w:rPr>
      </w:pPr>
      <w:r w:rsidRPr="00571D86">
        <w:rPr>
          <w:bCs/>
          <w:noProof/>
          <w:sz w:val="24"/>
          <w:szCs w:val="24"/>
        </w:rPr>
        <w:drawing>
          <wp:inline distT="0" distB="0" distL="0" distR="0" wp14:anchorId="5B9431AC" wp14:editId="4DC47BAB">
            <wp:extent cx="5181600" cy="2541446"/>
            <wp:effectExtent l="0" t="0" r="0" b="0"/>
            <wp:docPr id="1638786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86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254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F0EA" w14:textId="2BAB1737" w:rsidR="0038253A" w:rsidRDefault="0038253A" w:rsidP="0038253A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Pode sofrer </w:t>
      </w:r>
      <w:r>
        <w:rPr>
          <w:b/>
          <w:sz w:val="24"/>
          <w:szCs w:val="24"/>
        </w:rPr>
        <w:t>c</w:t>
      </w:r>
      <w:r w:rsidRPr="0038253A">
        <w:rPr>
          <w:b/>
          <w:sz w:val="24"/>
          <w:szCs w:val="24"/>
        </w:rPr>
        <w:t>entralmente</w:t>
      </w:r>
      <w:r>
        <w:rPr>
          <w:bCs/>
          <w:sz w:val="24"/>
          <w:szCs w:val="24"/>
        </w:rPr>
        <w:t xml:space="preserve"> quando está </w:t>
      </w:r>
      <w:r w:rsidRPr="0038253A">
        <w:rPr>
          <w:b/>
          <w:sz w:val="24"/>
          <w:szCs w:val="24"/>
        </w:rPr>
        <w:t>sendo maturada</w:t>
      </w:r>
      <w:r>
        <w:rPr>
          <w:bCs/>
          <w:sz w:val="24"/>
          <w:szCs w:val="24"/>
        </w:rPr>
        <w:t xml:space="preserve"> (medula óssea), se ela </w:t>
      </w:r>
      <w:r w:rsidRPr="0038253A">
        <w:rPr>
          <w:b/>
          <w:sz w:val="24"/>
          <w:szCs w:val="24"/>
        </w:rPr>
        <w:t>reconhecer</w:t>
      </w:r>
      <w:r>
        <w:rPr>
          <w:bCs/>
          <w:sz w:val="24"/>
          <w:szCs w:val="24"/>
        </w:rPr>
        <w:t xml:space="preserve"> um </w:t>
      </w:r>
      <w:r w:rsidRPr="0038253A">
        <w:rPr>
          <w:b/>
          <w:sz w:val="24"/>
          <w:szCs w:val="24"/>
        </w:rPr>
        <w:t>autoantígeno</w:t>
      </w:r>
      <w:r>
        <w:rPr>
          <w:bCs/>
          <w:sz w:val="24"/>
          <w:szCs w:val="24"/>
        </w:rPr>
        <w:t xml:space="preserve">, pode sofrer uma deleção (troca), se não for suficiente sofre </w:t>
      </w:r>
      <w:r w:rsidRPr="0038253A">
        <w:rPr>
          <w:b/>
          <w:sz w:val="24"/>
          <w:szCs w:val="24"/>
        </w:rPr>
        <w:t>apoptose</w:t>
      </w:r>
      <w:r>
        <w:rPr>
          <w:bCs/>
          <w:sz w:val="24"/>
          <w:szCs w:val="24"/>
        </w:rPr>
        <w:t>.</w:t>
      </w:r>
    </w:p>
    <w:p w14:paraId="551F9901" w14:textId="0A9D9110" w:rsidR="0038253A" w:rsidRDefault="0038253A" w:rsidP="0038253A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Na </w:t>
      </w:r>
      <w:r w:rsidRPr="0038253A">
        <w:rPr>
          <w:b/>
          <w:sz w:val="24"/>
          <w:szCs w:val="24"/>
        </w:rPr>
        <w:t>periferia</w:t>
      </w:r>
      <w:r>
        <w:rPr>
          <w:bCs/>
          <w:sz w:val="24"/>
          <w:szCs w:val="24"/>
        </w:rPr>
        <w:t xml:space="preserve">, se a célula escapar do controle de qualidade </w:t>
      </w:r>
      <w:r w:rsidRPr="0038253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o estimulo dela vai ser fraco, sofre anergia ou apoptose.</w:t>
      </w:r>
    </w:p>
    <w:p w14:paraId="0780A5E0" w14:textId="35698EA3" w:rsidR="0038253A" w:rsidRPr="00C0575A" w:rsidRDefault="0038253A" w:rsidP="0038253A">
      <w:pPr>
        <w:jc w:val="center"/>
        <w:rPr>
          <w:bCs/>
          <w:sz w:val="28"/>
          <w:szCs w:val="28"/>
        </w:rPr>
      </w:pPr>
      <w:r w:rsidRPr="00C0575A">
        <w:rPr>
          <w:b/>
          <w:sz w:val="28"/>
          <w:szCs w:val="28"/>
          <w:highlight w:val="yellow"/>
        </w:rPr>
        <w:lastRenderedPageBreak/>
        <w:t>Autoimunidade</w:t>
      </w:r>
    </w:p>
    <w:p w14:paraId="4CA138E0" w14:textId="46B5DE6A" w:rsidR="0038253A" w:rsidRDefault="0038253A" w:rsidP="0038253A">
      <w:pPr>
        <w:rPr>
          <w:b/>
          <w:sz w:val="24"/>
          <w:szCs w:val="24"/>
        </w:rPr>
      </w:pPr>
      <w:r w:rsidRPr="0038253A">
        <w:rPr>
          <w:b/>
          <w:sz w:val="24"/>
          <w:szCs w:val="24"/>
          <w:highlight w:val="cyan"/>
        </w:rPr>
        <w:t>Autoimunidade: Genes x Fatores Ambientais</w:t>
      </w:r>
    </w:p>
    <w:p w14:paraId="5B74900D" w14:textId="125EF808" w:rsidR="0038253A" w:rsidRPr="00C0575A" w:rsidRDefault="0038253A" w:rsidP="00C0575A">
      <w:pPr>
        <w:rPr>
          <w:bCs/>
          <w:sz w:val="24"/>
          <w:szCs w:val="24"/>
        </w:rPr>
      </w:pPr>
      <w:r w:rsidRPr="00C0575A">
        <w:rPr>
          <w:b/>
          <w:sz w:val="24"/>
          <w:szCs w:val="24"/>
        </w:rPr>
        <w:t>Polimorfismos</w:t>
      </w:r>
      <w:r w:rsidRPr="00C0575A">
        <w:rPr>
          <w:bCs/>
          <w:sz w:val="24"/>
          <w:szCs w:val="24"/>
        </w:rPr>
        <w:t xml:space="preserve"> no gene da tirosina fosfatase </w:t>
      </w:r>
      <w:r w:rsidRPr="00C0575A">
        <w:rPr>
          <w:b/>
          <w:sz w:val="24"/>
          <w:szCs w:val="24"/>
        </w:rPr>
        <w:t>PTPN22</w:t>
      </w:r>
      <w:r w:rsidRPr="00C0575A">
        <w:rPr>
          <w:bCs/>
          <w:sz w:val="24"/>
          <w:szCs w:val="24"/>
        </w:rPr>
        <w:t xml:space="preserve"> → ativação descontrolada de </w:t>
      </w:r>
      <w:r w:rsidRPr="00C0575A">
        <w:rPr>
          <w:b/>
          <w:sz w:val="24"/>
          <w:szCs w:val="24"/>
        </w:rPr>
        <w:t>células B e T</w:t>
      </w:r>
      <w:r w:rsidRPr="00C0575A">
        <w:rPr>
          <w:bCs/>
          <w:sz w:val="24"/>
          <w:szCs w:val="24"/>
        </w:rPr>
        <w:t xml:space="preserve"> (artrite reumatoide, LES e DM1) </w:t>
      </w:r>
    </w:p>
    <w:p w14:paraId="17D0756C" w14:textId="5EF50CBD" w:rsidR="0038253A" w:rsidRPr="0038253A" w:rsidRDefault="0038253A" w:rsidP="0038253A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38253A">
        <w:rPr>
          <w:b/>
          <w:sz w:val="24"/>
          <w:szCs w:val="24"/>
        </w:rPr>
        <w:t xml:space="preserve">NOD-2 </w:t>
      </w:r>
      <w:r w:rsidRPr="0038253A">
        <w:rPr>
          <w:bCs/>
          <w:sz w:val="24"/>
          <w:szCs w:val="24"/>
        </w:rPr>
        <w:t xml:space="preserve">→ polimorfismo → </w:t>
      </w:r>
      <w:r w:rsidRPr="0038253A">
        <w:rPr>
          <w:b/>
          <w:sz w:val="24"/>
          <w:szCs w:val="24"/>
        </w:rPr>
        <w:t>doença de Crohn</w:t>
      </w:r>
      <w:r w:rsidRPr="0038253A">
        <w:rPr>
          <w:bCs/>
          <w:sz w:val="24"/>
          <w:szCs w:val="24"/>
        </w:rPr>
        <w:t xml:space="preserve"> </w:t>
      </w:r>
    </w:p>
    <w:p w14:paraId="59E80AD8" w14:textId="3EAEB2A9" w:rsidR="00C0575A" w:rsidRPr="00C0575A" w:rsidRDefault="0038253A" w:rsidP="00C0575A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38253A">
        <w:rPr>
          <w:b/>
          <w:sz w:val="24"/>
          <w:szCs w:val="24"/>
        </w:rPr>
        <w:t xml:space="preserve">Mutação no IL-2R </w:t>
      </w:r>
      <w:r w:rsidRPr="0038253A">
        <w:rPr>
          <w:bCs/>
          <w:sz w:val="24"/>
          <w:szCs w:val="24"/>
        </w:rPr>
        <w:t xml:space="preserve">→ perda do equilíbrio entre </w:t>
      </w:r>
      <w:r w:rsidRPr="0038253A">
        <w:rPr>
          <w:b/>
          <w:sz w:val="24"/>
          <w:szCs w:val="24"/>
        </w:rPr>
        <w:t>células Th e Tregs;</w:t>
      </w:r>
    </w:p>
    <w:p w14:paraId="1B5367BB" w14:textId="61B4387D" w:rsidR="0038253A" w:rsidRPr="00C0575A" w:rsidRDefault="0038253A" w:rsidP="00C0575A">
      <w:pPr>
        <w:rPr>
          <w:bCs/>
          <w:sz w:val="24"/>
          <w:szCs w:val="24"/>
        </w:rPr>
      </w:pPr>
      <w:r w:rsidRPr="00C0575A">
        <w:rPr>
          <w:b/>
          <w:sz w:val="24"/>
          <w:szCs w:val="24"/>
        </w:rPr>
        <w:t>Gatilhos ambientais</w:t>
      </w:r>
      <w:r w:rsidRPr="00C0575A">
        <w:rPr>
          <w:bCs/>
          <w:sz w:val="24"/>
          <w:szCs w:val="24"/>
        </w:rPr>
        <w:t xml:space="preserve"> – indução de </w:t>
      </w:r>
      <w:r w:rsidRPr="00C0575A">
        <w:rPr>
          <w:b/>
          <w:sz w:val="24"/>
          <w:szCs w:val="24"/>
        </w:rPr>
        <w:t>coestimulação</w:t>
      </w:r>
      <w:r w:rsidRPr="00C0575A">
        <w:rPr>
          <w:bCs/>
          <w:sz w:val="24"/>
          <w:szCs w:val="24"/>
        </w:rPr>
        <w:t xml:space="preserve"> </w:t>
      </w:r>
    </w:p>
    <w:p w14:paraId="01ECEEB3" w14:textId="77777777" w:rsidR="0038253A" w:rsidRDefault="0038253A" w:rsidP="0038253A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C0575A">
        <w:rPr>
          <w:b/>
          <w:sz w:val="24"/>
          <w:szCs w:val="24"/>
        </w:rPr>
        <w:t>Infecções virais</w:t>
      </w:r>
      <w:r w:rsidRPr="0038253A">
        <w:rPr>
          <w:bCs/>
          <w:sz w:val="24"/>
          <w:szCs w:val="24"/>
        </w:rPr>
        <w:t xml:space="preserve"> ou </w:t>
      </w:r>
      <w:r w:rsidRPr="00C0575A">
        <w:rPr>
          <w:b/>
          <w:sz w:val="24"/>
          <w:szCs w:val="24"/>
        </w:rPr>
        <w:t>bacterianas</w:t>
      </w:r>
      <w:r w:rsidRPr="0038253A">
        <w:rPr>
          <w:bCs/>
          <w:sz w:val="24"/>
          <w:szCs w:val="24"/>
        </w:rPr>
        <w:t xml:space="preserve"> (febre reumática) </w:t>
      </w:r>
    </w:p>
    <w:p w14:paraId="49273A11" w14:textId="77777777" w:rsidR="0038253A" w:rsidRPr="00C0575A" w:rsidRDefault="0038253A" w:rsidP="0038253A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38253A">
        <w:rPr>
          <w:bCs/>
          <w:sz w:val="24"/>
          <w:szCs w:val="24"/>
        </w:rPr>
        <w:t xml:space="preserve">Migração e ativação de </w:t>
      </w:r>
      <w:r w:rsidRPr="00C0575A">
        <w:rPr>
          <w:b/>
          <w:color w:val="EE0000"/>
          <w:sz w:val="24"/>
          <w:szCs w:val="24"/>
        </w:rPr>
        <w:t>APCs e células T autorreativas</w:t>
      </w:r>
      <w:r w:rsidRPr="0038253A">
        <w:rPr>
          <w:bCs/>
          <w:sz w:val="24"/>
          <w:szCs w:val="24"/>
        </w:rPr>
        <w:t xml:space="preserve">, → </w:t>
      </w:r>
      <w:r w:rsidRPr="00C0575A">
        <w:rPr>
          <w:b/>
          <w:sz w:val="24"/>
          <w:szCs w:val="24"/>
        </w:rPr>
        <w:t>lesão tecidual</w:t>
      </w:r>
    </w:p>
    <w:p w14:paraId="21C93418" w14:textId="42644243" w:rsidR="0038253A" w:rsidRDefault="0038253A" w:rsidP="0038253A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C0575A">
        <w:rPr>
          <w:b/>
          <w:sz w:val="24"/>
          <w:szCs w:val="24"/>
        </w:rPr>
        <w:t>Mimetismo molecular</w:t>
      </w:r>
      <w:r w:rsidR="00601B03">
        <w:rPr>
          <w:b/>
          <w:sz w:val="24"/>
          <w:szCs w:val="24"/>
        </w:rPr>
        <w:t xml:space="preserve"> </w:t>
      </w:r>
      <w:r w:rsidR="00601B03" w:rsidRPr="00601B03">
        <w:rPr>
          <w:bCs/>
          <w:sz w:val="24"/>
          <w:szCs w:val="24"/>
        </w:rPr>
        <w:sym w:font="Wingdings" w:char="F0E0"/>
      </w:r>
      <w:r w:rsidR="00601B03">
        <w:rPr>
          <w:bCs/>
          <w:sz w:val="24"/>
          <w:szCs w:val="24"/>
        </w:rPr>
        <w:t xml:space="preserve"> patógeno que tem uma estrutura parecida com um </w:t>
      </w:r>
      <w:r w:rsidR="00025403">
        <w:rPr>
          <w:bCs/>
          <w:sz w:val="24"/>
          <w:szCs w:val="24"/>
        </w:rPr>
        <w:t>self</w:t>
      </w:r>
      <w:r w:rsidR="00601B03">
        <w:rPr>
          <w:bCs/>
          <w:sz w:val="24"/>
          <w:szCs w:val="24"/>
        </w:rPr>
        <w:t>, desencadeou</w:t>
      </w:r>
      <w:r w:rsidR="00025403">
        <w:rPr>
          <w:bCs/>
          <w:sz w:val="24"/>
          <w:szCs w:val="24"/>
        </w:rPr>
        <w:t xml:space="preserve"> uma resposta imune suficiente, só que o organismo passa a identificar a proteína self como um patógeno </w:t>
      </w:r>
      <w:r w:rsidR="00025403" w:rsidRPr="00025403">
        <w:rPr>
          <w:bCs/>
          <w:sz w:val="24"/>
          <w:szCs w:val="24"/>
        </w:rPr>
        <w:sym w:font="Wingdings" w:char="F0E0"/>
      </w:r>
      <w:r w:rsidR="00025403">
        <w:rPr>
          <w:bCs/>
          <w:sz w:val="24"/>
          <w:szCs w:val="24"/>
        </w:rPr>
        <w:t xml:space="preserve"> começa a prejudicar o tecido porque reconhecei primeiramente um patógeno com uma estrutura parecida </w:t>
      </w:r>
      <w:r w:rsidR="00025403" w:rsidRPr="00025403">
        <w:rPr>
          <w:bCs/>
          <w:sz w:val="24"/>
          <w:szCs w:val="24"/>
        </w:rPr>
        <w:sym w:font="Wingdings" w:char="F0E0"/>
      </w:r>
      <w:r w:rsidR="00025403">
        <w:rPr>
          <w:bCs/>
          <w:sz w:val="24"/>
          <w:szCs w:val="24"/>
        </w:rPr>
        <w:t xml:space="preserve"> </w:t>
      </w:r>
      <w:r w:rsidR="00025403" w:rsidRPr="00025403">
        <w:rPr>
          <w:b/>
          <w:sz w:val="24"/>
          <w:szCs w:val="24"/>
        </w:rPr>
        <w:t>reação cruzada</w:t>
      </w:r>
      <w:r w:rsidR="00025403">
        <w:rPr>
          <w:bCs/>
          <w:sz w:val="24"/>
          <w:szCs w:val="24"/>
        </w:rPr>
        <w:t>.</w:t>
      </w:r>
    </w:p>
    <w:p w14:paraId="218C2697" w14:textId="042CCA5B" w:rsidR="00C0575A" w:rsidRPr="00C0575A" w:rsidRDefault="00C0575A" w:rsidP="00C0575A">
      <w:pPr>
        <w:rPr>
          <w:b/>
          <w:sz w:val="24"/>
          <w:szCs w:val="24"/>
        </w:rPr>
      </w:pPr>
      <w:r w:rsidRPr="00C0575A">
        <w:rPr>
          <w:b/>
          <w:noProof/>
          <w:sz w:val="24"/>
          <w:szCs w:val="24"/>
        </w:rPr>
        <w:drawing>
          <wp:inline distT="0" distB="0" distL="0" distR="0" wp14:anchorId="4C2788B8" wp14:editId="1A8476C5">
            <wp:extent cx="2688485" cy="3078480"/>
            <wp:effectExtent l="0" t="0" r="0" b="0"/>
            <wp:docPr id="1853302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02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4108" cy="308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75A">
        <w:rPr>
          <w:noProof/>
        </w:rPr>
        <w:t xml:space="preserve"> </w:t>
      </w:r>
      <w:r w:rsidRPr="00C0575A">
        <w:rPr>
          <w:b/>
          <w:noProof/>
          <w:sz w:val="24"/>
          <w:szCs w:val="24"/>
        </w:rPr>
        <w:drawing>
          <wp:inline distT="0" distB="0" distL="0" distR="0" wp14:anchorId="17E1F25C" wp14:editId="4656DE86">
            <wp:extent cx="2636520" cy="2400621"/>
            <wp:effectExtent l="0" t="0" r="0" b="0"/>
            <wp:docPr id="379302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2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40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75A" w:rsidRPr="00C057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E5865"/>
    <w:multiLevelType w:val="hybridMultilevel"/>
    <w:tmpl w:val="F0243032"/>
    <w:lvl w:ilvl="0" w:tplc="289891C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F092C"/>
    <w:multiLevelType w:val="hybridMultilevel"/>
    <w:tmpl w:val="87007CA0"/>
    <w:lvl w:ilvl="0" w:tplc="6E2855B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A52A1"/>
    <w:multiLevelType w:val="hybridMultilevel"/>
    <w:tmpl w:val="658AC2CA"/>
    <w:lvl w:ilvl="0" w:tplc="8D4E767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014166">
    <w:abstractNumId w:val="0"/>
  </w:num>
  <w:num w:numId="2" w16cid:durableId="1713768963">
    <w:abstractNumId w:val="2"/>
  </w:num>
  <w:num w:numId="3" w16cid:durableId="2087219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34E"/>
    <w:rsid w:val="00025403"/>
    <w:rsid w:val="00086297"/>
    <w:rsid w:val="000D41D1"/>
    <w:rsid w:val="0010417E"/>
    <w:rsid w:val="0011309A"/>
    <w:rsid w:val="001741AE"/>
    <w:rsid w:val="00273F6F"/>
    <w:rsid w:val="0038253A"/>
    <w:rsid w:val="004600F2"/>
    <w:rsid w:val="0048429C"/>
    <w:rsid w:val="00490DFD"/>
    <w:rsid w:val="00571D86"/>
    <w:rsid w:val="00597538"/>
    <w:rsid w:val="00601B03"/>
    <w:rsid w:val="0071382E"/>
    <w:rsid w:val="00807B6E"/>
    <w:rsid w:val="008D469D"/>
    <w:rsid w:val="00AB0ADD"/>
    <w:rsid w:val="00B5334E"/>
    <w:rsid w:val="00C0575A"/>
    <w:rsid w:val="00FE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4094D"/>
  <w15:chartTrackingRefBased/>
  <w15:docId w15:val="{402CBDE2-C3C2-46F3-A62D-C15F85A5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3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3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3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3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3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3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3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3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3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3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33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334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3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33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3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3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3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3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3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33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33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334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3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334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3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391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</cp:revision>
  <dcterms:created xsi:type="dcterms:W3CDTF">2025-06-12T11:01:00Z</dcterms:created>
  <dcterms:modified xsi:type="dcterms:W3CDTF">2025-06-12T12:32:00Z</dcterms:modified>
</cp:coreProperties>
</file>