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5088" w14:textId="3D5D1EC8" w:rsidR="003B4D10" w:rsidRDefault="003B4D10" w:rsidP="003B4D10">
      <w:pPr>
        <w:pStyle w:val="NormalWeb"/>
      </w:pPr>
      <w:r>
        <w:t>INTRODUCTION</w:t>
      </w:r>
    </w:p>
    <w:p w14:paraId="0ECFF75F" w14:textId="2D3E0B2C" w:rsidR="003B4D10" w:rsidRDefault="003B4D10" w:rsidP="003B4D10">
      <w:pPr>
        <w:pStyle w:val="NormalWeb"/>
      </w:pPr>
      <w:r>
        <w:t xml:space="preserve">Time series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, financial,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in </w:t>
      </w:r>
      <w:proofErr w:type="spellStart"/>
      <w:r>
        <w:t>decision</w:t>
      </w:r>
      <w:proofErr w:type="spellEnd"/>
      <w:r>
        <w:t xml:space="preserve"> making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 </w:t>
      </w:r>
      <w:proofErr w:type="spellStart"/>
      <w:r>
        <w:t>Traditional</w:t>
      </w:r>
      <w:proofErr w:type="spellEnd"/>
      <w:r>
        <w:t xml:space="preserve"> models,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Auto-Regressive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(ARIMA),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in </w:t>
      </w:r>
      <w:proofErr w:type="spellStart"/>
      <w:r>
        <w:t>capturing</w:t>
      </w:r>
      <w:proofErr w:type="spellEnd"/>
      <w:r>
        <w:t xml:space="preserve"> linear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in time series data.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models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short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non-linear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complex</w:t>
      </w:r>
      <w:proofErr w:type="spellEnd"/>
      <w:r>
        <w:t xml:space="preserve"> systems like financial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management.</w:t>
      </w:r>
    </w:p>
    <w:p w14:paraId="5B51BFE4" w14:textId="77777777" w:rsidR="003B4D10" w:rsidRDefault="003B4D10" w:rsidP="003B4D10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Perceptrons</w:t>
      </w:r>
      <w:proofErr w:type="spellEnd"/>
      <w:r>
        <w:t xml:space="preserve"> (MLP),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model </w:t>
      </w:r>
      <w:proofErr w:type="spellStart"/>
      <w:r>
        <w:t>complex</w:t>
      </w:r>
      <w:proofErr w:type="spellEnd"/>
      <w:r>
        <w:t xml:space="preserve"> non-linear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, </w:t>
      </w:r>
      <w:proofErr w:type="spellStart"/>
      <w:r>
        <w:t>MLPs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ARIMA models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led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burgeoning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hybrid</w:t>
      </w:r>
      <w:proofErr w:type="spellEnd"/>
      <w:r>
        <w:t xml:space="preserve"> models </w:t>
      </w:r>
      <w:proofErr w:type="spellStart"/>
      <w:r>
        <w:t>that</w:t>
      </w:r>
      <w:proofErr w:type="spellEnd"/>
      <w:r>
        <w:t xml:space="preserve"> combine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approaches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>.</w:t>
      </w:r>
    </w:p>
    <w:p w14:paraId="6A3B797F" w14:textId="77777777" w:rsidR="003B4D10" w:rsidRDefault="003B4D10" w:rsidP="003B4D10">
      <w:pPr>
        <w:pStyle w:val="NormalWeb"/>
      </w:pPr>
      <w:proofErr w:type="spellStart"/>
      <w:r>
        <w:t>Hybrid</w:t>
      </w:r>
      <w:proofErr w:type="spellEnd"/>
      <w:r>
        <w:t xml:space="preserve"> models,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SARIMA (</w:t>
      </w:r>
      <w:proofErr w:type="spellStart"/>
      <w:r>
        <w:t>Seasonal</w:t>
      </w:r>
      <w:proofErr w:type="spellEnd"/>
      <w:r>
        <w:t xml:space="preserve"> ARIMA) </w:t>
      </w:r>
      <w:proofErr w:type="spellStart"/>
      <w:r>
        <w:t>and</w:t>
      </w:r>
      <w:proofErr w:type="spellEnd"/>
      <w:r>
        <w:t xml:space="preserve"> MLP,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avenue</w:t>
      </w:r>
      <w:proofErr w:type="spellEnd"/>
      <w:r>
        <w:t xml:space="preserve"> for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linear </w:t>
      </w:r>
      <w:proofErr w:type="spellStart"/>
      <w:r>
        <w:t>and</w:t>
      </w:r>
      <w:proofErr w:type="spellEnd"/>
      <w:r>
        <w:t xml:space="preserve"> non-linear dynamics in time series data. The SARIMA model </w:t>
      </w:r>
      <w:proofErr w:type="spellStart"/>
      <w:r>
        <w:t>extends</w:t>
      </w:r>
      <w:proofErr w:type="spellEnd"/>
      <w:r>
        <w:t xml:space="preserve"> ARIMA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for </w:t>
      </w:r>
      <w:proofErr w:type="spellStart"/>
      <w:r>
        <w:t>seasonality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management,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over a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SARIMA </w:t>
      </w:r>
      <w:proofErr w:type="spellStart"/>
      <w:r>
        <w:t>with</w:t>
      </w:r>
      <w:proofErr w:type="spellEnd"/>
      <w:r>
        <w:t xml:space="preserve"> MLP,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approach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SARIMA's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in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MLP </w:t>
      </w:r>
      <w:proofErr w:type="spellStart"/>
      <w:r>
        <w:t>to</w:t>
      </w:r>
      <w:proofErr w:type="spellEnd"/>
      <w:r>
        <w:t xml:space="preserve"> improve overall </w:t>
      </w:r>
      <w:proofErr w:type="spellStart"/>
      <w:r>
        <w:t>forecast</w:t>
      </w:r>
      <w:proofErr w:type="spellEnd"/>
      <w:r>
        <w:t xml:space="preserve"> performance.</w:t>
      </w:r>
    </w:p>
    <w:p w14:paraId="06B0FE04" w14:textId="77777777" w:rsidR="003B4D10" w:rsidRDefault="003B4D10" w:rsidP="003B4D10">
      <w:pPr>
        <w:pStyle w:val="NormalWeb"/>
      </w:pPr>
      <w:proofErr w:type="spellStart"/>
      <w:r>
        <w:t>Recent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superiority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models over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counterparts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MLP-ARIMA model, as </w:t>
      </w:r>
      <w:proofErr w:type="spellStart"/>
      <w:r>
        <w:t>discussed</w:t>
      </w:r>
      <w:proofErr w:type="spellEnd"/>
      <w:r>
        <w:t xml:space="preserve">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, </w:t>
      </w:r>
      <w:proofErr w:type="spellStart"/>
      <w:r>
        <w:t>outperforms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ARIMA </w:t>
      </w:r>
      <w:proofErr w:type="spellStart"/>
      <w:r>
        <w:t>and</w:t>
      </w:r>
      <w:proofErr w:type="spellEnd"/>
      <w:r>
        <w:t xml:space="preserve"> MLP models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more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 (</w:t>
      </w:r>
      <w:proofErr w:type="spellStart"/>
      <w:r>
        <w:t>Hajirahimi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Khashei</w:t>
      </w:r>
      <w:proofErr w:type="spellEnd"/>
      <w:r>
        <w:t>, 2020)​(</w:t>
      </w:r>
      <w:proofErr w:type="spellStart"/>
      <w:r>
        <w:t>JIEMS_Volume</w:t>
      </w:r>
      <w:proofErr w:type="spellEnd"/>
      <w:r>
        <w:t xml:space="preserve"> 7_Issue 2_…)​.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model </w:t>
      </w:r>
      <w:proofErr w:type="spellStart"/>
      <w:r>
        <w:t>component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framework </w:t>
      </w:r>
      <w:proofErr w:type="spellStart"/>
      <w:r>
        <w:t>allows</w:t>
      </w:r>
      <w:proofErr w:type="spellEnd"/>
      <w:r>
        <w:t xml:space="preserve"> for fine-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data dynamics,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4F0DA31D" w14:textId="77777777" w:rsidR="003B4D10" w:rsidRDefault="003B4D10" w:rsidP="003B4D10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builds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SARIMA-MLP </w:t>
      </w:r>
      <w:proofErr w:type="spellStart"/>
      <w:r>
        <w:t>and</w:t>
      </w:r>
      <w:proofErr w:type="spellEnd"/>
      <w:r>
        <w:t xml:space="preserve"> MLP-SARIMA.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models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insights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structuring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models for </w:t>
      </w:r>
      <w:proofErr w:type="spellStart"/>
      <w:r>
        <w:t>various</w:t>
      </w:r>
      <w:proofErr w:type="spellEnd"/>
      <w:r>
        <w:t xml:space="preserve"> time series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ascertain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framework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over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>.</w:t>
      </w:r>
    </w:p>
    <w:p w14:paraId="7C774D0F" w14:textId="4F2EBBDD" w:rsidR="003B4D10" w:rsidRDefault="003B4D10">
      <w:r>
        <w:t>THEORICAL FOUNDATIONS</w:t>
      </w:r>
    </w:p>
    <w:p w14:paraId="5F8DC8D1" w14:textId="6827C468" w:rsidR="00856947" w:rsidRDefault="00856947" w:rsidP="00856947">
      <w:r>
        <w:t xml:space="preserve">Trend </w:t>
      </w:r>
      <w:proofErr w:type="spellStart"/>
      <w:r>
        <w:t>Analysis</w:t>
      </w:r>
      <w:proofErr w:type="spellEnd"/>
    </w:p>
    <w:p w14:paraId="2AF3D27A" w14:textId="32910B46" w:rsidR="00856947" w:rsidRDefault="00856947" w:rsidP="00856947"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 time series data, </w:t>
      </w:r>
      <w:proofErr w:type="spellStart"/>
      <w:r>
        <w:t>the</w:t>
      </w:r>
      <w:proofErr w:type="spellEnd"/>
      <w:r>
        <w:t xml:space="preserve"> Cox-Stuart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-Wallis </w:t>
      </w:r>
      <w:proofErr w:type="spellStart"/>
      <w:r>
        <w:t>tests</w:t>
      </w:r>
      <w:proofErr w:type="spellEnd"/>
      <w:r>
        <w:t xml:space="preserve"> are </w:t>
      </w:r>
      <w:proofErr w:type="spellStart"/>
      <w:r>
        <w:t>utilized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 (Santos et al., 2021).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a common approach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successive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series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lastRenderedPageBreak/>
        <w:t>achieve</w:t>
      </w:r>
      <w:proofErr w:type="spellEnd"/>
      <w:r>
        <w:t xml:space="preserve"> </w:t>
      </w:r>
      <w:proofErr w:type="spellStart"/>
      <w:r>
        <w:t>stationarity</w:t>
      </w:r>
      <w:proofErr w:type="spellEnd"/>
      <w:r>
        <w:t xml:space="preserve">.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series. </w:t>
      </w:r>
      <w:proofErr w:type="spellStart"/>
      <w:r>
        <w:t>Generally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are </w:t>
      </w:r>
      <w:proofErr w:type="spellStart"/>
      <w:r>
        <w:t>sufficient</w:t>
      </w:r>
      <w:proofErr w:type="spellEnd"/>
      <w:r>
        <w:t xml:space="preserve">. 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seasonality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's' </w:t>
      </w:r>
      <w:proofErr w:type="spellStart"/>
      <w:r>
        <w:t>observed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data.</w:t>
      </w:r>
    </w:p>
    <w:p w14:paraId="016A4C3C" w14:textId="2962C41F" w:rsidR="00214D13" w:rsidRDefault="00214D13" w:rsidP="00856947">
      <w:proofErr w:type="spellStart"/>
      <w:r>
        <w:t>Additive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Multiplicative</w:t>
      </w:r>
      <w:proofErr w:type="spellEnd"/>
      <w:r>
        <w:t xml:space="preserve"> Models for Time Series </w:t>
      </w:r>
      <w:proofErr w:type="spellStart"/>
      <w:r>
        <w:t>Analysis</w:t>
      </w:r>
      <w:proofErr w:type="spellEnd"/>
    </w:p>
    <w:p w14:paraId="4D0A9EDF" w14:textId="77462176" w:rsidR="00214D13" w:rsidRDefault="00214D13" w:rsidP="00856947"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model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 w:rsidR="0075119E">
        <w:t xml:space="preserve">aditive </w:t>
      </w:r>
      <w:r w:rsidR="0075119E" w:rsidRPr="0075119E">
        <w:drawing>
          <wp:inline distT="0" distB="0" distL="0" distR="0" wp14:anchorId="1FF3BF52" wp14:editId="64FF61E9">
            <wp:extent cx="1324160" cy="209579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multiplicative</w:t>
      </w:r>
      <w:proofErr w:type="spellEnd"/>
      <w:r w:rsidR="0075119E">
        <w:t xml:space="preserve"> </w:t>
      </w:r>
      <w:r w:rsidR="0075119E" w:rsidRPr="0075119E">
        <w:drawing>
          <wp:inline distT="0" distB="0" distL="0" distR="0" wp14:anchorId="2EC8486A" wp14:editId="548ED8BB">
            <wp:extent cx="1276528" cy="2476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model. In </w:t>
      </w:r>
      <w:proofErr w:type="spellStart"/>
      <w:r>
        <w:t>these</w:t>
      </w:r>
      <w:proofErr w:type="spellEnd"/>
      <w:r>
        <w:t xml:space="preserve"> models,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Style w:val="vlist-s"/>
        </w:rPr>
        <w:t>​</w:t>
      </w:r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series,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T</m:t>
            </m:r>
          </m:e>
          <m:sub>
            <m:r>
              <w:rPr>
                <w:rStyle w:val="katex-mathml"/>
                <w:rFonts w:ascii="Cambria Math" w:hAnsi="Cambria Math"/>
              </w:rPr>
              <m:t>t</m:t>
            </m:r>
          </m:sub>
        </m:sSub>
      </m:oMath>
      <w:r>
        <w:rPr>
          <w:rStyle w:val="vlist-s"/>
        </w:rPr>
        <w:t>​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5119E">
        <w:rPr>
          <w:rFonts w:eastAsiaTheme="minorEastAsia"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Style w:val="vlist-s"/>
        </w:rPr>
        <w:t>​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time </w:t>
      </w:r>
      <m:oMath>
        <m:r>
          <w:rPr>
            <w:rFonts w:ascii="Cambria Math" w:hAnsi="Cambria Math"/>
          </w:rPr>
          <m:t>t</m:t>
        </m:r>
      </m:oMath>
      <w:r>
        <w:t>. In an additive model, the amplitude of the seasonal pattern remains constant over time, regardless of changes in the trend.</w:t>
      </w:r>
    </w:p>
    <w:p w14:paraId="30A0B14C" w14:textId="77777777" w:rsidR="00856947" w:rsidRPr="00856947" w:rsidRDefault="00856947" w:rsidP="00856947">
      <w:r w:rsidRPr="00856947">
        <w:t xml:space="preserve">Data </w:t>
      </w:r>
      <w:proofErr w:type="spellStart"/>
      <w:r w:rsidRPr="00856947">
        <w:t>Transformation</w:t>
      </w:r>
      <w:proofErr w:type="spellEnd"/>
      <w:r w:rsidRPr="00856947">
        <w:t xml:space="preserve"> </w:t>
      </w:r>
      <w:proofErr w:type="spellStart"/>
      <w:r w:rsidRPr="00856947">
        <w:t>Necessity</w:t>
      </w:r>
      <w:proofErr w:type="spellEnd"/>
      <w:r w:rsidRPr="00856947">
        <w:t xml:space="preserve"> </w:t>
      </w:r>
    </w:p>
    <w:p w14:paraId="1FBE77DE" w14:textId="5B550731" w:rsidR="00856947" w:rsidRDefault="00856947" w:rsidP="00856947">
      <w:r>
        <w:t xml:space="preserve">The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linear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amplitude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a time series, as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856947">
        <w:rPr>
          <w:color w:val="4472C4" w:themeColor="accent1"/>
        </w:rPr>
        <w:t xml:space="preserve">Ferreira et al. (2020),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heteroscedasticity</w:t>
      </w:r>
      <w:proofErr w:type="spellEnd"/>
      <w:r>
        <w:t xml:space="preserve">, </w:t>
      </w:r>
      <w:proofErr w:type="spellStart"/>
      <w:r>
        <w:t>necessitating</w:t>
      </w:r>
      <w:proofErr w:type="spellEnd"/>
      <w:r>
        <w:t xml:space="preserve"> data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stabilize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. The Box-Cox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as it normalizes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stabilizes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inferences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are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r w:rsidRPr="00856947">
        <w:rPr>
          <w:color w:val="4472C4" w:themeColor="accent1"/>
        </w:rPr>
        <w:t>[</w:t>
      </w:r>
      <w:r>
        <w:rPr>
          <w:color w:val="4472C4" w:themeColor="accent1"/>
        </w:rPr>
        <w:t>BOX, JENKINS 1976</w:t>
      </w:r>
      <w:r w:rsidRPr="00856947">
        <w:rPr>
          <w:color w:val="4472C4" w:themeColor="accent1"/>
        </w:rPr>
        <w:t>]</w:t>
      </w:r>
      <w:r>
        <w:t>.</w:t>
      </w:r>
    </w:p>
    <w:p w14:paraId="6801C16F" w14:textId="5686E0E6" w:rsidR="00E633FD" w:rsidRDefault="00E633FD" w:rsidP="00856947">
      <w:r>
        <w:t>SARIMA MODEL</w:t>
      </w:r>
    </w:p>
    <w:p w14:paraId="0A6AC532" w14:textId="77777777" w:rsidR="00E633FD" w:rsidRDefault="00E633FD" w:rsidP="00E633FD">
      <w:pPr>
        <w:pStyle w:val="NormalWeb"/>
      </w:pPr>
      <w:proofErr w:type="spellStart"/>
      <w:r>
        <w:t>Recent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time series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. </w:t>
      </w:r>
      <w:r w:rsidRPr="00E633FD">
        <w:rPr>
          <w:color w:val="4472C4" w:themeColor="accent1"/>
        </w:rPr>
        <w:t xml:space="preserve">Alencar (2018)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forecasting</w:t>
      </w:r>
      <w:proofErr w:type="spellEnd"/>
      <w:r>
        <w:t xml:space="preserve"> model for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in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SARIMA model </w:t>
      </w:r>
      <w:proofErr w:type="spellStart"/>
      <w:r>
        <w:t>and</w:t>
      </w:r>
      <w:proofErr w:type="spellEnd"/>
      <w:r>
        <w:t xml:space="preserve"> artificial </w:t>
      </w:r>
      <w:proofErr w:type="gramStart"/>
      <w:r>
        <w:t>neural networks</w:t>
      </w:r>
      <w:proofErr w:type="gramEnd"/>
      <w:r>
        <w:t xml:space="preserve">. </w:t>
      </w:r>
      <w:r w:rsidRPr="00E633FD">
        <w:rPr>
          <w:color w:val="4472C4" w:themeColor="accent1"/>
        </w:rPr>
        <w:t xml:space="preserve">Fernandes (2018) </w:t>
      </w:r>
      <w:proofErr w:type="spellStart"/>
      <w:r>
        <w:t>performed</w:t>
      </w:r>
      <w:proofErr w:type="spellEnd"/>
      <w:r>
        <w:t xml:space="preserve">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series </w:t>
      </w:r>
      <w:proofErr w:type="spellStart"/>
      <w:r>
        <w:t>decomposition</w:t>
      </w:r>
      <w:proofErr w:type="spellEnd"/>
      <w:r>
        <w:t xml:space="preserve">. </w:t>
      </w:r>
      <w:r w:rsidRPr="00E633FD">
        <w:rPr>
          <w:color w:val="4472C4" w:themeColor="accent1"/>
        </w:rPr>
        <w:t xml:space="preserve">Silva (2018)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series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extreme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r w:rsidRPr="00E633FD">
        <w:rPr>
          <w:color w:val="4472C4" w:themeColor="accent1"/>
        </w:rPr>
        <w:t xml:space="preserve">Silva (2017) </w:t>
      </w:r>
      <w:proofErr w:type="spellStart"/>
      <w:r>
        <w:t>conducted</w:t>
      </w:r>
      <w:proofErr w:type="spellEnd"/>
      <w:r>
        <w:t xml:space="preserve">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in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in </w:t>
      </w:r>
      <w:proofErr w:type="spellStart"/>
      <w:r>
        <w:t>Northeast</w:t>
      </w:r>
      <w:proofErr w:type="spellEnd"/>
      <w:r>
        <w:t xml:space="preserve"> </w:t>
      </w:r>
      <w:proofErr w:type="spellStart"/>
      <w:r>
        <w:t>Brazil</w:t>
      </w:r>
      <w:proofErr w:type="spellEnd"/>
      <w:r>
        <w:t xml:space="preserve">. </w:t>
      </w:r>
      <w:r w:rsidRPr="00E633FD">
        <w:rPr>
          <w:color w:val="4472C4" w:themeColor="accent1"/>
        </w:rPr>
        <w:t xml:space="preserve">Malta (2009) </w:t>
      </w:r>
      <w:proofErr w:type="spellStart"/>
      <w:r>
        <w:t>adjusted</w:t>
      </w:r>
      <w:proofErr w:type="spellEnd"/>
      <w:r>
        <w:t xml:space="preserve"> a time series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farm</w:t>
      </w:r>
      <w:proofErr w:type="spellEnd"/>
      <w:r>
        <w:t xml:space="preserve"> </w:t>
      </w:r>
      <w:proofErr w:type="spellStart"/>
      <w:r>
        <w:t>installations</w:t>
      </w:r>
      <w:proofErr w:type="spellEnd"/>
      <w:r>
        <w:t>.</w:t>
      </w:r>
    </w:p>
    <w:p w14:paraId="3D1BD5D2" w14:textId="1DDA442B" w:rsidR="00E633FD" w:rsidRDefault="00E633FD" w:rsidP="00E633FD">
      <w:pPr>
        <w:pStyle w:val="NormalWeb"/>
      </w:pPr>
      <w:r>
        <w:t xml:space="preserve">Building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ARIMA </w:t>
      </w:r>
      <w:proofErr w:type="spellStart"/>
      <w:r>
        <w:t>and</w:t>
      </w:r>
      <w:proofErr w:type="spellEnd"/>
      <w:r>
        <w:t xml:space="preserve"> SARIMA models,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Box-Jenkins </w:t>
      </w:r>
      <w:proofErr w:type="spellStart"/>
      <w:r>
        <w:t>method</w:t>
      </w:r>
      <w:proofErr w:type="spellEnd"/>
      <w:r>
        <w:t xml:space="preserve">, serve as </w:t>
      </w:r>
      <w:proofErr w:type="spellStart"/>
      <w:r>
        <w:t>foundational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for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in time series </w:t>
      </w:r>
      <w:proofErr w:type="spellStart"/>
      <w:r>
        <w:t>analysis</w:t>
      </w:r>
      <w:proofErr w:type="spellEnd"/>
      <w:r>
        <w:t xml:space="preserve">. The ARIMA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denoted</w:t>
      </w:r>
      <w:proofErr w:type="spellEnd"/>
      <w:r>
        <w:t xml:space="preserve"> as </w:t>
      </w:r>
      <w:proofErr w:type="gramStart"/>
      <w:r>
        <w:t>ARIMA(</w:t>
      </w:r>
      <w:proofErr w:type="gramEnd"/>
      <w:r>
        <w:t xml:space="preserve">p, d, q), </w:t>
      </w:r>
      <w:proofErr w:type="spellStart"/>
      <w:r>
        <w:t>where</w:t>
      </w:r>
      <w:proofErr w:type="spellEnd"/>
      <w:r>
        <w:t xml:space="preserve"> 'p'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autoregression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series </w:t>
      </w:r>
      <w:proofErr w:type="spellStart"/>
      <w:r>
        <w:t>on</w:t>
      </w:r>
      <w:proofErr w:type="spellEnd"/>
      <w:r>
        <w:t xml:space="preserve"> its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'd' denotes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non-</w:t>
      </w:r>
      <w:proofErr w:type="spellStart"/>
      <w:r>
        <w:t>stationary</w:t>
      </w:r>
      <w:proofErr w:type="spellEnd"/>
      <w:r>
        <w:t xml:space="preserve"> series, </w:t>
      </w:r>
      <w:proofErr w:type="spellStart"/>
      <w:r>
        <w:t>and</w:t>
      </w:r>
      <w:proofErr w:type="spellEnd"/>
      <w:r>
        <w:t xml:space="preserve"> 'q'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. The SARIMA model </w:t>
      </w:r>
      <w:proofErr w:type="spellStart"/>
      <w:r>
        <w:t>extends</w:t>
      </w:r>
      <w:proofErr w:type="spellEnd"/>
      <w:r>
        <w:t xml:space="preserve"> ARIMA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seasonality</w:t>
      </w:r>
      <w:proofErr w:type="spellEnd"/>
      <w:r>
        <w:t xml:space="preserve">, making it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datasets</w:t>
      </w:r>
      <w:proofErr w:type="spellEnd"/>
      <w:r>
        <w:t xml:space="preserve"> like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speeds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exhibit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The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four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: model </w:t>
      </w:r>
      <w:proofErr w:type="spellStart"/>
      <w:r>
        <w:t>identification</w:t>
      </w:r>
      <w:proofErr w:type="spellEnd"/>
      <w:r>
        <w:t xml:space="preserve">,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,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series </w:t>
      </w:r>
      <w:proofErr w:type="spellStart"/>
      <w:r>
        <w:t>undergoes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for </w:t>
      </w:r>
      <w:proofErr w:type="spellStart"/>
      <w:r>
        <w:t>stationarity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seasonality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model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correlogram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estimating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models are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adequacy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satisfactory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lastRenderedPageBreak/>
        <w:t>comprehensive</w:t>
      </w:r>
      <w:proofErr w:type="spellEnd"/>
      <w:r>
        <w:t xml:space="preserve"> approach </w:t>
      </w:r>
      <w:proofErr w:type="spellStart"/>
      <w:r>
        <w:t>allows</w:t>
      </w:r>
      <w:proofErr w:type="spellEnd"/>
      <w:r>
        <w:t xml:space="preserve"> for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series data,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models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r w:rsidRPr="00E633FD">
        <w:rPr>
          <w:color w:val="4472C4" w:themeColor="accent1"/>
        </w:rPr>
        <w:t>(</w:t>
      </w:r>
      <w:proofErr w:type="spellStart"/>
      <w:r w:rsidRPr="00E633FD">
        <w:rPr>
          <w:color w:val="4472C4" w:themeColor="accent1"/>
          <w:sz w:val="20"/>
          <w:szCs w:val="20"/>
        </w:rPr>
        <w:t>Syahrini</w:t>
      </w:r>
      <w:proofErr w:type="spellEnd"/>
      <w:r w:rsidRPr="00E633FD">
        <w:rPr>
          <w:color w:val="4472C4" w:themeColor="accent1"/>
          <w:sz w:val="20"/>
          <w:szCs w:val="20"/>
        </w:rPr>
        <w:t>, 2023</w:t>
      </w:r>
      <w:r>
        <w:t>.</w:t>
      </w:r>
    </w:p>
    <w:p w14:paraId="0F6EB0DF" w14:textId="5FF2B3CA" w:rsidR="00E633FD" w:rsidRDefault="00E633FD" w:rsidP="00856947">
      <w:r>
        <w:t>MLP MODEL</w:t>
      </w:r>
    </w:p>
    <w:p w14:paraId="7CE83654" w14:textId="26BD3733" w:rsidR="00E633FD" w:rsidRDefault="00CF339E" w:rsidP="00856947">
      <w:r>
        <w:t xml:space="preserve">The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(MLP) model,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framework,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extensively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for its </w:t>
      </w:r>
      <w:proofErr w:type="spellStart"/>
      <w:r>
        <w:t>versatility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in </w:t>
      </w:r>
      <w:proofErr w:type="spellStart"/>
      <w:r>
        <w:t>forecasting</w:t>
      </w:r>
      <w:proofErr w:type="spellEnd"/>
      <w:r>
        <w:t xml:space="preserve"> time series data. </w:t>
      </w:r>
      <w:proofErr w:type="spellStart"/>
      <w:r>
        <w:t>This</w:t>
      </w:r>
      <w:proofErr w:type="spellEnd"/>
      <w:r>
        <w:t xml:space="preserve"> model </w:t>
      </w:r>
      <w:proofErr w:type="spellStart"/>
      <w:r>
        <w:t>excels</w:t>
      </w:r>
      <w:proofErr w:type="spellEnd"/>
      <w:r>
        <w:t xml:space="preserve"> in </w:t>
      </w:r>
      <w:proofErr w:type="spellStart"/>
      <w:r>
        <w:t>approximating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, </w:t>
      </w:r>
      <w:proofErr w:type="spellStart"/>
      <w:r>
        <w:t>nonlinear</w:t>
      </w:r>
      <w:proofErr w:type="spellEnd"/>
      <w:r>
        <w:t xml:space="preserve">, </w:t>
      </w:r>
      <w:proofErr w:type="spellStart"/>
      <w:r>
        <w:t>differentiable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Structurally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MLP </w:t>
      </w:r>
      <w:proofErr w:type="spellStart"/>
      <w:r>
        <w:t>comprises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output </w:t>
      </w:r>
      <w:proofErr w:type="spellStart"/>
      <w:r>
        <w:t>layer</w:t>
      </w:r>
      <w:proofErr w:type="spellEnd"/>
      <w:r>
        <w:t xml:space="preserve">. It </w:t>
      </w:r>
      <w:proofErr w:type="spellStart"/>
      <w:r>
        <w:t>employs</w:t>
      </w:r>
      <w:proofErr w:type="spellEnd"/>
      <w:r>
        <w:t xml:space="preserve"> artificial </w:t>
      </w:r>
      <w:proofErr w:type="spellStart"/>
      <w:r>
        <w:t>neurons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data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input data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(</w:t>
      </w:r>
      <w:proofErr w:type="spellStart"/>
      <w:r>
        <w:t>Qureshi</w:t>
      </w:r>
      <w:proofErr w:type="spellEnd"/>
      <w:r>
        <w:t xml:space="preserve">, </w:t>
      </w:r>
      <w:proofErr w:type="spellStart"/>
      <w:r>
        <w:t>Daniyal</w:t>
      </w:r>
      <w:proofErr w:type="spellEnd"/>
      <w:r>
        <w:t xml:space="preserve">, &amp; </w:t>
      </w:r>
      <w:proofErr w:type="spellStart"/>
      <w:r>
        <w:t>Tawiah</w:t>
      </w:r>
      <w:proofErr w:type="spellEnd"/>
      <w:r>
        <w:t xml:space="preserve">, 2022). The MLP model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neural network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input data. The </w:t>
      </w:r>
      <w:proofErr w:type="spellStart"/>
      <w:r>
        <w:t>neuron's</w:t>
      </w:r>
      <w:proofErr w:type="spellEnd"/>
      <w:r>
        <w:t xml:space="preserve"> output, </w:t>
      </w:r>
      <w:proofErr w:type="spellStart"/>
      <w:r>
        <w:t>denoted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 xml:space="preserve">,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rPr>
          <w:rStyle w:val="katex-mathml"/>
        </w:rPr>
        <w:t>xx</w:t>
      </w:r>
      <w:r>
        <w:rPr>
          <w:rStyle w:val="mord"/>
        </w:rPr>
        <w:t>x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rPr>
          <w:rStyle w:val="katex-mathml"/>
        </w:rPr>
        <w:t>ww</w:t>
      </w:r>
      <w:r>
        <w:rPr>
          <w:rStyle w:val="mord"/>
        </w:rPr>
        <w:t>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bias </w:t>
      </w:r>
      <w:proofErr w:type="spellStart"/>
      <w:r>
        <w:rPr>
          <w:rStyle w:val="katex-mathml"/>
        </w:rPr>
        <w:t>bb</w:t>
      </w:r>
      <w:r>
        <w:rPr>
          <w:rStyle w:val="mord"/>
        </w:rPr>
        <w:t>b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shown</w:t>
      </w:r>
      <w:proofErr w:type="spellEnd"/>
      <w:r>
        <w:t xml:space="preserve"> as </w:t>
      </w:r>
      <w:r w:rsidRPr="00CF339E">
        <w:drawing>
          <wp:inline distT="0" distB="0" distL="0" distR="0" wp14:anchorId="29A84FDB" wp14:editId="390C4094">
            <wp:extent cx="1400370" cy="247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39E">
        <w:t xml:space="preserve"> </w:t>
      </w:r>
      <w:r>
        <w:t>(</w:t>
      </w:r>
      <w:proofErr w:type="spellStart"/>
      <w:r>
        <w:t>Wicaksana</w:t>
      </w:r>
      <w:proofErr w:type="spellEnd"/>
      <w:r>
        <w:t xml:space="preserve"> et al., 2022).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sigmoid</w:t>
      </w:r>
      <w:proofErr w:type="spellEnd"/>
      <w:r w:rsidRPr="00CF339E">
        <w:rPr>
          <w:noProof/>
        </w:rPr>
        <w:t xml:space="preserve"> </w:t>
      </w:r>
      <w:r w:rsidRPr="00CF339E">
        <w:drawing>
          <wp:inline distT="0" distB="0" distL="0" distR="0" wp14:anchorId="6960CD80" wp14:editId="41B892B9">
            <wp:extent cx="1019317" cy="295316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hyperbolic</w:t>
      </w:r>
      <w:proofErr w:type="spellEnd"/>
      <w:r>
        <w:t xml:space="preserve"> </w:t>
      </w:r>
      <w:proofErr w:type="spellStart"/>
      <w:r>
        <w:t>tangent</w:t>
      </w:r>
      <w:proofErr w:type="spellEnd"/>
      <w:r w:rsidRPr="00CF339E">
        <w:rPr>
          <w:noProof/>
        </w:rPr>
        <w:t xml:space="preserve"> </w:t>
      </w:r>
      <w:r w:rsidRPr="00CF339E">
        <w:drawing>
          <wp:inline distT="0" distB="0" distL="0" distR="0" wp14:anchorId="3FACD8DA" wp14:editId="6507FBAF">
            <wp:extent cx="1200318" cy="285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rectified</w:t>
      </w:r>
      <w:proofErr w:type="spellEnd"/>
      <w:r>
        <w:t xml:space="preserve"> linear </w:t>
      </w:r>
      <w:proofErr w:type="spellStart"/>
      <w:r>
        <w:t>unit</w:t>
      </w:r>
      <w:proofErr w:type="spellEnd"/>
      <w:r w:rsidRPr="00CF339E">
        <w:rPr>
          <w:noProof/>
        </w:rPr>
        <w:t xml:space="preserve"> </w:t>
      </w:r>
      <w:r w:rsidRPr="00CF339E">
        <w:drawing>
          <wp:inline distT="0" distB="0" distL="0" distR="0" wp14:anchorId="48A42EBD" wp14:editId="5DA1E439">
            <wp:extent cx="1267002" cy="266737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integral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Setting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MLP </w:t>
      </w:r>
      <w:proofErr w:type="spellStart"/>
      <w:r>
        <w:t>involves</w:t>
      </w:r>
      <w:proofErr w:type="spellEnd"/>
      <w:r>
        <w:t xml:space="preserve"> data </w:t>
      </w:r>
      <w:proofErr w:type="spellStart"/>
      <w:r>
        <w:t>selection</w:t>
      </w:r>
      <w:proofErr w:type="spellEnd"/>
      <w:r>
        <w:t xml:space="preserve">, training, </w:t>
      </w:r>
      <w:proofErr w:type="spellStart"/>
      <w:r>
        <w:t>and</w:t>
      </w:r>
      <w:proofErr w:type="spellEnd"/>
      <w:r>
        <w:t xml:space="preserve"> model </w:t>
      </w:r>
      <w:proofErr w:type="spellStart"/>
      <w:r>
        <w:t>validation</w:t>
      </w:r>
      <w:proofErr w:type="spellEnd"/>
      <w:r>
        <w:t>.</w:t>
      </w:r>
    </w:p>
    <w:p w14:paraId="3234BB28" w14:textId="7EAA15A3" w:rsidR="00CF339E" w:rsidRDefault="00CF339E" w:rsidP="00856947">
      <w:r>
        <w:t>SARIMA-MLP Model</w:t>
      </w:r>
    </w:p>
    <w:p w14:paraId="0D1D7571" w14:textId="77777777" w:rsidR="00077B7C" w:rsidRDefault="00CF339E" w:rsidP="00856947"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model </w:t>
      </w:r>
      <w:proofErr w:type="spellStart"/>
      <w:r>
        <w:t>that</w:t>
      </w:r>
      <w:proofErr w:type="spellEnd"/>
      <w:r>
        <w:t xml:space="preserve"> combines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Seazonal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(</w:t>
      </w:r>
      <w:r>
        <w:t>S</w:t>
      </w:r>
      <w:r>
        <w:t xml:space="preserve">ARIMA)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(MLP) </w:t>
      </w:r>
      <w:proofErr w:type="spellStart"/>
      <w:r>
        <w:t>specifically</w:t>
      </w:r>
      <w:proofErr w:type="spellEnd"/>
      <w:r>
        <w:t xml:space="preserve"> for solar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The </w:t>
      </w:r>
      <w:r>
        <w:t>S</w:t>
      </w:r>
      <w:r>
        <w:t xml:space="preserve">ARIMA model, </w:t>
      </w:r>
      <w:proofErr w:type="spellStart"/>
      <w:r>
        <w:t>primarily</w:t>
      </w:r>
      <w:proofErr w:type="spellEnd"/>
      <w:r>
        <w:t xml:space="preserve"> linear,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traditionally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time-series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MLP, a </w:t>
      </w:r>
      <w:proofErr w:type="spellStart"/>
      <w:r>
        <w:t>nonlinear</w:t>
      </w:r>
      <w:proofErr w:type="spellEnd"/>
      <w:r>
        <w:t xml:space="preserve"> model,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residuals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exhibit</w:t>
      </w:r>
      <w:proofErr w:type="spellEnd"/>
      <w:r>
        <w:t xml:space="preserve"> a linear </w:t>
      </w:r>
      <w:proofErr w:type="spellStart"/>
      <w:r>
        <w:t>structure</w:t>
      </w:r>
      <w:proofErr w:type="spellEnd"/>
      <w:r>
        <w:t xml:space="preserve"> (</w:t>
      </w:r>
      <w:proofErr w:type="spellStart"/>
      <w:r>
        <w:t>Rajalakshmi</w:t>
      </w:r>
      <w:proofErr w:type="spellEnd"/>
      <w:r>
        <w:t xml:space="preserve"> &amp; </w:t>
      </w:r>
      <w:proofErr w:type="spellStart"/>
      <w:r>
        <w:t>Vaidyanathan</w:t>
      </w:r>
      <w:proofErr w:type="spellEnd"/>
      <w:r>
        <w:t xml:space="preserve">, 2022).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r>
        <w:t>S</w:t>
      </w:r>
      <w:r>
        <w:t xml:space="preserve">ARIMA model processes </w:t>
      </w:r>
      <w:proofErr w:type="spellStart"/>
      <w:r>
        <w:t>the</w:t>
      </w:r>
      <w:proofErr w:type="spellEnd"/>
      <w:r>
        <w:t xml:space="preserve"> linear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solar </w:t>
      </w:r>
      <w:proofErr w:type="spellStart"/>
      <w:r>
        <w:t>radiation</w:t>
      </w:r>
      <w:proofErr w:type="spellEnd"/>
      <w:r>
        <w:t xml:space="preserve"> data.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MLP </w:t>
      </w:r>
      <w:proofErr w:type="spellStart"/>
      <w:r>
        <w:t>trains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>S</w:t>
      </w:r>
      <w:r>
        <w:t xml:space="preserve">ARIMA model,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The </w:t>
      </w:r>
      <w:r>
        <w:t>S</w:t>
      </w:r>
      <w:r>
        <w:t xml:space="preserve">ARIMA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output, </w:t>
      </w:r>
      <w:proofErr w:type="spellStart"/>
      <w:r>
        <w:t>denoted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Style w:val="vlist-s"/>
        </w:rPr>
        <w:t>​</w:t>
      </w:r>
      <w:r>
        <w:t xml:space="preserve"> </w:t>
      </w:r>
      <w:proofErr w:type="spellStart"/>
      <w:r>
        <w:t>at</w:t>
      </w:r>
      <w:proofErr w:type="spellEnd"/>
      <w:r>
        <w:t xml:space="preserve"> time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residual </w:t>
      </w:r>
      <w:r w:rsidR="00077B7C" w:rsidRPr="00077B7C">
        <w:drawing>
          <wp:inline distT="0" distB="0" distL="0" distR="0" wp14:anchorId="62A57316" wp14:editId="003D0B08">
            <wp:extent cx="876422" cy="2095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vlist-s"/>
        </w:rPr>
        <w:t>​</w:t>
      </w:r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MLP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MLP model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,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</w:p>
    <w:p w14:paraId="5E0D0ECA" w14:textId="7DB8A28D" w:rsidR="00CF339E" w:rsidRDefault="00077B7C" w:rsidP="00856947"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e</m:t>
            </m:r>
          </m:e>
          <m:sub>
            <m:r>
              <w:rPr>
                <w:rStyle w:val="katex-mathml"/>
                <w:rFonts w:ascii="Cambria Math" w:hAnsi="Cambria Math"/>
              </w:rPr>
              <m:t>t</m:t>
            </m:r>
          </m:sub>
        </m:sSub>
      </m:oMath>
      <w:r w:rsidR="00CF339E">
        <w:rPr>
          <w:rStyle w:val="katex-mathml"/>
        </w:rPr>
        <w:t>=</w:t>
      </w:r>
      <w:r w:rsidRPr="00077B7C">
        <w:rPr>
          <w:noProof/>
        </w:rPr>
        <w:t xml:space="preserve"> </w:t>
      </w:r>
      <w:r w:rsidRPr="00077B7C">
        <w:rPr>
          <w:rStyle w:val="katex-mathml"/>
        </w:rPr>
        <w:drawing>
          <wp:inline distT="0" distB="0" distL="0" distR="0" wp14:anchorId="28922C11" wp14:editId="0AB1561B">
            <wp:extent cx="4410691" cy="26673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9E">
        <w:t xml:space="preserve">, </w:t>
      </w:r>
      <w:proofErr w:type="spellStart"/>
      <w:r w:rsidR="00CF339E">
        <w:t>calculates</w:t>
      </w:r>
      <w:proofErr w:type="spellEnd"/>
      <w:r w:rsidR="00CF339E">
        <w:t xml:space="preserve"> </w:t>
      </w:r>
      <w:proofErr w:type="spellStart"/>
      <w:r w:rsidR="00CF339E">
        <w:t>the</w:t>
      </w:r>
      <w:proofErr w:type="spellEnd"/>
      <w:r w:rsidR="00CF339E">
        <w:t xml:space="preserve"> </w:t>
      </w:r>
      <w:proofErr w:type="spellStart"/>
      <w:r w:rsidR="00CF339E">
        <w:t>predicted</w:t>
      </w:r>
      <w:proofErr w:type="spellEnd"/>
      <w:r w:rsidR="00CF339E">
        <w:t xml:space="preserve"> </w:t>
      </w:r>
      <w:proofErr w:type="spellStart"/>
      <w:r w:rsidR="00CF339E">
        <w:t>value</w:t>
      </w:r>
      <w:proofErr w:type="spellEnd"/>
      <w:r w:rsidR="00CF339E">
        <w:t xml:space="preserve"> </w:t>
      </w:r>
      <w:proofErr w:type="spellStart"/>
      <w:r w:rsidR="00CF339E">
        <w:t>at</w:t>
      </w:r>
      <w:proofErr w:type="spellEnd"/>
      <w:r w:rsidR="00CF339E">
        <w:t xml:space="preserve"> time </w:t>
      </w:r>
      <w:r w:rsidR="00CF339E">
        <w:rPr>
          <w:rStyle w:val="katex-mathml"/>
        </w:rPr>
        <w:t>t</w:t>
      </w:r>
      <w:r w:rsidR="00CF339E">
        <w:t xml:space="preserve"> </w:t>
      </w:r>
      <w:proofErr w:type="spellStart"/>
      <w:r w:rsidR="00CF339E">
        <w:t>from</w:t>
      </w:r>
      <w:proofErr w:type="spellEnd"/>
      <w:r w:rsidR="00CF339E">
        <w:t xml:space="preserve"> </w:t>
      </w:r>
      <w:proofErr w:type="spellStart"/>
      <w:r w:rsidR="00CF339E">
        <w:t>the</w:t>
      </w:r>
      <w:proofErr w:type="spellEnd"/>
      <w:r w:rsidR="00CF339E">
        <w:t xml:space="preserve"> MLP model </w:t>
      </w:r>
      <w:proofErr w:type="spellStart"/>
      <w:r w:rsidR="00CF339E">
        <w:t>on</w:t>
      </w:r>
      <w:proofErr w:type="spellEnd"/>
      <w:r w:rsidR="00CF339E">
        <w:t xml:space="preserve"> </w:t>
      </w:r>
      <w:proofErr w:type="spellStart"/>
      <w:r w:rsidR="00CF339E">
        <w:t>the</w:t>
      </w:r>
      <w:proofErr w:type="spellEnd"/>
      <w:r w:rsidR="00CF339E">
        <w:t xml:space="preserve"> residual data, </w:t>
      </w:r>
      <w:proofErr w:type="spellStart"/>
      <w:r w:rsidR="00CF339E">
        <w:t>with</w:t>
      </w:r>
      <w:proofErr w:type="spellEnd"/>
      <w:r w:rsidR="00CF339E">
        <w:t xml:space="preserve"> </w:t>
      </w:r>
      <w:r w:rsidRPr="00077B7C">
        <w:drawing>
          <wp:inline distT="0" distB="0" distL="0" distR="0" wp14:anchorId="526846EC" wp14:editId="0575ABB9">
            <wp:extent cx="171474" cy="20957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CF339E">
        <w:t>being</w:t>
      </w:r>
      <w:proofErr w:type="spellEnd"/>
      <w:r w:rsidR="00CF339E">
        <w:t xml:space="preserve"> </w:t>
      </w:r>
      <w:proofErr w:type="spellStart"/>
      <w:r w:rsidR="00CF339E">
        <w:t>the</w:t>
      </w:r>
      <w:proofErr w:type="spellEnd"/>
      <w:r w:rsidR="00CF339E">
        <w:t xml:space="preserve"> </w:t>
      </w:r>
      <w:proofErr w:type="spellStart"/>
      <w:r w:rsidR="00CF339E">
        <w:t>random</w:t>
      </w:r>
      <w:proofErr w:type="spellEnd"/>
      <w:r w:rsidR="00CF339E">
        <w:t xml:space="preserve"> </w:t>
      </w:r>
      <w:proofErr w:type="spellStart"/>
      <w:r w:rsidR="00CF339E">
        <w:t>error</w:t>
      </w:r>
      <w:proofErr w:type="spellEnd"/>
      <w:r w:rsidR="00CF339E">
        <w:t xml:space="preserve"> </w:t>
      </w:r>
      <w:proofErr w:type="spellStart"/>
      <w:r w:rsidR="00CF339E">
        <w:t>and</w:t>
      </w:r>
      <w:proofErr w:type="spellEnd"/>
      <w:r w:rsidR="00CF339E">
        <w:t xml:space="preserve"> </w:t>
      </w:r>
      <w:r w:rsidR="00CF339E">
        <w:rPr>
          <w:rStyle w:val="katex-mathml"/>
        </w:rPr>
        <w:t>f</w:t>
      </w:r>
      <w:r w:rsidR="00CF339E">
        <w:t xml:space="preserve"> </w:t>
      </w:r>
      <w:proofErr w:type="spellStart"/>
      <w:r w:rsidR="00CF339E">
        <w:t>the</w:t>
      </w:r>
      <w:proofErr w:type="spellEnd"/>
      <w:r w:rsidR="00CF339E">
        <w:t xml:space="preserve"> </w:t>
      </w:r>
      <w:proofErr w:type="spellStart"/>
      <w:r w:rsidR="00CF339E">
        <w:t>nonlinear</w:t>
      </w:r>
      <w:proofErr w:type="spellEnd"/>
      <w:r w:rsidR="00CF339E">
        <w:t xml:space="preserve"> </w:t>
      </w:r>
      <w:proofErr w:type="spellStart"/>
      <w:r w:rsidR="00CF339E">
        <w:t>function</w:t>
      </w:r>
      <w:proofErr w:type="spellEnd"/>
      <w:r w:rsidR="00CF339E">
        <w:t xml:space="preserve"> </w:t>
      </w:r>
      <w:proofErr w:type="spellStart"/>
      <w:r w:rsidR="00CF339E">
        <w:t>defined</w:t>
      </w:r>
      <w:proofErr w:type="spellEnd"/>
      <w:r w:rsidR="00CF339E">
        <w:t xml:space="preserve"> </w:t>
      </w:r>
      <w:proofErr w:type="spellStart"/>
      <w:r w:rsidR="00CF339E">
        <w:t>by</w:t>
      </w:r>
      <w:proofErr w:type="spellEnd"/>
      <w:r w:rsidR="00CF339E">
        <w:t xml:space="preserve"> </w:t>
      </w:r>
      <w:proofErr w:type="spellStart"/>
      <w:r w:rsidR="00CF339E">
        <w:t>the</w:t>
      </w:r>
      <w:proofErr w:type="spellEnd"/>
      <w:r w:rsidR="00CF339E">
        <w:t xml:space="preserve"> MLP.</w:t>
      </w:r>
    </w:p>
    <w:p w14:paraId="61A6831F" w14:textId="4D6E5ABE" w:rsidR="00077B7C" w:rsidRDefault="00077B7C" w:rsidP="00856947">
      <w:r>
        <w:t>MLP-SARIMA Model</w:t>
      </w:r>
    </w:p>
    <w:p w14:paraId="674BBB22" w14:textId="77777777" w:rsidR="00077B7C" w:rsidRPr="00077B7C" w:rsidRDefault="00077B7C" w:rsidP="00077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methodology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detailed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centers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sophisticated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hybrid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forecasting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known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MLP-ARIMA series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hybrid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model.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developed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Zahra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Hajirahimi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Mehdi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Khashei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(2020),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enhances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traditional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forecasting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techniques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strategically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decomposing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time series data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 fundamental</w:t>
      </w:r>
      <w:proofErr w:type="gram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components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nonlinear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linear—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optimally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forecasts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derived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Here's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concise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overview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F56ECE1" w14:textId="77777777" w:rsidR="00077B7C" w:rsidRPr="00077B7C" w:rsidRDefault="00077B7C" w:rsidP="00077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Decomposing</w:t>
      </w:r>
      <w:proofErr w:type="spellEnd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Time Series</w:t>
      </w:r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The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initial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step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involves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splitting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time series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nonlinear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linear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components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treating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actual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yty_tyt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​ as a sum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distinct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Nt+Lty_t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N_t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L_tyt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​=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​+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​.</w:t>
      </w:r>
    </w:p>
    <w:p w14:paraId="24CA524D" w14:textId="77777777" w:rsidR="00077B7C" w:rsidRPr="00077B7C" w:rsidRDefault="00077B7C" w:rsidP="00077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Component-Specific</w:t>
      </w:r>
      <w:proofErr w:type="spellEnd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The MLP model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employed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handle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nonlinear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patterns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data.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Subsequently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ARIMA model captures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remaining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linear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residuals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MLP,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ensuring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aspects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are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thoroughly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analyzed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C4104B" w14:textId="77777777" w:rsidR="00077B7C" w:rsidRPr="00077B7C" w:rsidRDefault="00077B7C" w:rsidP="00077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Optimal</w:t>
      </w:r>
      <w:proofErr w:type="spellEnd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Assignment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distinguishes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OLS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algorithm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determine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exact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forecasts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generated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MLP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ARIMA models,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thus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maximizing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efficacy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forecasting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accuracy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CB1C92F" w14:textId="77777777" w:rsidR="00077B7C" w:rsidRPr="00077B7C" w:rsidRDefault="00077B7C" w:rsidP="00077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Constructing</w:t>
      </w:r>
      <w:proofErr w:type="spellEnd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Final </w:t>
      </w:r>
      <w:proofErr w:type="spellStart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Hybrid</w:t>
      </w:r>
      <w:proofErr w:type="spellEnd"/>
      <w:r w:rsidRPr="00077B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Forecast</w:t>
      </w:r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The final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forecast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composite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individually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predictions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MLP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ARIMA models,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producing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nuanced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forecast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leverages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models'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strengths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B801C44" w14:textId="77777777" w:rsidR="00077B7C" w:rsidRPr="00077B7C" w:rsidRDefault="00077B7C" w:rsidP="00077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methodological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approach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proposed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Hajirahimi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Khashei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technique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time series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forecasting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allowing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enhanced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predictive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performance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effectively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balancing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contributions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nonlinear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linear </w:t>
      </w:r>
      <w:proofErr w:type="spellStart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predictors</w:t>
      </w:r>
      <w:proofErr w:type="spellEnd"/>
      <w:r w:rsidRPr="00077B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D9BF6DA" w14:textId="320632B8" w:rsidR="00077B7C" w:rsidRDefault="00077B7C" w:rsidP="00856947">
      <w:r>
        <w:t>MODEL EVALUATION</w:t>
      </w:r>
    </w:p>
    <w:p w14:paraId="32D49C9A" w14:textId="2F3F8D6F" w:rsidR="00077B7C" w:rsidRDefault="00077B7C" w:rsidP="00856947">
      <w:r>
        <w:t xml:space="preserve">The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, R², </w:t>
      </w:r>
      <w:proofErr w:type="spellStart"/>
      <w:r>
        <w:t>quantifies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predictable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Chicco</w:t>
      </w:r>
      <w:proofErr w:type="spellEnd"/>
      <w:r>
        <w:t xml:space="preserve">, </w:t>
      </w:r>
      <w:proofErr w:type="spellStart"/>
      <w:r>
        <w:t>Warrens</w:t>
      </w:r>
      <w:proofErr w:type="spellEnd"/>
      <w:r>
        <w:t xml:space="preserve">, &amp; </w:t>
      </w:r>
      <w:proofErr w:type="spellStart"/>
      <w:r>
        <w:t>Jurman</w:t>
      </w:r>
      <w:proofErr w:type="spellEnd"/>
      <w:r>
        <w:t xml:space="preserve">, 2021). When </w:t>
      </w:r>
      <w:proofErr w:type="spellStart"/>
      <w:r>
        <w:t>identifying</w:t>
      </w:r>
      <w:proofErr w:type="spellEnd"/>
      <w:r>
        <w:t xml:space="preserve"> outliers,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advantageous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its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data points, as it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outliers. </w:t>
      </w:r>
      <w:proofErr w:type="spellStart"/>
      <w:r>
        <w:t>Additionally</w:t>
      </w:r>
      <w:proofErr w:type="spellEnd"/>
      <w:r>
        <w:t xml:space="preserve">, MSE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Root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monotonic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root,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ranking models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ranking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RMSE.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utilizes </w:t>
      </w:r>
      <w:proofErr w:type="spellStart"/>
      <w:r>
        <w:t>both</w:t>
      </w:r>
      <w:proofErr w:type="spellEnd"/>
      <w:r>
        <w:t xml:space="preserve"> R² </w:t>
      </w:r>
      <w:proofErr w:type="spellStart"/>
      <w:r>
        <w:t>and</w:t>
      </w:r>
      <w:proofErr w:type="spellEnd"/>
      <w:r>
        <w:t xml:space="preserve"> RMSE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performance. The R²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equation</w:t>
      </w:r>
      <w:proofErr w:type="spellEnd"/>
      <w:r>
        <w:t xml:space="preserve"> 9,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rPr>
          <w:rStyle w:val="katex-mathml"/>
        </w:rPr>
        <w:t>YiY_i</w:t>
      </w:r>
      <w:r>
        <w:rPr>
          <w:rStyle w:val="mord"/>
        </w:rPr>
        <w:t>Yi</w:t>
      </w:r>
      <w:proofErr w:type="spellEnd"/>
      <w:r>
        <w:rPr>
          <w:rStyle w:val="vlist-s"/>
        </w:rPr>
        <w:t>​</w:t>
      </w:r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rPr>
          <w:rStyle w:val="katex-mathml"/>
        </w:rPr>
        <w:t>XiX_i</w:t>
      </w:r>
      <w:r>
        <w:rPr>
          <w:rStyle w:val="mord"/>
        </w:rPr>
        <w:t>Xi</w:t>
      </w:r>
      <w:proofErr w:type="spellEnd"/>
      <w:r>
        <w:rPr>
          <w:rStyle w:val="vlist-s"/>
        </w:rPr>
        <w:t>​</w:t>
      </w:r>
      <w:r>
        <w:t xml:space="preserve"> denotes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r>
        <w:rPr>
          <w:rStyle w:val="katex-mathml"/>
        </w:rPr>
        <w:t>Y‾\</w:t>
      </w:r>
      <w:proofErr w:type="spellStart"/>
      <w:r>
        <w:rPr>
          <w:rStyle w:val="katex-mathml"/>
        </w:rPr>
        <w:t>overline</w:t>
      </w:r>
      <w:proofErr w:type="spellEnd"/>
      <w:r>
        <w:rPr>
          <w:rStyle w:val="katex-mathml"/>
        </w:rPr>
        <w:t>{Y}</w:t>
      </w:r>
      <w:r>
        <w:rPr>
          <w:rStyle w:val="mord"/>
        </w:rPr>
        <w:t>Y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data. </w:t>
      </w:r>
      <w:proofErr w:type="spellStart"/>
      <w:r>
        <w:t>Similarly</w:t>
      </w:r>
      <w:proofErr w:type="spellEnd"/>
      <w:r>
        <w:t xml:space="preserve">, RMSE,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root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as per </w:t>
      </w:r>
      <w:proofErr w:type="spellStart"/>
      <w:r>
        <w:t>equation</w:t>
      </w:r>
      <w:proofErr w:type="spellEnd"/>
      <w:r>
        <w:t xml:space="preserve"> 10,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gauge</w:t>
      </w:r>
      <w:proofErr w:type="spellEnd"/>
      <w:r>
        <w:t xml:space="preserve"> model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RMSE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model </w:t>
      </w:r>
      <w:proofErr w:type="spellStart"/>
      <w:r>
        <w:t>precision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model for </w:t>
      </w:r>
      <w:proofErr w:type="spellStart"/>
      <w:r>
        <w:t>estimating</w:t>
      </w:r>
      <w:proofErr w:type="spellEnd"/>
      <w:r>
        <w:t xml:space="preserve"> solar </w:t>
      </w:r>
      <w:proofErr w:type="spellStart"/>
      <w:r>
        <w:t>radiation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.</w:t>
      </w:r>
    </w:p>
    <w:p w14:paraId="3421AD39" w14:textId="0F441CB9" w:rsidR="00077B7C" w:rsidRDefault="00077B7C" w:rsidP="00856947">
      <w:r w:rsidRPr="00077B7C">
        <w:drawing>
          <wp:inline distT="0" distB="0" distL="0" distR="0" wp14:anchorId="307DAC02" wp14:editId="51BD9455">
            <wp:extent cx="2400300" cy="35126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7608" cy="3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AEA3" w14:textId="09A6439B" w:rsidR="00077B7C" w:rsidRDefault="00077B7C" w:rsidP="00856947">
      <w:r w:rsidRPr="00077B7C">
        <w:drawing>
          <wp:inline distT="0" distB="0" distL="0" distR="0" wp14:anchorId="4A7C55A5" wp14:editId="1D5D8AB5">
            <wp:extent cx="2381250" cy="5153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3824" cy="5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8E5C" w14:textId="18A5F856" w:rsidR="00CF339E" w:rsidRDefault="00856947" w:rsidP="00856947">
      <w:r>
        <w:t>METHOD FRAMEWORK</w:t>
      </w:r>
    </w:p>
    <w:p w14:paraId="003667C2" w14:textId="77777777" w:rsidR="00E633FD" w:rsidRDefault="00E633FD" w:rsidP="00E633FD"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Series</w:t>
      </w:r>
    </w:p>
    <w:p w14:paraId="42373765" w14:textId="2078C0C0" w:rsidR="00E633FD" w:rsidRDefault="00E633FD" w:rsidP="00E633FD">
      <w:r>
        <w:t xml:space="preserve">The time series </w:t>
      </w:r>
      <w:proofErr w:type="spellStart"/>
      <w:r>
        <w:t>discussed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Electric System </w:t>
      </w:r>
      <w:proofErr w:type="spellStart"/>
      <w:r>
        <w:t>Operator</w:t>
      </w:r>
      <w:proofErr w:type="spellEnd"/>
      <w:r>
        <w:t xml:space="preserve"> (ONS, </w:t>
      </w:r>
      <w:r w:rsidR="003A40EC">
        <w:t>2024</w:t>
      </w:r>
      <w:r>
        <w:t xml:space="preserve">). </w:t>
      </w:r>
      <w:proofErr w:type="spellStart"/>
      <w:r>
        <w:t>This</w:t>
      </w:r>
      <w:proofErr w:type="spellEnd"/>
      <w:r>
        <w:t xml:space="preserve"> series </w:t>
      </w:r>
      <w:proofErr w:type="spellStart"/>
      <w:r>
        <w:t>encompasses</w:t>
      </w:r>
      <w:proofErr w:type="spellEnd"/>
      <w:r>
        <w:t xml:space="preserve"> </w:t>
      </w:r>
      <w:r w:rsidR="003A40EC">
        <w:t>210</w:t>
      </w:r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in megawatt-hours (MWh)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2007 </w:t>
      </w:r>
      <w:proofErr w:type="spellStart"/>
      <w:r>
        <w:t>to</w:t>
      </w:r>
      <w:proofErr w:type="spellEnd"/>
      <w:r>
        <w:t xml:space="preserve"> </w:t>
      </w:r>
      <w:proofErr w:type="spellStart"/>
      <w:r w:rsidR="003A40EC">
        <w:t>June</w:t>
      </w:r>
      <w:proofErr w:type="spellEnd"/>
      <w:r>
        <w:t xml:space="preserve"> </w:t>
      </w:r>
      <w:r w:rsidR="003A40EC">
        <w:t>2024</w:t>
      </w:r>
      <w:r>
        <w:t xml:space="preserve">. The data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segmented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subsets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2007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</w:t>
      </w:r>
      <w:r w:rsidR="003A40EC">
        <w:t>2022</w:t>
      </w:r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model </w:t>
      </w:r>
      <w:proofErr w:type="spellStart"/>
      <w:r>
        <w:t>calibration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lastRenderedPageBreak/>
        <w:t>January</w:t>
      </w:r>
      <w:proofErr w:type="spellEnd"/>
      <w:r>
        <w:t xml:space="preserve"> </w:t>
      </w:r>
      <w:r w:rsidR="003A40EC">
        <w:t>2023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3A40EC">
        <w:t>June</w:t>
      </w:r>
      <w:proofErr w:type="spellEnd"/>
      <w:r>
        <w:t xml:space="preserve"> </w:t>
      </w:r>
      <w:r w:rsidR="003A40EC">
        <w:t>2024</w:t>
      </w:r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. The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3A40EC">
        <w:t>July</w:t>
      </w:r>
      <w:r>
        <w:t xml:space="preserve"> </w:t>
      </w:r>
      <w:r w:rsidR="003A40EC">
        <w:t>2024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</w:t>
      </w:r>
      <w:r w:rsidR="00214D13">
        <w:t>2025</w:t>
      </w:r>
      <w:r w:rsidR="0075119E">
        <w:t xml:space="preserve">, </w:t>
      </w:r>
      <w:proofErr w:type="spellStart"/>
      <w:r w:rsidR="0075119E">
        <w:t>discribed</w:t>
      </w:r>
      <w:proofErr w:type="spellEnd"/>
      <w:r w:rsidR="0075119E">
        <w:t xml:space="preserve"> </w:t>
      </w:r>
      <w:proofErr w:type="spellStart"/>
      <w:proofErr w:type="gramStart"/>
      <w:r w:rsidR="0075119E">
        <w:t>on</w:t>
      </w:r>
      <w:proofErr w:type="spellEnd"/>
      <w:r w:rsidR="0075119E">
        <w:t xml:space="preserve"> Figure</w:t>
      </w:r>
      <w:proofErr w:type="gramEnd"/>
      <w:r w:rsidR="0075119E">
        <w:t xml:space="preserve"> 1</w:t>
      </w:r>
      <w:r>
        <w:t xml:space="preserve">. A time series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spaced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regular time </w:t>
      </w:r>
      <w:proofErr w:type="spellStart"/>
      <w:r>
        <w:t>intervals</w:t>
      </w:r>
      <w:proofErr w:type="spellEnd"/>
      <w:r>
        <w:t xml:space="preserve">,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as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a common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quantitative</w:t>
      </w:r>
      <w:proofErr w:type="spellEnd"/>
      <w:r>
        <w:t xml:space="preserve">, </w:t>
      </w:r>
      <w:proofErr w:type="spellStart"/>
      <w:r>
        <w:t>employing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for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Pereira, </w:t>
      </w:r>
      <w:proofErr w:type="spellStart"/>
      <w:r>
        <w:t>Shitsuka</w:t>
      </w:r>
      <w:proofErr w:type="spellEnd"/>
      <w:r>
        <w:t xml:space="preserve">, Parreira,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Shitsuka</w:t>
      </w:r>
      <w:proofErr w:type="spellEnd"/>
      <w:r>
        <w:t xml:space="preserve"> (2018).</w:t>
      </w:r>
    </w:p>
    <w:p w14:paraId="5A11A03B" w14:textId="53873E78" w:rsidR="00A217F2" w:rsidRDefault="00214D13" w:rsidP="00E633FD">
      <w:r w:rsidRPr="00214D13">
        <w:drawing>
          <wp:inline distT="0" distB="0" distL="0" distR="0" wp14:anchorId="50A08D77" wp14:editId="0DCDE6D3">
            <wp:extent cx="4286250" cy="25045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9825" cy="25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EB1" w14:textId="5B5AA352" w:rsidR="0075119E" w:rsidRDefault="0075119E" w:rsidP="0075119E">
      <w:r>
        <w:t xml:space="preserve">Figure 1: </w:t>
      </w:r>
      <w:r>
        <w:t xml:space="preserve">Monthly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Jan/2007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Jun</w:t>
      </w:r>
      <w:proofErr w:type="spellEnd"/>
      <w:r>
        <w:t>/2024.</w:t>
      </w:r>
    </w:p>
    <w:p w14:paraId="2129E2CD" w14:textId="7631437B" w:rsidR="0075119E" w:rsidRDefault="0075119E" w:rsidP="00E633FD">
      <w:r>
        <w:t xml:space="preserve">Model </w:t>
      </w:r>
      <w:proofErr w:type="spellStart"/>
      <w:r>
        <w:t>Verification</w:t>
      </w:r>
      <w:proofErr w:type="spellEnd"/>
      <w:r>
        <w:t xml:space="preserve">: </w:t>
      </w:r>
      <w:proofErr w:type="spellStart"/>
      <w:r>
        <w:t>Additive</w:t>
      </w:r>
      <w:proofErr w:type="spellEnd"/>
      <w:r>
        <w:t xml:space="preserve"> vs. </w:t>
      </w:r>
      <w:proofErr w:type="spellStart"/>
      <w:r>
        <w:t>Multiplicative</w:t>
      </w:r>
      <w:proofErr w:type="spellEnd"/>
    </w:p>
    <w:p w14:paraId="5AF6CB34" w14:textId="3F387860" w:rsidR="0075119E" w:rsidRDefault="0075119E" w:rsidP="00E633FD">
      <w:proofErr w:type="spellStart"/>
      <w:r>
        <w:t>To</w:t>
      </w:r>
      <w:proofErr w:type="spellEnd"/>
      <w:r>
        <w:t xml:space="preserve">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multiplicative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amplitude versus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(Figure 2).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 positive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series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amplitude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subgroups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0.7507,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linear </w:t>
      </w:r>
      <w:proofErr w:type="spellStart"/>
      <w:r>
        <w:t>regression</w:t>
      </w:r>
      <w:proofErr w:type="spellEnd"/>
      <w:r>
        <w:t xml:space="preserve">. The </w:t>
      </w:r>
      <w:proofErr w:type="spellStart"/>
      <w:r>
        <w:t>obtained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0.01,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zero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5% </w:t>
      </w:r>
      <w:proofErr w:type="spellStart"/>
      <w:r>
        <w:t>significance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multiplicative</w:t>
      </w:r>
      <w:proofErr w:type="spellEnd"/>
      <w:r>
        <w:t>.</w:t>
      </w:r>
    </w:p>
    <w:p w14:paraId="746ED0D1" w14:textId="77777777" w:rsidR="0075119E" w:rsidRDefault="0075119E" w:rsidP="00E633FD"/>
    <w:p w14:paraId="03E5CB9C" w14:textId="77777777" w:rsidR="00214D13" w:rsidRDefault="00214D13" w:rsidP="00E633FD"/>
    <w:p w14:paraId="2D85C091" w14:textId="6F7FC794" w:rsidR="00856947" w:rsidRDefault="00077B7C">
      <w:r>
        <w:t>REFERENCES</w:t>
      </w:r>
    </w:p>
    <w:p w14:paraId="56A870EC" w14:textId="77777777" w:rsidR="00E633FD" w:rsidRDefault="00E633FD" w:rsidP="00E63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Alencar, D. B. (2018). Modelo híbrido baseado em séries temporais e redes neurais para prevenção da geração de energia eólica. Tese de doutorado,</w:t>
      </w:r>
    </w:p>
    <w:p w14:paraId="021957A7" w14:textId="1700FFC7" w:rsidR="00E633FD" w:rsidRDefault="00E633FD" w:rsidP="00E633FD">
      <w:r>
        <w:rPr>
          <w:rFonts w:ascii="Times New Roman" w:hAnsi="Times New Roman" w:cs="Times New Roman"/>
          <w:kern w:val="0"/>
          <w:sz w:val="16"/>
          <w:szCs w:val="16"/>
        </w:rPr>
        <w:t>Universidade Federal do Pará, Belém, PA, Brasil.</w:t>
      </w:r>
    </w:p>
    <w:p w14:paraId="40A02528" w14:textId="1C613A4E" w:rsidR="00856947" w:rsidRDefault="00856947" w:rsidP="00856947">
      <w:pPr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 xml:space="preserve">Box, G. E. P., &amp; Jenkins, G. M. (1976). </w:t>
      </w: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Time Series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Analysis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Forecasting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Control</w:t>
      </w:r>
      <w:proofErr w:type="spellEnd"/>
      <w:r>
        <w:rPr>
          <w:rFonts w:ascii="Times New Roman" w:hAnsi="Times New Roman" w:cs="Times New Roman"/>
          <w:kern w:val="0"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16"/>
          <w:szCs w:val="16"/>
        </w:rPr>
        <w:t>Holden</w:t>
      </w:r>
      <w:proofErr w:type="spellEnd"/>
      <w:r>
        <w:rPr>
          <w:rFonts w:ascii="Times New Roman" w:hAnsi="Times New Roman" w:cs="Times New Roman"/>
          <w:kern w:val="0"/>
          <w:sz w:val="16"/>
          <w:szCs w:val="16"/>
        </w:rPr>
        <w:t>-Day.</w:t>
      </w:r>
    </w:p>
    <w:p w14:paraId="6532B6DF" w14:textId="77777777" w:rsidR="00E633FD" w:rsidRDefault="00E633FD" w:rsidP="00E63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Fernandes, L. C. (2018). Previsão de potência eólica de curtíssimo prazo baseada na análise espectral e decomposição da série temporal. Dissertação de</w:t>
      </w:r>
    </w:p>
    <w:p w14:paraId="590680FA" w14:textId="659E877D" w:rsidR="00E633FD" w:rsidRDefault="00E633FD" w:rsidP="00E633FD">
      <w:pPr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mestrado, Universidade Federal de Pernambuco, Recife, PE, Brasil.</w:t>
      </w:r>
    </w:p>
    <w:p w14:paraId="0EAD89BC" w14:textId="77777777" w:rsidR="00856947" w:rsidRDefault="00856947" w:rsidP="00856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 xml:space="preserve">Ferreira, R. A., Miranda, V. F. L., Santos, P. M., &amp; </w:t>
      </w:r>
      <w:proofErr w:type="spellStart"/>
      <w:r>
        <w:rPr>
          <w:rFonts w:ascii="Times New Roman" w:hAnsi="Times New Roman" w:cs="Times New Roman"/>
          <w:kern w:val="0"/>
          <w:sz w:val="16"/>
          <w:szCs w:val="16"/>
        </w:rPr>
        <w:t>Sáfadi</w:t>
      </w:r>
      <w:proofErr w:type="spellEnd"/>
      <w:r>
        <w:rPr>
          <w:rFonts w:ascii="Times New Roman" w:hAnsi="Times New Roman" w:cs="Times New Roman"/>
          <w:kern w:val="0"/>
          <w:sz w:val="16"/>
          <w:szCs w:val="16"/>
        </w:rPr>
        <w:t>, T. (2020). Um estudo sobre a evolução de óbitos por câncer de mama no Brasil usando modelos de</w:t>
      </w:r>
    </w:p>
    <w:p w14:paraId="1EA5DCC4" w14:textId="5D3A5861" w:rsidR="00CF339E" w:rsidRDefault="00856947" w:rsidP="00856947">
      <w:pPr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 xml:space="preserve">séries temporais.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Research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, Society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Development</w:t>
      </w:r>
      <w:proofErr w:type="spellEnd"/>
      <w:r>
        <w:rPr>
          <w:rFonts w:ascii="Times New Roman" w:hAnsi="Times New Roman" w:cs="Times New Roman"/>
          <w:kern w:val="0"/>
          <w:sz w:val="16"/>
          <w:szCs w:val="16"/>
        </w:rPr>
        <w:t>, 9(12), 1-20.</w:t>
      </w:r>
    </w:p>
    <w:p w14:paraId="225D7C1F" w14:textId="493A03E7" w:rsidR="00077B7C" w:rsidRDefault="00077B7C" w:rsidP="00856947">
      <w:pPr>
        <w:rPr>
          <w:rFonts w:ascii="Times New Roman" w:hAnsi="Times New Roman" w:cs="Times New Roman"/>
          <w:kern w:val="0"/>
          <w:sz w:val="16"/>
          <w:szCs w:val="16"/>
        </w:rPr>
      </w:pPr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Z.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Hajirahimi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and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M.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Khashei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>, "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Weighted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MLP-ARIMA series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hybrid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model for time series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forecasting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," J. Ind. Eng.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Manag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>. Stud., vol. 7, no. 2, pp. 187-201, 2020. DOI: 10.22116/JIEMS.2020.205148.1307</w:t>
      </w:r>
    </w:p>
    <w:p w14:paraId="08A28F36" w14:textId="77777777" w:rsidR="00E633FD" w:rsidRDefault="00E633FD" w:rsidP="00E63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Malta, C. S. (2009). Estudos de séries temporais de vento utilizando análises estatísticas e agrupamento de dados. Trabalho de conclusão de curso,</w:t>
      </w:r>
    </w:p>
    <w:p w14:paraId="474BD2BD" w14:textId="62C0A85A" w:rsidR="00E633FD" w:rsidRDefault="00E633FD" w:rsidP="00E633FD">
      <w:pPr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lastRenderedPageBreak/>
        <w:t>Universidade Federal do Rio de Janeiro, Rio de Janeiro, RJ, Brasil.</w:t>
      </w:r>
    </w:p>
    <w:p w14:paraId="14076A4D" w14:textId="7A348328" w:rsidR="00CF339E" w:rsidRDefault="00CF339E" w:rsidP="00E633FD">
      <w:pPr>
        <w:rPr>
          <w:rFonts w:ascii="Times New Roman" w:hAnsi="Times New Roman" w:cs="Times New Roman"/>
          <w:kern w:val="0"/>
          <w:sz w:val="16"/>
          <w:szCs w:val="16"/>
        </w:rPr>
      </w:pPr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M.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Qureshi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, M.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Daniyal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,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and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K.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Tawiah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>, “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Comparative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Evaluation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of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the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Multilayer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Perceptron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Approach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with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Conventional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ARIMA in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Modeling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and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Prediction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of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COVID-19 Daily Death Cases,” J.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Healthc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. Eng., vol. 2022, 2022,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doi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>: 10.1155/2022/4864920.</w:t>
      </w:r>
    </w:p>
    <w:p w14:paraId="4B98894C" w14:textId="1D2CDD81" w:rsidR="00077B7C" w:rsidRDefault="00077B7C" w:rsidP="00E633FD">
      <w:pPr>
        <w:rPr>
          <w:rFonts w:ascii="Times New Roman" w:hAnsi="Times New Roman" w:cs="Times New Roman"/>
          <w:kern w:val="0"/>
          <w:sz w:val="16"/>
          <w:szCs w:val="16"/>
        </w:rPr>
      </w:pPr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V.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Rajalakshmi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and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S. G.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Vaidyanathan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>, “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Hybrid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Time-Series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Forecasting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Models for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Traffic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Flow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Prediction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,”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Promet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-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Traffic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 -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Traffico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 xml:space="preserve">, vol. 34, no. 4, pp. 537–549, 2022, </w:t>
      </w:r>
      <w:proofErr w:type="spellStart"/>
      <w:r w:rsidRPr="00077B7C">
        <w:rPr>
          <w:rFonts w:ascii="Times New Roman" w:hAnsi="Times New Roman" w:cs="Times New Roman"/>
          <w:kern w:val="0"/>
          <w:sz w:val="16"/>
          <w:szCs w:val="16"/>
        </w:rPr>
        <w:t>doi</w:t>
      </w:r>
      <w:proofErr w:type="spellEnd"/>
      <w:r w:rsidRPr="00077B7C">
        <w:rPr>
          <w:rFonts w:ascii="Times New Roman" w:hAnsi="Times New Roman" w:cs="Times New Roman"/>
          <w:kern w:val="0"/>
          <w:sz w:val="16"/>
          <w:szCs w:val="16"/>
        </w:rPr>
        <w:t>: 10.7307/</w:t>
      </w:r>
      <w:proofErr w:type="gramStart"/>
      <w:r w:rsidRPr="00077B7C">
        <w:rPr>
          <w:rFonts w:ascii="Times New Roman" w:hAnsi="Times New Roman" w:cs="Times New Roman"/>
          <w:kern w:val="0"/>
          <w:sz w:val="16"/>
          <w:szCs w:val="16"/>
        </w:rPr>
        <w:t>ptt.v</w:t>
      </w:r>
      <w:proofErr w:type="gramEnd"/>
      <w:r w:rsidRPr="00077B7C">
        <w:rPr>
          <w:rFonts w:ascii="Times New Roman" w:hAnsi="Times New Roman" w:cs="Times New Roman"/>
          <w:kern w:val="0"/>
          <w:sz w:val="16"/>
          <w:szCs w:val="16"/>
        </w:rPr>
        <w:t>34i4.3998.</w:t>
      </w:r>
    </w:p>
    <w:p w14:paraId="26531C9D" w14:textId="77777777" w:rsidR="00856947" w:rsidRDefault="00856947" w:rsidP="00856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Santos, P. H. A. B., Delfino, O. A. S., Santos, R. V. R., &amp; Nascimento, M. (2021). Ajuste de um modelo de séries temporais para prever a precipitação</w:t>
      </w:r>
    </w:p>
    <w:p w14:paraId="65743F02" w14:textId="0DC0B7A1" w:rsidR="00856947" w:rsidRDefault="00856947" w:rsidP="00856947">
      <w:pPr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 xml:space="preserve">pluviométrica.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Research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, Society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Development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, </w:t>
      </w:r>
      <w:r>
        <w:rPr>
          <w:rFonts w:ascii="Times New Roman" w:hAnsi="Times New Roman" w:cs="Times New Roman"/>
          <w:kern w:val="0"/>
          <w:sz w:val="16"/>
          <w:szCs w:val="16"/>
        </w:rPr>
        <w:t>10(6), 1-11.</w:t>
      </w:r>
    </w:p>
    <w:p w14:paraId="17175E14" w14:textId="77777777" w:rsidR="00E633FD" w:rsidRDefault="00E633FD" w:rsidP="00E63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Silva, H. B. (2018). Técnicas para redução de dimensionalidade de séries temporais e detecção de velocidades extremas do vento para geração de energia</w:t>
      </w:r>
    </w:p>
    <w:p w14:paraId="35516093" w14:textId="3A38DBBC" w:rsidR="00E633FD" w:rsidRDefault="00E633FD" w:rsidP="00E633FD">
      <w:pPr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eólica. Dissertação de mestrado, Universidade Federal de Pernambuco, Recife, PE, Brasil.</w:t>
      </w:r>
    </w:p>
    <w:p w14:paraId="7655F7CD" w14:textId="53ABB2D9" w:rsidR="00E633FD" w:rsidRDefault="00E633FD" w:rsidP="00E633FD">
      <w:pPr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proofErr w:type="spellStart"/>
      <w:r>
        <w:rPr>
          <w:sz w:val="20"/>
          <w:szCs w:val="20"/>
        </w:rPr>
        <w:t>Syahrini</w:t>
      </w:r>
      <w:proofErr w:type="spellEnd"/>
      <w:r>
        <w:rPr>
          <w:sz w:val="20"/>
          <w:szCs w:val="20"/>
        </w:rPr>
        <w:t xml:space="preserve">, R. </w:t>
      </w:r>
      <w:proofErr w:type="spellStart"/>
      <w:r>
        <w:rPr>
          <w:sz w:val="20"/>
          <w:szCs w:val="20"/>
        </w:rPr>
        <w:t>Radhiah</w:t>
      </w:r>
      <w:proofErr w:type="spellEnd"/>
      <w:r>
        <w:rPr>
          <w:sz w:val="20"/>
          <w:szCs w:val="20"/>
        </w:rPr>
        <w:t xml:space="preserve">, W. F. </w:t>
      </w:r>
      <w:proofErr w:type="spellStart"/>
      <w:r>
        <w:rPr>
          <w:sz w:val="20"/>
          <w:szCs w:val="20"/>
        </w:rPr>
        <w:t>Damanik</w:t>
      </w:r>
      <w:proofErr w:type="spellEnd"/>
      <w:r>
        <w:rPr>
          <w:sz w:val="20"/>
          <w:szCs w:val="20"/>
        </w:rPr>
        <w:t xml:space="preserve">, N. </w:t>
      </w:r>
      <w:proofErr w:type="spellStart"/>
      <w:r>
        <w:rPr>
          <w:sz w:val="20"/>
          <w:szCs w:val="20"/>
        </w:rPr>
        <w:t>Sciences</w:t>
      </w:r>
      <w:proofErr w:type="spellEnd"/>
      <w:r>
        <w:rPr>
          <w:sz w:val="20"/>
          <w:szCs w:val="20"/>
        </w:rPr>
        <w:t xml:space="preserve">, U. S. Kuala,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B. Aceh, “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Autoregressive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Average</w:t>
      </w:r>
      <w:proofErr w:type="spellEnd"/>
      <w:r>
        <w:rPr>
          <w:sz w:val="20"/>
          <w:szCs w:val="20"/>
        </w:rPr>
        <w:t xml:space="preserve"> (ARIMA) Box-Jenkins </w:t>
      </w:r>
      <w:proofErr w:type="spellStart"/>
      <w:r>
        <w:rPr>
          <w:sz w:val="20"/>
          <w:szCs w:val="20"/>
        </w:rPr>
        <w:t>Method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Forecasting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Inflation</w:t>
      </w:r>
      <w:proofErr w:type="spellEnd"/>
      <w:r>
        <w:rPr>
          <w:sz w:val="20"/>
          <w:szCs w:val="20"/>
        </w:rPr>
        <w:t xml:space="preserve"> Rate in Aceh,” </w:t>
      </w:r>
      <w:proofErr w:type="spellStart"/>
      <w:r>
        <w:rPr>
          <w:i/>
          <w:iCs/>
          <w:sz w:val="20"/>
          <w:szCs w:val="20"/>
        </w:rPr>
        <w:t>Transcendent</w:t>
      </w:r>
      <w:proofErr w:type="spellEnd"/>
      <w:r>
        <w:rPr>
          <w:i/>
          <w:iCs/>
          <w:sz w:val="20"/>
          <w:szCs w:val="20"/>
        </w:rPr>
        <w:t xml:space="preserve"> J. </w:t>
      </w:r>
      <w:proofErr w:type="spellStart"/>
      <w:r>
        <w:rPr>
          <w:i/>
          <w:iCs/>
          <w:sz w:val="20"/>
          <w:szCs w:val="20"/>
        </w:rPr>
        <w:t>Math</w:t>
      </w:r>
      <w:proofErr w:type="spellEnd"/>
      <w:r>
        <w:rPr>
          <w:i/>
          <w:iCs/>
          <w:sz w:val="20"/>
          <w:szCs w:val="20"/>
        </w:rPr>
        <w:t xml:space="preserve">. </w:t>
      </w:r>
      <w:proofErr w:type="spellStart"/>
      <w:r>
        <w:rPr>
          <w:i/>
          <w:iCs/>
          <w:sz w:val="20"/>
          <w:szCs w:val="20"/>
        </w:rPr>
        <w:t>Appl</w:t>
      </w:r>
      <w:proofErr w:type="spellEnd"/>
      <w:r>
        <w:rPr>
          <w:i/>
          <w:iCs/>
          <w:sz w:val="20"/>
          <w:szCs w:val="20"/>
        </w:rPr>
        <w:t>. ISSN</w:t>
      </w:r>
      <w:r>
        <w:rPr>
          <w:sz w:val="20"/>
          <w:szCs w:val="20"/>
        </w:rPr>
        <w:t>, vol. 2, no. 1, pp. 27–33, 2023.</w:t>
      </w:r>
    </w:p>
    <w:p w14:paraId="62A2BDB2" w14:textId="77777777" w:rsidR="00CF339E" w:rsidRDefault="00CF339E" w:rsidP="00CF339E">
      <w:pPr>
        <w:rPr>
          <w:rFonts w:ascii="Times New Roman" w:hAnsi="Times New Roman" w:cs="Times New Roman"/>
          <w:kern w:val="0"/>
          <w:sz w:val="16"/>
          <w:szCs w:val="16"/>
        </w:rPr>
      </w:pPr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H. S.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Wicaksana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et al., “Air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Temperature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Sensor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Estimation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on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Automatic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Weather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Station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Using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ARIMA </w:t>
      </w:r>
      <w:proofErr w:type="spellStart"/>
      <w:r w:rsidRPr="00CF339E">
        <w:rPr>
          <w:rFonts w:ascii="Times New Roman" w:hAnsi="Times New Roman" w:cs="Times New Roman"/>
          <w:kern w:val="0"/>
          <w:sz w:val="16"/>
          <w:szCs w:val="16"/>
        </w:rPr>
        <w:t>and</w:t>
      </w:r>
      <w:proofErr w:type="spellEnd"/>
      <w:r w:rsidRPr="00CF339E">
        <w:rPr>
          <w:rFonts w:ascii="Times New Roman" w:hAnsi="Times New Roman" w:cs="Times New Roman"/>
          <w:kern w:val="0"/>
          <w:sz w:val="16"/>
          <w:szCs w:val="16"/>
        </w:rPr>
        <w:t xml:space="preserve"> MLP,” vol. 14, no. 2, 2022.</w:t>
      </w:r>
    </w:p>
    <w:p w14:paraId="7CF91BD9" w14:textId="77777777" w:rsidR="00CF339E" w:rsidRDefault="00CF339E" w:rsidP="00E633FD"/>
    <w:sectPr w:rsidR="00CF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D7D4A"/>
    <w:multiLevelType w:val="multilevel"/>
    <w:tmpl w:val="C5C2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10"/>
    <w:rsid w:val="00077B7C"/>
    <w:rsid w:val="00214D13"/>
    <w:rsid w:val="0029022F"/>
    <w:rsid w:val="003010AA"/>
    <w:rsid w:val="003A40EC"/>
    <w:rsid w:val="003B4D10"/>
    <w:rsid w:val="00675827"/>
    <w:rsid w:val="0075119E"/>
    <w:rsid w:val="00856947"/>
    <w:rsid w:val="00A217F2"/>
    <w:rsid w:val="00A508C2"/>
    <w:rsid w:val="00CF339E"/>
    <w:rsid w:val="00E61A58"/>
    <w:rsid w:val="00E6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5721A"/>
  <w15:chartTrackingRefBased/>
  <w15:docId w15:val="{685F56BD-3BD2-4A90-9220-7967A609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B4D10"/>
    <w:rPr>
      <w:b/>
      <w:bCs/>
    </w:rPr>
  </w:style>
  <w:style w:type="character" w:customStyle="1" w:styleId="katex-mathml">
    <w:name w:val="katex-mathml"/>
    <w:basedOn w:val="Fontepargpadro"/>
    <w:rsid w:val="00CF339E"/>
  </w:style>
  <w:style w:type="character" w:customStyle="1" w:styleId="mord">
    <w:name w:val="mord"/>
    <w:basedOn w:val="Fontepargpadro"/>
    <w:rsid w:val="00CF339E"/>
  </w:style>
  <w:style w:type="character" w:customStyle="1" w:styleId="mrel">
    <w:name w:val="mrel"/>
    <w:basedOn w:val="Fontepargpadro"/>
    <w:rsid w:val="00CF339E"/>
  </w:style>
  <w:style w:type="character" w:customStyle="1" w:styleId="mopen">
    <w:name w:val="mopen"/>
    <w:basedOn w:val="Fontepargpadro"/>
    <w:rsid w:val="00CF339E"/>
  </w:style>
  <w:style w:type="character" w:customStyle="1" w:styleId="mop">
    <w:name w:val="mop"/>
    <w:basedOn w:val="Fontepargpadro"/>
    <w:rsid w:val="00CF339E"/>
  </w:style>
  <w:style w:type="character" w:customStyle="1" w:styleId="vlist-s">
    <w:name w:val="vlist-s"/>
    <w:basedOn w:val="Fontepargpadro"/>
    <w:rsid w:val="00CF339E"/>
  </w:style>
  <w:style w:type="character" w:customStyle="1" w:styleId="mbin">
    <w:name w:val="mbin"/>
    <w:basedOn w:val="Fontepargpadro"/>
    <w:rsid w:val="00CF339E"/>
  </w:style>
  <w:style w:type="character" w:customStyle="1" w:styleId="mclose">
    <w:name w:val="mclose"/>
    <w:basedOn w:val="Fontepargpadro"/>
    <w:rsid w:val="00CF339E"/>
  </w:style>
  <w:style w:type="character" w:customStyle="1" w:styleId="mpunct">
    <w:name w:val="mpunct"/>
    <w:basedOn w:val="Fontepargpadro"/>
    <w:rsid w:val="00CF339E"/>
  </w:style>
  <w:style w:type="paragraph" w:styleId="PargrafodaLista">
    <w:name w:val="List Paragraph"/>
    <w:basedOn w:val="Normal"/>
    <w:uiPriority w:val="34"/>
    <w:qFormat/>
    <w:rsid w:val="00CF339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F3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2546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Natanael Firmino da Silva</dc:creator>
  <cp:keywords/>
  <dc:description/>
  <cp:lastModifiedBy>Pedro Natanael Firmino da Silva</cp:lastModifiedBy>
  <cp:revision>1</cp:revision>
  <dcterms:created xsi:type="dcterms:W3CDTF">2024-07-27T01:45:00Z</dcterms:created>
  <dcterms:modified xsi:type="dcterms:W3CDTF">2024-07-27T23:44:00Z</dcterms:modified>
</cp:coreProperties>
</file>