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0C5E" w14:textId="35A770CB" w:rsidR="00AE3B8F" w:rsidRPr="00AE3B8F" w:rsidRDefault="00AE3B8F" w:rsidP="00AE3B8F">
      <w:r w:rsidRPr="00AE3B8F">
        <w:t xml:space="preserve">Here’s  </w:t>
      </w:r>
      <w:r w:rsidR="00900979">
        <w:rPr>
          <w:lang w:val="en-US"/>
        </w:rPr>
        <w:t xml:space="preserve">a </w:t>
      </w:r>
      <w:r w:rsidR="002B70B0">
        <w:rPr>
          <w:lang w:val="en-US"/>
        </w:rPr>
        <w:t>AI</w:t>
      </w:r>
      <w:r w:rsidR="00900979">
        <w:rPr>
          <w:lang w:val="en-US"/>
        </w:rPr>
        <w:t>-assisted</w:t>
      </w:r>
      <w:r w:rsidR="000C6975">
        <w:rPr>
          <w:lang w:val="en-US"/>
        </w:rPr>
        <w:t xml:space="preserve"> </w:t>
      </w:r>
      <w:r w:rsidRPr="00AE3B8F">
        <w:t xml:space="preserve">peer review of the article </w:t>
      </w:r>
      <w:r w:rsidRPr="00AE3B8F">
        <w:rPr>
          <w:b/>
          <w:bCs/>
        </w:rPr>
        <w:t>“Quantum-AI-Guarded Cyber Currency for Intangible Tokens”</w:t>
      </w:r>
      <w:r w:rsidRPr="00AE3B8F">
        <w:t xml:space="preserve"> by Pedro J. Navarro Vera, based on academic review criteria—</w:t>
      </w:r>
      <w:r w:rsidRPr="00AE3B8F">
        <w:rPr>
          <w:b/>
          <w:bCs/>
        </w:rPr>
        <w:t>originality, significance, clarity, methodology, and overall contribution</w:t>
      </w:r>
      <w:r w:rsidRPr="00AE3B8F">
        <w:t>.</w:t>
      </w:r>
    </w:p>
    <w:p w14:paraId="3C1136C9" w14:textId="77777777" w:rsidR="00AE3B8F" w:rsidRPr="00AE3B8F" w:rsidRDefault="00E020E6" w:rsidP="00AE3B8F">
      <w:r>
        <w:pict w14:anchorId="5286D137">
          <v:rect id="_x0000_i1025" style="width:0;height:1.5pt" o:hralign="center" o:hrstd="t" o:hr="t" fillcolor="#a0a0a0" stroked="f"/>
        </w:pict>
      </w:r>
    </w:p>
    <w:p w14:paraId="7B6F7F2E" w14:textId="77777777" w:rsidR="00AE3B8F" w:rsidRPr="00AE3B8F" w:rsidRDefault="00AE3B8F" w:rsidP="00AE3B8F">
      <w:pPr>
        <w:rPr>
          <w:b/>
          <w:bCs/>
        </w:rPr>
      </w:pPr>
      <w:r w:rsidRPr="00AE3B8F">
        <w:rPr>
          <w:rFonts w:ascii="Segoe UI Emoji" w:hAnsi="Segoe UI Emoji" w:cs="Segoe UI Emoji"/>
          <w:b/>
          <w:bCs/>
        </w:rPr>
        <w:t>🔍</w:t>
      </w:r>
      <w:r w:rsidRPr="00AE3B8F">
        <w:rPr>
          <w:b/>
          <w:bCs/>
        </w:rPr>
        <w:t xml:space="preserve"> 1. Originality and Contribution</w:t>
      </w:r>
    </w:p>
    <w:p w14:paraId="7F6EF075" w14:textId="77777777" w:rsidR="00AE3B8F" w:rsidRPr="00AE3B8F" w:rsidRDefault="00AE3B8F" w:rsidP="00AE3B8F">
      <w:r w:rsidRPr="00AE3B8F">
        <w:rPr>
          <w:b/>
          <w:bCs/>
        </w:rPr>
        <w:t>Strengths:</w:t>
      </w:r>
    </w:p>
    <w:p w14:paraId="5E0BB64F" w14:textId="77777777" w:rsidR="00AE3B8F" w:rsidRPr="00AE3B8F" w:rsidRDefault="00AE3B8F" w:rsidP="00AE3B8F">
      <w:pPr>
        <w:numPr>
          <w:ilvl w:val="0"/>
          <w:numId w:val="1"/>
        </w:numPr>
      </w:pPr>
      <w:r w:rsidRPr="00AE3B8F">
        <w:t>The concept of a digital currency (@mo) tailored for intangible assets in humanitarian, healthcare, and peacekeeping contexts is innovative and timely.</w:t>
      </w:r>
    </w:p>
    <w:p w14:paraId="025DCDA5" w14:textId="77777777" w:rsidR="00AE3B8F" w:rsidRPr="00AE3B8F" w:rsidRDefault="00AE3B8F" w:rsidP="00AE3B8F">
      <w:pPr>
        <w:numPr>
          <w:ilvl w:val="0"/>
          <w:numId w:val="1"/>
        </w:numPr>
      </w:pPr>
      <w:r w:rsidRPr="00AE3B8F">
        <w:t>Integrating quantum computing, AI, and Dijkstra’s algorithm into a practical PoC is highly original.</w:t>
      </w:r>
    </w:p>
    <w:p w14:paraId="63A6D75B" w14:textId="77777777" w:rsidR="00AE3B8F" w:rsidRPr="00AE3B8F" w:rsidRDefault="00AE3B8F" w:rsidP="00AE3B8F">
      <w:pPr>
        <w:numPr>
          <w:ilvl w:val="0"/>
          <w:numId w:val="1"/>
        </w:numPr>
      </w:pPr>
      <w:r w:rsidRPr="00AE3B8F">
        <w:t>Proposing a system for managing digital inheritance is a novel and socially relevant idea.</w:t>
      </w:r>
    </w:p>
    <w:p w14:paraId="12A0A28B" w14:textId="77777777" w:rsidR="00AE3B8F" w:rsidRPr="00AE3B8F" w:rsidRDefault="00AE3B8F" w:rsidP="00AE3B8F">
      <w:r w:rsidRPr="00AE3B8F">
        <w:rPr>
          <w:b/>
          <w:bCs/>
        </w:rPr>
        <w:t>Suggestions:</w:t>
      </w:r>
    </w:p>
    <w:p w14:paraId="378868DE" w14:textId="77777777" w:rsidR="00AE3B8F" w:rsidRPr="00AE3B8F" w:rsidRDefault="00AE3B8F" w:rsidP="00AE3B8F">
      <w:pPr>
        <w:numPr>
          <w:ilvl w:val="0"/>
          <w:numId w:val="2"/>
        </w:numPr>
      </w:pPr>
      <w:r w:rsidRPr="00AE3B8F">
        <w:t>Clarify the unique differentiators of @mo compared to other secure digital currencies or token-based systems (e.g., how it improves upon existing blockchain implementations or stablecoins).</w:t>
      </w:r>
    </w:p>
    <w:p w14:paraId="072BD33C" w14:textId="77777777" w:rsidR="00AE3B8F" w:rsidRPr="00AE3B8F" w:rsidRDefault="00E020E6" w:rsidP="00AE3B8F">
      <w:r>
        <w:pict w14:anchorId="1914FAEF">
          <v:rect id="_x0000_i1026" style="width:0;height:1.5pt" o:hralign="center" o:hrstd="t" o:hr="t" fillcolor="#a0a0a0" stroked="f"/>
        </w:pict>
      </w:r>
    </w:p>
    <w:p w14:paraId="37535C52" w14:textId="77777777" w:rsidR="00AE3B8F" w:rsidRPr="00AE3B8F" w:rsidRDefault="00AE3B8F" w:rsidP="00AE3B8F">
      <w:pPr>
        <w:rPr>
          <w:b/>
          <w:bCs/>
        </w:rPr>
      </w:pPr>
      <w:r w:rsidRPr="00AE3B8F">
        <w:rPr>
          <w:rFonts w:ascii="Segoe UI Emoji" w:hAnsi="Segoe UI Emoji" w:cs="Segoe UI Emoji"/>
          <w:b/>
          <w:bCs/>
        </w:rPr>
        <w:t>🧠</w:t>
      </w:r>
      <w:r w:rsidRPr="00AE3B8F">
        <w:rPr>
          <w:b/>
          <w:bCs/>
        </w:rPr>
        <w:t xml:space="preserve"> 2. Technical Depth and Methodology</w:t>
      </w:r>
    </w:p>
    <w:p w14:paraId="1409801F" w14:textId="77777777" w:rsidR="00AE3B8F" w:rsidRPr="00AE3B8F" w:rsidRDefault="00AE3B8F" w:rsidP="00AE3B8F">
      <w:r w:rsidRPr="00AE3B8F">
        <w:rPr>
          <w:b/>
          <w:bCs/>
        </w:rPr>
        <w:t>Strengths:</w:t>
      </w:r>
    </w:p>
    <w:p w14:paraId="4B84DFEE" w14:textId="77777777" w:rsidR="00AE3B8F" w:rsidRPr="00AE3B8F" w:rsidRDefault="00AE3B8F" w:rsidP="00AE3B8F">
      <w:pPr>
        <w:numPr>
          <w:ilvl w:val="0"/>
          <w:numId w:val="3"/>
        </w:numPr>
      </w:pPr>
      <w:r w:rsidRPr="00AE3B8F">
        <w:t>A detailed step-by-step technical walkthrough is provided, including authentication, encryption, storage, and asset merging.</w:t>
      </w:r>
    </w:p>
    <w:p w14:paraId="438F8FEB" w14:textId="77777777" w:rsidR="00AE3B8F" w:rsidRPr="00AE3B8F" w:rsidRDefault="00AE3B8F" w:rsidP="00AE3B8F">
      <w:pPr>
        <w:numPr>
          <w:ilvl w:val="0"/>
          <w:numId w:val="3"/>
        </w:numPr>
      </w:pPr>
      <w:r w:rsidRPr="00AE3B8F">
        <w:t>Simulation-based results backed by data analysis (Power BI and Python scripts) provide a concrete validation.</w:t>
      </w:r>
    </w:p>
    <w:p w14:paraId="7590F7C5" w14:textId="77777777" w:rsidR="00AE3B8F" w:rsidRPr="00AE3B8F" w:rsidRDefault="00AE3B8F" w:rsidP="00AE3B8F">
      <w:r w:rsidRPr="00AE3B8F">
        <w:rPr>
          <w:b/>
          <w:bCs/>
        </w:rPr>
        <w:t>Suggestions:</w:t>
      </w:r>
    </w:p>
    <w:p w14:paraId="557E32C2" w14:textId="77777777" w:rsidR="00AE3B8F" w:rsidRPr="00AE3B8F" w:rsidRDefault="00AE3B8F" w:rsidP="00AE3B8F">
      <w:pPr>
        <w:numPr>
          <w:ilvl w:val="0"/>
          <w:numId w:val="4"/>
        </w:numPr>
      </w:pPr>
      <w:r w:rsidRPr="00AE3B8F">
        <w:t>Explain more clearly how Dijkstra’s algorithm is integrated in real-time within the platform. Is it recalculated for each transaction? How scalable is this?</w:t>
      </w:r>
    </w:p>
    <w:p w14:paraId="656E0F6C" w14:textId="77777777" w:rsidR="00AE3B8F" w:rsidRPr="00AE3B8F" w:rsidRDefault="00AE3B8F" w:rsidP="00AE3B8F">
      <w:pPr>
        <w:numPr>
          <w:ilvl w:val="0"/>
          <w:numId w:val="4"/>
        </w:numPr>
      </w:pPr>
      <w:r w:rsidRPr="00AE3B8F">
        <w:t>Consider including a pseudo-code or a visual workflow diagram to complement the step-by-step technical sections.</w:t>
      </w:r>
    </w:p>
    <w:p w14:paraId="4A527EFF" w14:textId="77777777" w:rsidR="00AE3B8F" w:rsidRPr="00AE3B8F" w:rsidRDefault="00E020E6" w:rsidP="00AE3B8F">
      <w:r>
        <w:pict w14:anchorId="54EB4F08">
          <v:rect id="_x0000_i1027" style="width:0;height:1.5pt" o:hralign="center" o:hrstd="t" o:hr="t" fillcolor="#a0a0a0" stroked="f"/>
        </w:pict>
      </w:r>
    </w:p>
    <w:p w14:paraId="59DED187" w14:textId="77777777" w:rsidR="00AE3B8F" w:rsidRPr="00AE3B8F" w:rsidRDefault="00AE3B8F" w:rsidP="00AE3B8F">
      <w:pPr>
        <w:rPr>
          <w:b/>
          <w:bCs/>
        </w:rPr>
      </w:pPr>
      <w:r w:rsidRPr="00AE3B8F">
        <w:rPr>
          <w:rFonts w:ascii="Segoe UI Emoji" w:hAnsi="Segoe UI Emoji" w:cs="Segoe UI Emoji"/>
          <w:b/>
          <w:bCs/>
        </w:rPr>
        <w:t>📊</w:t>
      </w:r>
      <w:r w:rsidRPr="00AE3B8F">
        <w:rPr>
          <w:b/>
          <w:bCs/>
        </w:rPr>
        <w:t xml:space="preserve"> 3. Clarity and Structure</w:t>
      </w:r>
    </w:p>
    <w:p w14:paraId="54192087" w14:textId="77777777" w:rsidR="00AE3B8F" w:rsidRPr="00AE3B8F" w:rsidRDefault="00AE3B8F" w:rsidP="00AE3B8F">
      <w:r w:rsidRPr="00AE3B8F">
        <w:rPr>
          <w:b/>
          <w:bCs/>
        </w:rPr>
        <w:t>Strengths:</w:t>
      </w:r>
    </w:p>
    <w:p w14:paraId="6301B7E1" w14:textId="77777777" w:rsidR="00AE3B8F" w:rsidRPr="00AE3B8F" w:rsidRDefault="00AE3B8F" w:rsidP="00AE3B8F">
      <w:pPr>
        <w:numPr>
          <w:ilvl w:val="0"/>
          <w:numId w:val="5"/>
        </w:numPr>
      </w:pPr>
      <w:r w:rsidRPr="00AE3B8F">
        <w:lastRenderedPageBreak/>
        <w:t>Logical structure from abstract to conclusion. Each section clearly builds upon the previous one.</w:t>
      </w:r>
    </w:p>
    <w:p w14:paraId="53F80E99" w14:textId="77777777" w:rsidR="00AE3B8F" w:rsidRPr="00AE3B8F" w:rsidRDefault="00AE3B8F" w:rsidP="00AE3B8F">
      <w:pPr>
        <w:numPr>
          <w:ilvl w:val="0"/>
          <w:numId w:val="5"/>
        </w:numPr>
      </w:pPr>
      <w:r w:rsidRPr="00AE3B8F">
        <w:t>The inclusion of an Appendix with terminology is excellent for reader accessibility.</w:t>
      </w:r>
    </w:p>
    <w:p w14:paraId="6E54F7F1" w14:textId="77777777" w:rsidR="00AE3B8F" w:rsidRPr="00AE3B8F" w:rsidRDefault="00AE3B8F" w:rsidP="00AE3B8F">
      <w:r w:rsidRPr="00AE3B8F">
        <w:rPr>
          <w:b/>
          <w:bCs/>
        </w:rPr>
        <w:t>Suggestions:</w:t>
      </w:r>
    </w:p>
    <w:p w14:paraId="4CB8DC20" w14:textId="77777777" w:rsidR="00AE3B8F" w:rsidRPr="00AE3B8F" w:rsidRDefault="00AE3B8F" w:rsidP="00AE3B8F">
      <w:pPr>
        <w:numPr>
          <w:ilvl w:val="0"/>
          <w:numId w:val="6"/>
        </w:numPr>
      </w:pPr>
      <w:r w:rsidRPr="00AE3B8F">
        <w:t>While the style is mostly clear, some sections (especially "Materials and Methods") could benefit from clearer subheadings or visual aids (e.g., diagrams or flowcharts).</w:t>
      </w:r>
    </w:p>
    <w:p w14:paraId="6AE18FF7" w14:textId="77777777" w:rsidR="00AE3B8F" w:rsidRPr="00AE3B8F" w:rsidRDefault="00AE3B8F" w:rsidP="00AE3B8F">
      <w:pPr>
        <w:numPr>
          <w:ilvl w:val="0"/>
          <w:numId w:val="6"/>
        </w:numPr>
      </w:pPr>
      <w:r w:rsidRPr="00AE3B8F">
        <w:t>The repetition in the conclusion could be trimmed—several paragraphs reiterate the same contributions almost verbatim.</w:t>
      </w:r>
    </w:p>
    <w:p w14:paraId="6A5CD67D" w14:textId="77777777" w:rsidR="00AE3B8F" w:rsidRPr="00AE3B8F" w:rsidRDefault="00E020E6" w:rsidP="00AE3B8F">
      <w:r>
        <w:pict w14:anchorId="6243C630">
          <v:rect id="_x0000_i1028" style="width:0;height:1.5pt" o:hralign="center" o:hrstd="t" o:hr="t" fillcolor="#a0a0a0" stroked="f"/>
        </w:pict>
      </w:r>
    </w:p>
    <w:p w14:paraId="069D58A6" w14:textId="77777777" w:rsidR="00AE3B8F" w:rsidRPr="00AE3B8F" w:rsidRDefault="00AE3B8F" w:rsidP="00AE3B8F">
      <w:pPr>
        <w:rPr>
          <w:b/>
          <w:bCs/>
        </w:rPr>
      </w:pPr>
      <w:r w:rsidRPr="00AE3B8F">
        <w:rPr>
          <w:rFonts w:ascii="Segoe UI Emoji" w:hAnsi="Segoe UI Emoji" w:cs="Segoe UI Emoji"/>
          <w:b/>
          <w:bCs/>
        </w:rPr>
        <w:t>🔐</w:t>
      </w:r>
      <w:r w:rsidRPr="00AE3B8F">
        <w:rPr>
          <w:b/>
          <w:bCs/>
        </w:rPr>
        <w:t xml:space="preserve"> 4. Security and Cyberdefense Considerations</w:t>
      </w:r>
    </w:p>
    <w:p w14:paraId="5D5E869C" w14:textId="77777777" w:rsidR="00AE3B8F" w:rsidRPr="00AE3B8F" w:rsidRDefault="00AE3B8F" w:rsidP="00AE3B8F">
      <w:r w:rsidRPr="00AE3B8F">
        <w:rPr>
          <w:b/>
          <w:bCs/>
        </w:rPr>
        <w:t>Strengths:</w:t>
      </w:r>
    </w:p>
    <w:p w14:paraId="0E5EF241" w14:textId="77777777" w:rsidR="00AE3B8F" w:rsidRPr="00AE3B8F" w:rsidRDefault="00AE3B8F" w:rsidP="00AE3B8F">
      <w:pPr>
        <w:numPr>
          <w:ilvl w:val="0"/>
          <w:numId w:val="7"/>
        </w:numPr>
      </w:pPr>
      <w:r w:rsidRPr="00AE3B8F">
        <w:t>Comprehensive overview of security measures: MFA, browser verification, revocation lists, OWASP/MITRE standards, and quantum cryptography.</w:t>
      </w:r>
    </w:p>
    <w:p w14:paraId="6B806A72" w14:textId="77777777" w:rsidR="00AE3B8F" w:rsidRPr="00AE3B8F" w:rsidRDefault="00AE3B8F" w:rsidP="00AE3B8F">
      <w:pPr>
        <w:numPr>
          <w:ilvl w:val="0"/>
          <w:numId w:val="7"/>
        </w:numPr>
      </w:pPr>
      <w:r w:rsidRPr="00AE3B8F">
        <w:t>The concept of a Merge Authority adds a trust and audit layer rarely formalized in blockchain-native platforms.</w:t>
      </w:r>
    </w:p>
    <w:p w14:paraId="38809884" w14:textId="77777777" w:rsidR="00AE3B8F" w:rsidRPr="00AE3B8F" w:rsidRDefault="00AE3B8F" w:rsidP="00AE3B8F">
      <w:r w:rsidRPr="00AE3B8F">
        <w:rPr>
          <w:b/>
          <w:bCs/>
        </w:rPr>
        <w:t>Suggestions:</w:t>
      </w:r>
    </w:p>
    <w:p w14:paraId="3867D898" w14:textId="77777777" w:rsidR="00AE3B8F" w:rsidRPr="00AE3B8F" w:rsidRDefault="00AE3B8F" w:rsidP="00AE3B8F">
      <w:pPr>
        <w:numPr>
          <w:ilvl w:val="0"/>
          <w:numId w:val="8"/>
        </w:numPr>
      </w:pPr>
      <w:r w:rsidRPr="00AE3B8F">
        <w:t>It would be valuable to include a threat model or attack surface analysis to assess the robustness of the system in practical deployment.</w:t>
      </w:r>
    </w:p>
    <w:p w14:paraId="02ED147E" w14:textId="77777777" w:rsidR="00AE3B8F" w:rsidRPr="00AE3B8F" w:rsidRDefault="00E020E6" w:rsidP="00AE3B8F">
      <w:r>
        <w:pict w14:anchorId="5D1708EF">
          <v:rect id="_x0000_i1029" style="width:0;height:1.5pt" o:hralign="center" o:hrstd="t" o:hr="t" fillcolor="#a0a0a0" stroked="f"/>
        </w:pict>
      </w:r>
    </w:p>
    <w:p w14:paraId="5C37CE02" w14:textId="77777777" w:rsidR="00AE3B8F" w:rsidRPr="00AE3B8F" w:rsidRDefault="00AE3B8F" w:rsidP="00AE3B8F">
      <w:pPr>
        <w:rPr>
          <w:b/>
          <w:bCs/>
        </w:rPr>
      </w:pPr>
      <w:r w:rsidRPr="00AE3B8F">
        <w:rPr>
          <w:rFonts w:ascii="Segoe UI Emoji" w:hAnsi="Segoe UI Emoji" w:cs="Segoe UI Emoji"/>
          <w:b/>
          <w:bCs/>
        </w:rPr>
        <w:t>📈</w:t>
      </w:r>
      <w:r w:rsidRPr="00AE3B8F">
        <w:rPr>
          <w:b/>
          <w:bCs/>
        </w:rPr>
        <w:t xml:space="preserve"> 5. Results and Data Interpretation</w:t>
      </w:r>
    </w:p>
    <w:p w14:paraId="63E71152" w14:textId="77777777" w:rsidR="00AE3B8F" w:rsidRPr="00AE3B8F" w:rsidRDefault="00AE3B8F" w:rsidP="00AE3B8F">
      <w:r w:rsidRPr="00AE3B8F">
        <w:rPr>
          <w:b/>
          <w:bCs/>
        </w:rPr>
        <w:t>Strengths:</w:t>
      </w:r>
    </w:p>
    <w:p w14:paraId="32906B87" w14:textId="77777777" w:rsidR="00AE3B8F" w:rsidRPr="00AE3B8F" w:rsidRDefault="00AE3B8F" w:rsidP="00AE3B8F">
      <w:pPr>
        <w:numPr>
          <w:ilvl w:val="0"/>
          <w:numId w:val="9"/>
        </w:numPr>
      </w:pPr>
      <w:r w:rsidRPr="00AE3B8F">
        <w:t>Results are clearly described, with metrics (sample size, margin of error) supporting the conclusions.</w:t>
      </w:r>
    </w:p>
    <w:p w14:paraId="6979F3BB" w14:textId="77777777" w:rsidR="00AE3B8F" w:rsidRPr="00AE3B8F" w:rsidRDefault="00AE3B8F" w:rsidP="00AE3B8F">
      <w:pPr>
        <w:numPr>
          <w:ilvl w:val="0"/>
          <w:numId w:val="9"/>
        </w:numPr>
      </w:pPr>
      <w:r w:rsidRPr="00AE3B8F">
        <w:t>Visualization of shortest path data offers a compelling look into performance optimization.</w:t>
      </w:r>
    </w:p>
    <w:p w14:paraId="06883709" w14:textId="77777777" w:rsidR="00AE3B8F" w:rsidRPr="00AE3B8F" w:rsidRDefault="00AE3B8F" w:rsidP="00AE3B8F">
      <w:r w:rsidRPr="00AE3B8F">
        <w:rPr>
          <w:b/>
          <w:bCs/>
        </w:rPr>
        <w:t>Suggestions:</w:t>
      </w:r>
    </w:p>
    <w:p w14:paraId="32B40F8A" w14:textId="77777777" w:rsidR="00AE3B8F" w:rsidRPr="00AE3B8F" w:rsidRDefault="00AE3B8F" w:rsidP="00AE3B8F">
      <w:pPr>
        <w:numPr>
          <w:ilvl w:val="0"/>
          <w:numId w:val="10"/>
        </w:numPr>
      </w:pPr>
      <w:r w:rsidRPr="00AE3B8F">
        <w:t>Consider providing more examples of data visualizations directly in the article instead of referring users to external files.</w:t>
      </w:r>
    </w:p>
    <w:p w14:paraId="40C4EE9C" w14:textId="77777777" w:rsidR="00AE3B8F" w:rsidRPr="00AE3B8F" w:rsidRDefault="00AE3B8F" w:rsidP="00AE3B8F">
      <w:pPr>
        <w:numPr>
          <w:ilvl w:val="0"/>
          <w:numId w:val="10"/>
        </w:numPr>
      </w:pPr>
      <w:r w:rsidRPr="00AE3B8F">
        <w:t>It would help to explain why a peak at 7 units is optimal or significant—what are the implications for system efficiency?</w:t>
      </w:r>
    </w:p>
    <w:p w14:paraId="5E02A977" w14:textId="77777777" w:rsidR="00AE3B8F" w:rsidRPr="00AE3B8F" w:rsidRDefault="00E020E6" w:rsidP="00AE3B8F">
      <w:r>
        <w:lastRenderedPageBreak/>
        <w:pict w14:anchorId="57BEAF6F">
          <v:rect id="_x0000_i1030" style="width:0;height:1.5pt" o:hralign="center" o:hrstd="t" o:hr="t" fillcolor="#a0a0a0" stroked="f"/>
        </w:pict>
      </w:r>
    </w:p>
    <w:p w14:paraId="272C2F6C" w14:textId="77777777" w:rsidR="00AE3B8F" w:rsidRPr="00AE3B8F" w:rsidRDefault="00AE3B8F" w:rsidP="00AE3B8F">
      <w:pPr>
        <w:rPr>
          <w:b/>
          <w:bCs/>
        </w:rPr>
      </w:pPr>
      <w:r w:rsidRPr="00AE3B8F">
        <w:rPr>
          <w:rFonts w:ascii="Segoe UI Emoji" w:hAnsi="Segoe UI Emoji" w:cs="Segoe UI Emoji"/>
          <w:b/>
          <w:bCs/>
        </w:rPr>
        <w:t>📚</w:t>
      </w:r>
      <w:r w:rsidRPr="00AE3B8F">
        <w:rPr>
          <w:b/>
          <w:bCs/>
        </w:rPr>
        <w:t xml:space="preserve"> 6. References and Citations</w:t>
      </w:r>
    </w:p>
    <w:p w14:paraId="6523F901" w14:textId="77777777" w:rsidR="00AE3B8F" w:rsidRPr="00AE3B8F" w:rsidRDefault="00AE3B8F" w:rsidP="00AE3B8F">
      <w:r w:rsidRPr="00AE3B8F">
        <w:rPr>
          <w:b/>
          <w:bCs/>
        </w:rPr>
        <w:t>Strengths:</w:t>
      </w:r>
    </w:p>
    <w:p w14:paraId="3014931A" w14:textId="77777777" w:rsidR="00AE3B8F" w:rsidRPr="00AE3B8F" w:rsidRDefault="00AE3B8F" w:rsidP="00AE3B8F">
      <w:pPr>
        <w:numPr>
          <w:ilvl w:val="0"/>
          <w:numId w:val="11"/>
        </w:numPr>
      </w:pPr>
      <w:r w:rsidRPr="00AE3B8F">
        <w:t>Citations are relevant and up-to-date (as of 2025), with references to both the author's prior work and external sources.</w:t>
      </w:r>
    </w:p>
    <w:p w14:paraId="205C09F7" w14:textId="77777777" w:rsidR="00AE3B8F" w:rsidRPr="00AE3B8F" w:rsidRDefault="00AE3B8F" w:rsidP="00AE3B8F">
      <w:r w:rsidRPr="00AE3B8F">
        <w:rPr>
          <w:b/>
          <w:bCs/>
        </w:rPr>
        <w:t>Suggestions:</w:t>
      </w:r>
    </w:p>
    <w:p w14:paraId="05F70115" w14:textId="77777777" w:rsidR="00AE3B8F" w:rsidRPr="00AE3B8F" w:rsidRDefault="00AE3B8F" w:rsidP="00AE3B8F">
      <w:pPr>
        <w:numPr>
          <w:ilvl w:val="0"/>
          <w:numId w:val="12"/>
        </w:numPr>
      </w:pPr>
      <w:r w:rsidRPr="00AE3B8F">
        <w:t>Use consistent formatting for citations (e.g., avoid “In the Book…” phrasing—use standard citation styles).</w:t>
      </w:r>
    </w:p>
    <w:p w14:paraId="6FF12684" w14:textId="77777777" w:rsidR="00AE3B8F" w:rsidRPr="00AE3B8F" w:rsidRDefault="00AE3B8F" w:rsidP="00AE3B8F">
      <w:pPr>
        <w:numPr>
          <w:ilvl w:val="0"/>
          <w:numId w:val="12"/>
        </w:numPr>
      </w:pPr>
      <w:r w:rsidRPr="00AE3B8F">
        <w:t>Consider expanding the literature review in the introduction to contrast @mo with existing digital currency efforts.</w:t>
      </w:r>
    </w:p>
    <w:p w14:paraId="115F9662" w14:textId="77777777" w:rsidR="00AE3B8F" w:rsidRPr="00AE3B8F" w:rsidRDefault="00E020E6" w:rsidP="00AE3B8F">
      <w:r>
        <w:pict w14:anchorId="495D23C5">
          <v:rect id="_x0000_i1031" style="width:0;height:1.5pt" o:hralign="center" o:hrstd="t" o:hr="t" fillcolor="#a0a0a0" stroked="f"/>
        </w:pict>
      </w:r>
    </w:p>
    <w:p w14:paraId="1B18EDF8" w14:textId="77777777" w:rsidR="00AE3B8F" w:rsidRPr="00AE3B8F" w:rsidRDefault="00AE3B8F" w:rsidP="00AE3B8F">
      <w:pPr>
        <w:rPr>
          <w:b/>
          <w:bCs/>
        </w:rPr>
      </w:pPr>
      <w:r w:rsidRPr="00AE3B8F">
        <w:rPr>
          <w:rFonts w:ascii="Segoe UI Emoji" w:hAnsi="Segoe UI Emoji" w:cs="Segoe UI Emoji"/>
          <w:b/>
          <w:bCs/>
        </w:rPr>
        <w:t>🧾</w:t>
      </w:r>
      <w:r w:rsidRPr="00AE3B8F">
        <w:rPr>
          <w:b/>
          <w:bCs/>
        </w:rPr>
        <w:t xml:space="preserve"> Final Recommendations</w:t>
      </w:r>
    </w:p>
    <w:p w14:paraId="266DF7B2" w14:textId="77777777" w:rsidR="00AE3B8F" w:rsidRPr="00AE3B8F" w:rsidRDefault="00AE3B8F" w:rsidP="00AE3B8F">
      <w:pPr>
        <w:numPr>
          <w:ilvl w:val="0"/>
          <w:numId w:val="13"/>
        </w:numPr>
      </w:pPr>
      <w:r w:rsidRPr="00AE3B8F">
        <w:rPr>
          <w:b/>
          <w:bCs/>
        </w:rPr>
        <w:t>Accept with Minor Revisions.</w:t>
      </w:r>
    </w:p>
    <w:p w14:paraId="63C42EC5" w14:textId="77777777" w:rsidR="00AE3B8F" w:rsidRPr="00AE3B8F" w:rsidRDefault="00AE3B8F" w:rsidP="00AE3B8F">
      <w:pPr>
        <w:numPr>
          <w:ilvl w:val="0"/>
          <w:numId w:val="13"/>
        </w:numPr>
      </w:pPr>
      <w:r w:rsidRPr="00AE3B8F">
        <w:t>The work is compelling, technically robust, and highly relevant, especially as quantum and AI-driven finance gains traction.</w:t>
      </w:r>
    </w:p>
    <w:p w14:paraId="784323DD" w14:textId="77777777" w:rsidR="00AE3B8F" w:rsidRPr="00AE3B8F" w:rsidRDefault="00AE3B8F" w:rsidP="00AE3B8F">
      <w:pPr>
        <w:numPr>
          <w:ilvl w:val="0"/>
          <w:numId w:val="13"/>
        </w:numPr>
      </w:pPr>
      <w:r w:rsidRPr="00AE3B8F">
        <w:t>Improvements in editorial clarity and deeper integration of visuals and comparisons with existing systems would make this publication even stronger.</w:t>
      </w:r>
    </w:p>
    <w:p w14:paraId="0716C243" w14:textId="77777777" w:rsidR="00AE3B8F" w:rsidRDefault="00AE3B8F"/>
    <w:sectPr w:rsidR="00AE3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54B"/>
    <w:multiLevelType w:val="multilevel"/>
    <w:tmpl w:val="895C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152F"/>
    <w:multiLevelType w:val="multilevel"/>
    <w:tmpl w:val="E0C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0C7A"/>
    <w:multiLevelType w:val="multilevel"/>
    <w:tmpl w:val="9AA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B0226"/>
    <w:multiLevelType w:val="multilevel"/>
    <w:tmpl w:val="47A2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C61AC"/>
    <w:multiLevelType w:val="multilevel"/>
    <w:tmpl w:val="AB2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934F0"/>
    <w:multiLevelType w:val="multilevel"/>
    <w:tmpl w:val="0DB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E463A"/>
    <w:multiLevelType w:val="multilevel"/>
    <w:tmpl w:val="C994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755BD"/>
    <w:multiLevelType w:val="multilevel"/>
    <w:tmpl w:val="E702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15EFE"/>
    <w:multiLevelType w:val="multilevel"/>
    <w:tmpl w:val="1DC6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9250E"/>
    <w:multiLevelType w:val="multilevel"/>
    <w:tmpl w:val="7FB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9524E"/>
    <w:multiLevelType w:val="multilevel"/>
    <w:tmpl w:val="9D5E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02345"/>
    <w:multiLevelType w:val="multilevel"/>
    <w:tmpl w:val="696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93B76"/>
    <w:multiLevelType w:val="multilevel"/>
    <w:tmpl w:val="9FF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568011">
    <w:abstractNumId w:val="1"/>
  </w:num>
  <w:num w:numId="2" w16cid:durableId="1394818903">
    <w:abstractNumId w:val="12"/>
  </w:num>
  <w:num w:numId="3" w16cid:durableId="2007248533">
    <w:abstractNumId w:val="6"/>
  </w:num>
  <w:num w:numId="4" w16cid:durableId="2011058252">
    <w:abstractNumId w:val="10"/>
  </w:num>
  <w:num w:numId="5" w16cid:durableId="1617636495">
    <w:abstractNumId w:val="7"/>
  </w:num>
  <w:num w:numId="6" w16cid:durableId="475611033">
    <w:abstractNumId w:val="8"/>
  </w:num>
  <w:num w:numId="7" w16cid:durableId="448740484">
    <w:abstractNumId w:val="3"/>
  </w:num>
  <w:num w:numId="8" w16cid:durableId="2048020294">
    <w:abstractNumId w:val="11"/>
  </w:num>
  <w:num w:numId="9" w16cid:durableId="1695887370">
    <w:abstractNumId w:val="0"/>
  </w:num>
  <w:num w:numId="10" w16cid:durableId="787162768">
    <w:abstractNumId w:val="4"/>
  </w:num>
  <w:num w:numId="11" w16cid:durableId="1249387712">
    <w:abstractNumId w:val="9"/>
  </w:num>
  <w:num w:numId="12" w16cid:durableId="1751543369">
    <w:abstractNumId w:val="2"/>
  </w:num>
  <w:num w:numId="13" w16cid:durableId="1217930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8F"/>
    <w:rsid w:val="000C6975"/>
    <w:rsid w:val="00195ABF"/>
    <w:rsid w:val="00210C0E"/>
    <w:rsid w:val="002B70B0"/>
    <w:rsid w:val="00464589"/>
    <w:rsid w:val="00900979"/>
    <w:rsid w:val="00AE3B8F"/>
    <w:rsid w:val="00F1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1CA601"/>
  <w15:chartTrackingRefBased/>
  <w15:docId w15:val="{519904A4-8A62-4C42-9E35-C7CBB371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JUAN NAVARRO VERA</dc:creator>
  <cp:keywords/>
  <dc:description/>
  <cp:lastModifiedBy>PEDRO JUAN NAVARRO VERA</cp:lastModifiedBy>
  <cp:revision>6</cp:revision>
  <cp:lastPrinted>2025-04-06T20:54:00Z</cp:lastPrinted>
  <dcterms:created xsi:type="dcterms:W3CDTF">2025-04-06T20:54:00Z</dcterms:created>
  <dcterms:modified xsi:type="dcterms:W3CDTF">2025-11-29T19:30:00Z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784c9664-b169-435a-9b98-16d44abeb3a4</vt:lpwstr>
  </property>
</Properties>
</file>