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22222"/>
          <w:sz w:val="36"/>
        </w:rPr>
        <w:t>Dossiê de Cliente - Aurora Pay</w:t>
      </w:r>
    </w:p>
    <w:p>
      <w:pPr>
        <w:jc w:val="center"/>
      </w:pPr>
      <w:r>
        <w:rPr>
          <w:i/>
          <w:sz w:val="20"/>
        </w:rPr>
        <w:t>Material fictício para simulação controlada em chat - Bootcamp IA Dia 3</w:t>
      </w:r>
    </w:p>
    <w:p>
      <w:r>
        <w:t>Aviso: todos os nomes, números e eventos são fictícios. O objetivo é simular documentos parecidos com materiais reais de trabalho, sem usar dados sensíveis.</w:t>
      </w:r>
    </w:p>
    <w:p>
      <w:pPr>
        <w:pStyle w:val="Heading1"/>
      </w:pPr>
      <w:r>
        <w:t>1. Resumo executivo</w:t>
      </w:r>
    </w:p>
    <w:p>
      <w:r>
        <w:t>A Aurora Pay é uma fintech fictícia que atende pequenos varejistas e usa dashboards semanais de conciliação para acompanhar recebíveis, divergências e previsibilidade de repasses.</w:t>
      </w:r>
    </w:p>
    <w:p>
      <w:r>
        <w:t>O cliente pediu uma reunião objetiva de 30 minutos após duas ocorrências de atraso nos relatórios de segunda-feira e uma divergência média percebida entre exportação CSV e dashboard online.</w:t>
      </w:r>
    </w:p>
    <w:p>
      <w:r>
        <w:t>Bruno Martins precisa preparar a reunião sem prometer causa raiz antes da investigação técnica. A entrega esperada é uma pauta clara, com fatos, hipóteses, dúvidas, responsáveis e próximos passos.</w:t>
      </w:r>
    </w:p>
    <w:p>
      <w:pPr>
        <w:pStyle w:val="Heading1"/>
      </w:pPr>
      <w:r>
        <w:t>2. Pessoas envolvidas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E8E8E8"/>
          </w:tcPr>
          <w:p>
            <w:r/>
            <w:r>
              <w:rPr>
                <w:b/>
                <w:sz w:val="18"/>
              </w:rPr>
              <w:t>Pessoa</w:t>
            </w:r>
          </w:p>
        </w:tc>
        <w:tc>
          <w:tcPr>
            <w:tcW w:type="dxa" w:w="2520"/>
            <w:vAlign w:val="center"/>
            <w:shd w:fill="E8E8E8"/>
          </w:tcPr>
          <w:p>
            <w:r/>
            <w:r>
              <w:rPr>
                <w:b/>
                <w:sz w:val="18"/>
              </w:rPr>
              <w:t>Organização</w:t>
            </w:r>
          </w:p>
        </w:tc>
        <w:tc>
          <w:tcPr>
            <w:tcW w:type="dxa" w:w="2520"/>
            <w:vAlign w:val="center"/>
            <w:shd w:fill="E8E8E8"/>
          </w:tcPr>
          <w:p>
            <w:r/>
            <w:r>
              <w:rPr>
                <w:b/>
                <w:sz w:val="18"/>
              </w:rPr>
              <w:t>Papel</w:t>
            </w:r>
          </w:p>
        </w:tc>
        <w:tc>
          <w:tcPr>
            <w:tcW w:type="dxa" w:w="2520"/>
            <w:vAlign w:val="center"/>
            <w:shd w:fill="E8E8E8"/>
          </w:tcPr>
          <w:p>
            <w:r/>
            <w:r>
              <w:rPr>
                <w:b/>
                <w:sz w:val="18"/>
              </w:rPr>
              <w:t>Interesse na reunião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Renata Lima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Aurora Pay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Gerente de Operações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Plano claro e previsibilidade dos relatórios.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Caio Torres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Aurora Pay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Analista Financeiro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Entender por que exportação e dashboard não batem.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Bruno Martins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Time interno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Analista responsável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Preparar pauta e conduzir reunião sem virar investigação ao vivo.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Marina Alves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Time interno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Responsável técnica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Validar filtros, janela de atualização e exportação.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Sofia Duarte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Time interno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Product Manager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Controlar comunicação e priorização sem prometer causa raiz.</w:t>
            </w:r>
          </w:p>
        </w:tc>
      </w:tr>
    </w:tbl>
    <w:p>
      <w:pPr>
        <w:pStyle w:val="Heading1"/>
      </w:pPr>
      <w:r>
        <w:t>3. Linha do tempo resumida</w:t>
      </w:r>
    </w:p>
    <w:p>
      <w:r>
        <w:rPr>
          <w:b/>
        </w:rPr>
        <w:t xml:space="preserve">2026-04-06 - </w:t>
      </w:r>
      <w:r>
        <w:t>Primeira sinalização de atraso no relatório semanal.</w:t>
      </w:r>
    </w:p>
    <w:p>
      <w:r>
        <w:rPr>
          <w:b/>
        </w:rPr>
        <w:t xml:space="preserve">2026-05-11 - </w:t>
      </w:r>
      <w:r>
        <w:t>Ajuste de filtros no dashboard online para a visão de conciliação.</w:t>
      </w:r>
    </w:p>
    <w:p>
      <w:r>
        <w:rPr>
          <w:b/>
        </w:rPr>
        <w:t xml:space="preserve">2026-06-08 - </w:t>
      </w:r>
      <w:r>
        <w:t>Relatório enviado no horário, mas Caio percebe diferença entre CSV e dashboard.</w:t>
      </w:r>
    </w:p>
    <w:p>
      <w:r>
        <w:rPr>
          <w:b/>
        </w:rPr>
        <w:t xml:space="preserve">2026-06-15 - </w:t>
      </w:r>
      <w:r>
        <w:t>Relatório enviado às 11h40; combinado era até 9h30.</w:t>
      </w:r>
    </w:p>
    <w:p>
      <w:r>
        <w:rPr>
          <w:b/>
        </w:rPr>
        <w:t xml:space="preserve">2026-06-22 - </w:t>
      </w:r>
      <w:r>
        <w:t>Nova amostra mostra diferença concentrada em varejistas com status pendente no dashboard.</w:t>
      </w:r>
    </w:p>
    <w:p>
      <w:pPr>
        <w:pStyle w:val="Heading1"/>
      </w:pPr>
      <w:r>
        <w:t>4. Indicadores fictícios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E8E8E8"/>
          </w:tcPr>
          <w:p>
            <w:r/>
            <w:r>
              <w:rPr>
                <w:b/>
                <w:sz w:val="18"/>
              </w:rPr>
              <w:t>Indicador</w:t>
            </w:r>
          </w:p>
        </w:tc>
        <w:tc>
          <w:tcPr>
            <w:tcW w:type="dxa" w:w="3360"/>
            <w:vAlign w:val="center"/>
            <w:shd w:fill="E8E8E8"/>
          </w:tcPr>
          <w:p>
            <w:r/>
            <w:r>
              <w:rPr>
                <w:b/>
                <w:sz w:val="18"/>
              </w:rPr>
              <w:t>Valor fictício</w:t>
            </w:r>
          </w:p>
        </w:tc>
        <w:tc>
          <w:tcPr>
            <w:tcW w:type="dxa" w:w="3360"/>
            <w:vAlign w:val="center"/>
            <w:shd w:fill="E8E8E8"/>
          </w:tcPr>
          <w:p>
            <w:r/>
            <w:r>
              <w:rPr>
                <w:b/>
                <w:sz w:val="18"/>
              </w:rPr>
              <w:t>Observação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Relatórios atrasados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2 de 4 segundas-feiras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Janela combinada: até 9h30.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Atraso médio nas semanas problemáticas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2h10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Considerar impacto operacional, não SLA jurídico.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Volume analisado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R$ 1.240.000,00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Valor aproximado da visão de conciliação.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Divergência média percebida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R$ 18.450,00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Ainda é hipótese; validar filtros e janela.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Contas na amostra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37 varejistas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Apenas amostra enviada pelo cliente.</w:t>
            </w:r>
          </w:p>
        </w:tc>
      </w:tr>
    </w:tbl>
    <w:p>
      <w:pPr>
        <w:pStyle w:val="Heading1"/>
      </w:pPr>
      <w:r>
        <w:t>5. Restrições para Bruno</w:t>
      </w:r>
    </w:p>
    <w:p>
      <w:pPr>
        <w:pStyle w:val="ListBullet"/>
      </w:pPr>
      <w:r>
        <w:t>A reunião precisa caber em 30 minutos.</w:t>
      </w:r>
    </w:p>
    <w:p>
      <w:pPr>
        <w:pStyle w:val="ListBullet"/>
      </w:pPr>
      <w:r>
        <w:t>Não investigar linha a linha durante a reunião.</w:t>
      </w:r>
    </w:p>
    <w:p>
      <w:pPr>
        <w:pStyle w:val="ListBullet"/>
      </w:pPr>
      <w:r>
        <w:t>Não prometer correção nem causa raiz antes da validação técnica.</w:t>
      </w:r>
    </w:p>
    <w:p>
      <w:pPr>
        <w:pStyle w:val="ListBullet"/>
      </w:pPr>
      <w:r>
        <w:t>Separar fatos confirmados, hipóteses e dúvidas abertas.</w:t>
      </w:r>
    </w:p>
    <w:p>
      <w:pPr>
        <w:pStyle w:val="ListBullet"/>
      </w:pPr>
      <w:r>
        <w:t>Sair com no máximo 3 decisões e 4 próximos passos.</w:t>
      </w:r>
    </w:p>
    <w:p>
      <w:pPr>
        <w:pStyle w:val="Heading1"/>
      </w:pPr>
      <w:r>
        <w:t>6. Resultado esperado da preparação</w:t>
      </w:r>
    </w:p>
    <w:p>
      <w:pPr>
        <w:pStyle w:val="ListBullet"/>
      </w:pPr>
      <w:r>
        <w:t>Resumo executivo para Bruno.</w:t>
      </w:r>
    </w:p>
    <w:p>
      <w:pPr>
        <w:pStyle w:val="ListBullet"/>
      </w:pPr>
      <w:r>
        <w:t>Mini-spec da reunião.</w:t>
      </w:r>
    </w:p>
    <w:p>
      <w:pPr>
        <w:pStyle w:val="ListBullet"/>
      </w:pPr>
      <w:r>
        <w:t>Pauta de 30 minutos.</w:t>
      </w:r>
    </w:p>
    <w:p>
      <w:pPr>
        <w:pStyle w:val="ListBullet"/>
      </w:pPr>
      <w:r>
        <w:t>Perguntas-chave para Renata e Caio.</w:t>
      </w:r>
    </w:p>
    <w:p>
      <w:pPr>
        <w:pStyle w:val="ListBullet"/>
      </w:pPr>
      <w:r>
        <w:t>Riscos de comunicação.</w:t>
      </w:r>
    </w:p>
    <w:p>
      <w:pPr>
        <w:pStyle w:val="ListBullet"/>
      </w:pPr>
      <w:r>
        <w:t>Template de resumo pós-reunião.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