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Nome: Pedro Augusto, Thalez Zarzar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Turma: 3111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Carlos, Marly e Márcia possuem o restaurante e lanchonete Sabor do Rio LTDA., e necessitam da automatização do mesmo.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loja é um restaurante, pois sua principal renda são as refeições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à la carte</w:t>
      </w:r>
      <w:r w:rsidDel="00000000" w:rsidR="00000000" w:rsidRPr="00000000">
        <w:rPr>
          <w:sz w:val="24"/>
          <w:szCs w:val="24"/>
          <w:rtl w:val="0"/>
        </w:rPr>
        <w:t xml:space="preserve">, mas também uma lanchonete, pois vende-se, também, produtos industrializados, de forma geral.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É feito um controle mensal do consumo dos clientes que frequentam a loja. Os clientes devem pagar o que foi consumido, durante o primeiro e último dia do mês, e anotado em seus nomes, até o décimo dia do mês seguinte. Se não for efetuado o pagamento, é acrescido juros simples de 5% a cada 10 dias além do prazo, até um limite de 15% de juros, ao valor total dos consumos não pagos. Ainda, muitos clientes que frequentam vêm de empresas das proximidades, e alguns são bancados por suas empresas, o que torna importante possuir uma forma de contato com as empresas de cada cliente, as quais se mantêm contrato.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Há dificuldades no controle dos pedidos de cada mesa e no momento de efetuar o pagamento ou registro do consumo de cada cliente, pois trata-se de ações que têm de ser feitas rapidamente nos horários de pico.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Após registrar um pedido, deve ser enviado para a cozinha se é ocupação de mesa ou entrega em domicílio, e deve ser possível enviar comentário, caso o cliente especifique sua refeição (pouca/muita comida, etc.).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Ao terminar o consumo, o cliente deve apresentar-se ao balconista para realizar o pagamento ou o registro do que foi consumido. Tendo em vista que alguns grupos de clientes optam por dividir alguns produtos, sendo dividido também o preço entre eles.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As mesas são numeradas de 1 a 10, mas não é um número fixo de mesas, pois pode ser ampliado, e possuem, no mínimo, 2 assentos.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cardápio funciona com dois tipos de refeições: os pratos do dia (estão disponíveis para pedido somente naquele dia) e as opções fixas (podem ser pedidas todos os dias). Porções adicionais de comida são acrescidas de R$2,50 ao valor da refeição.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 loja oferece um sistema de fidelidade para os clientes: cada refeição é marcada em um cartão único (não é permitido somar marcações) e a cada 10 refeições, a 11ª é gratuita, sendo pago somente a diferença do prato do dia, caso seja as opções fixas de cardápio. Por exemplo: o cliente pediu uma opção fixa (R$18,00) como 11ª refeição. Ele pagará R$6,00, pois: ‘preço do prato fixo’ – ‘prato do dia’ = ‘preço a ser pago’ (R$18,00 – R$12,00 = R$6,00).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 fins estatísticos, é necessário saber os produtos e refeições mais e menos vendidos.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LISTA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01 – Realizar pagamentos de período mensal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02 – Acrescentar juros a pagamentos de período mensal não pagos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03 – Manter clientes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04 – Manter empresas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05 – Manter produtos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06 – Manter pedidos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07 – Realizar pagamentos sem registros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08 – Registrar pedidos para pagamentos de período mensal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09 – Manter cardápio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10 – Acrescentar porções a refeição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11 – Registrar refeição no sistema de fidelidade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12 – Oferecer desconto de fidelidade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l73v05l0x95j" w:id="0"/>
      <w:bookmarkEnd w:id="0"/>
      <w:r w:rsidDel="00000000" w:rsidR="00000000" w:rsidRPr="00000000">
        <w:rPr>
          <w:sz w:val="24"/>
          <w:szCs w:val="24"/>
          <w:rtl w:val="0"/>
        </w:rPr>
        <w:t xml:space="preserve">13 – Manter mesas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6mxmx2u3n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v2qayfnwhxvx" w:id="2"/>
      <w:bookmarkEnd w:id="2"/>
      <w:r w:rsidDel="00000000" w:rsidR="00000000" w:rsidRPr="00000000">
        <w:rPr>
          <w:sz w:val="36"/>
          <w:szCs w:val="36"/>
          <w:rtl w:val="0"/>
        </w:rPr>
        <w:t xml:space="preserve">DIAGRAMA DE CASO DE USO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uqg37m8ddn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i7i2p720ua75" w:id="4"/>
      <w:bookmarkEnd w:id="4"/>
      <w:r w:rsidDel="00000000" w:rsidR="00000000" w:rsidRPr="00000000">
        <w:drawing>
          <wp:inline distB="114300" distT="114300" distL="114300" distR="114300">
            <wp:extent cx="5400675" cy="4048442"/>
            <wp:effectExtent b="0" l="0" r="0" t="0"/>
            <wp:docPr descr="Diagrama1.png" id="1" name="image01.png"/>
            <a:graphic>
              <a:graphicData uri="http://schemas.openxmlformats.org/drawingml/2006/picture">
                <pic:pic>
                  <pic:nvPicPr>
                    <pic:cNvPr descr="Diagrama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6zhxi3qfpe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a568wuqg34og" w:id="6"/>
      <w:bookmarkEnd w:id="6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