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3C33F" w14:textId="77777777" w:rsidR="00F2301E" w:rsidRDefault="00000000">
      <w:pPr>
        <w:pStyle w:val="Heading1"/>
        <w:jc w:val="center"/>
        <w:rPr>
          <w:rFonts w:ascii="Google Sans" w:eastAsia="Google Sans" w:hAnsi="Google Sans" w:cs="Google Sans"/>
        </w:rPr>
      </w:pPr>
      <w:bookmarkStart w:id="0" w:name="_evidx83t54sc" w:colFirst="0" w:colLast="0"/>
      <w:bookmarkEnd w:id="0"/>
      <w:proofErr w:type="spellStart"/>
      <w:r>
        <w:rPr>
          <w:rFonts w:ascii="Google Sans" w:eastAsia="Google Sans" w:hAnsi="Google Sans" w:cs="Google Sans"/>
        </w:rPr>
        <w:t>Botium</w:t>
      </w:r>
      <w:proofErr w:type="spellEnd"/>
      <w:r>
        <w:rPr>
          <w:rFonts w:ascii="Google Sans" w:eastAsia="Google Sans" w:hAnsi="Google Sans" w:cs="Google Sans"/>
        </w:rPr>
        <w:t xml:space="preserve"> Toys: Scope, goals, and risk assessment report</w:t>
      </w:r>
    </w:p>
    <w:p w14:paraId="3FB5F418" w14:textId="77777777" w:rsidR="00F2301E"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604794F8" wp14:editId="352AE11C">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42621D01" w14:textId="77777777" w:rsidR="00F2301E" w:rsidRDefault="00000000">
      <w:pPr>
        <w:pStyle w:val="Heading2"/>
        <w:rPr>
          <w:rFonts w:ascii="Google Sans" w:eastAsia="Google Sans" w:hAnsi="Google Sans" w:cs="Google Sans"/>
          <w:b/>
          <w:color w:val="000000"/>
          <w:sz w:val="24"/>
          <w:szCs w:val="24"/>
        </w:rPr>
      </w:pPr>
      <w:bookmarkStart w:id="1" w:name="_kc2jqdd8nifa" w:colFirst="0" w:colLast="0"/>
      <w:bookmarkEnd w:id="1"/>
      <w:r>
        <w:rPr>
          <w:rFonts w:ascii="Google Sans" w:eastAsia="Google Sans" w:hAnsi="Google Sans" w:cs="Google Sans"/>
        </w:rPr>
        <w:t>Scope and goals of the audit</w:t>
      </w:r>
    </w:p>
    <w:p w14:paraId="48FF7DF6" w14:textId="77777777" w:rsidR="00F2301E" w:rsidRDefault="00000000">
      <w:pPr>
        <w:pStyle w:val="Subtitle"/>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 xml:space="preserve">The scope is defined as the entire security program at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This means all assets need to be assessed alongside internal processes and procedures related to the implementation of controls and compliance best practices.</w:t>
      </w:r>
    </w:p>
    <w:p w14:paraId="0C9034F7" w14:textId="77777777" w:rsidR="00F2301E" w:rsidRDefault="00000000">
      <w:pPr>
        <w:pStyle w:val="Subtitle"/>
        <w:rPr>
          <w:rFonts w:ascii="Google Sans" w:eastAsia="Google Sans" w:hAnsi="Google Sans" w:cs="Google Sans"/>
          <w:color w:val="000000"/>
        </w:rPr>
      </w:pPr>
      <w:bookmarkStart w:id="3" w:name="_17mak1awllyh"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need to be implemented to  improve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security posture.</w:t>
      </w:r>
    </w:p>
    <w:p w14:paraId="134C9F1B" w14:textId="77777777" w:rsidR="00F2301E" w:rsidRDefault="00000000">
      <w:pPr>
        <w:pStyle w:val="Heading2"/>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14:paraId="7D808B33" w14:textId="77777777" w:rsidR="00F2301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47690CCD" w14:textId="77777777" w:rsidR="00F2301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241CF642" w14:textId="77777777" w:rsidR="00F2301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061FF708" w14:textId="77777777" w:rsidR="00F2301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Storefront products available for retail sale on site and online; stored in the company’s adjoining warehouse</w:t>
      </w:r>
    </w:p>
    <w:p w14:paraId="1354921A" w14:textId="77777777" w:rsidR="00F2301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2E7598A8" w14:textId="77777777" w:rsidR="00F2301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706E3B1F" w14:textId="77777777" w:rsidR="00F2301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4FDF0926" w14:textId="77777777" w:rsidR="00F2301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3A6EDE6E" w14:textId="77777777" w:rsidR="00F2301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14:paraId="4A5803D1" w14:textId="77777777" w:rsidR="00F2301E" w:rsidRDefault="00000000">
      <w:pPr>
        <w:pStyle w:val="Heading2"/>
        <w:rPr>
          <w:rFonts w:ascii="Google Sans" w:eastAsia="Google Sans" w:hAnsi="Google Sans" w:cs="Google Sans"/>
        </w:rPr>
      </w:pPr>
      <w:bookmarkStart w:id="5" w:name="_5i80k6dm51vy" w:colFirst="0" w:colLast="0"/>
      <w:bookmarkEnd w:id="5"/>
      <w:r>
        <w:rPr>
          <w:rFonts w:ascii="Google Sans" w:eastAsia="Google Sans" w:hAnsi="Google Sans" w:cs="Google Sans"/>
        </w:rPr>
        <w:lastRenderedPageBreak/>
        <w:t>Risk assessment</w:t>
      </w:r>
    </w:p>
    <w:p w14:paraId="2D974B4F" w14:textId="77777777" w:rsidR="00F2301E" w:rsidRDefault="00000000">
      <w:pPr>
        <w:pStyle w:val="Heading3"/>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14:paraId="2030DC22" w14:textId="77777777" w:rsidR="00F2301E" w:rsidRDefault="00000000">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proper controls in place and may not be fully compliant with U.S. and international regulations and standards.</w:t>
      </w:r>
      <w:r>
        <w:rPr>
          <w:rFonts w:ascii="Google Sans" w:eastAsia="Google Sans" w:hAnsi="Google Sans" w:cs="Google Sans"/>
        </w:rPr>
        <w:t xml:space="preserve"> </w:t>
      </w:r>
    </w:p>
    <w:p w14:paraId="0D79D44E" w14:textId="77777777" w:rsidR="00F2301E" w:rsidRDefault="00000000">
      <w:pPr>
        <w:pStyle w:val="Heading3"/>
        <w:rPr>
          <w:rFonts w:ascii="Google Sans" w:eastAsia="Google Sans" w:hAnsi="Google Sans" w:cs="Google Sans"/>
        </w:rPr>
      </w:pPr>
      <w:bookmarkStart w:id="7" w:name="_pepjp18yvpjs" w:colFirst="0" w:colLast="0"/>
      <w:bookmarkEnd w:id="7"/>
      <w:r>
        <w:rPr>
          <w:rFonts w:ascii="Google Sans" w:eastAsia="Google Sans" w:hAnsi="Google Sans" w:cs="Google Sans"/>
        </w:rPr>
        <w:t>Control best practices</w:t>
      </w:r>
    </w:p>
    <w:p w14:paraId="15D2608C" w14:textId="77777777" w:rsidR="00F2301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w:t>
      </w:r>
      <w:proofErr w:type="gramStart"/>
      <w:r>
        <w:rPr>
          <w:rFonts w:ascii="Google Sans" w:eastAsia="Google Sans" w:hAnsi="Google Sans" w:cs="Google Sans"/>
          <w:sz w:val="24"/>
          <w:szCs w:val="24"/>
        </w:rPr>
        <w:t>is</w:t>
      </w:r>
      <w:proofErr w:type="gramEnd"/>
      <w:r>
        <w:rPr>
          <w:rFonts w:ascii="Google Sans" w:eastAsia="Google Sans" w:hAnsi="Google Sans" w:cs="Google Sans"/>
          <w:sz w:val="24"/>
          <w:szCs w:val="24"/>
        </w:rPr>
        <w:t xml:space="preserve"> Identify.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identify assets so they can appropriately manage them. Additionally, they will need to classify existing assets and determine the impact of the loss of existing assets, including systems, on business continuity.</w:t>
      </w:r>
    </w:p>
    <w:p w14:paraId="42CE94C7" w14:textId="77777777" w:rsidR="00F2301E" w:rsidRDefault="00000000">
      <w:pPr>
        <w:pStyle w:val="Heading3"/>
        <w:rPr>
          <w:rFonts w:ascii="Google Sans" w:eastAsia="Google Sans" w:hAnsi="Google Sans" w:cs="Google Sans"/>
        </w:rPr>
      </w:pPr>
      <w:bookmarkStart w:id="8" w:name="_ghnlzhum2uiy" w:colFirst="0" w:colLast="0"/>
      <w:bookmarkEnd w:id="8"/>
      <w:r>
        <w:rPr>
          <w:rFonts w:ascii="Google Sans" w:eastAsia="Google Sans" w:hAnsi="Google Sans" w:cs="Google Sans"/>
        </w:rPr>
        <w:t>Risk score</w:t>
      </w:r>
    </w:p>
    <w:p w14:paraId="0A2E7FCC" w14:textId="77777777" w:rsidR="00F2301E" w:rsidRDefault="00000000">
      <w:pPr>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 of controls and adherence to compliance best practices.</w:t>
      </w:r>
    </w:p>
    <w:p w14:paraId="34E95EFF" w14:textId="77777777" w:rsidR="00F2301E" w:rsidRDefault="00000000">
      <w:pPr>
        <w:pStyle w:val="Heading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14:paraId="77EE24B7" w14:textId="77777777" w:rsidR="00F2301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potential impact from the loss of an asset is rated as medium, because the IT department does not know which assets would be at risk. The risk to assets or fines from governing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necessary controls in place and is not fully adhering to best practices related to compliance regulations that keep critical data private/secure. Review the following bullet points for specific details:</w:t>
      </w:r>
    </w:p>
    <w:p w14:paraId="060376A5" w14:textId="77777777" w:rsidR="00F2301E" w:rsidRDefault="00F2301E">
      <w:pPr>
        <w:rPr>
          <w:rFonts w:ascii="Google Sans" w:eastAsia="Google Sans" w:hAnsi="Google Sans" w:cs="Google Sans"/>
          <w:sz w:val="24"/>
          <w:szCs w:val="24"/>
          <w:highlight w:val="yellow"/>
        </w:rPr>
      </w:pPr>
    </w:p>
    <w:p w14:paraId="4DEB5CA6" w14:textId="77777777" w:rsidR="00F2301E"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all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employees have access to internally stored data and may be able to access cardholder data and customers’ PII/SPII.</w:t>
      </w:r>
    </w:p>
    <w:p w14:paraId="594E3BCC" w14:textId="77777777" w:rsidR="00F2301E"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14:paraId="2958E5BD" w14:textId="77777777" w:rsidR="00F2301E"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controls pertaining to least privilege and separation of duties have not been implemented.</w:t>
      </w:r>
    </w:p>
    <w:p w14:paraId="52725B53" w14:textId="77777777" w:rsidR="00F2301E"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14:paraId="08266CED" w14:textId="77777777" w:rsidR="00F2301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14:paraId="452D778B" w14:textId="77777777" w:rsidR="00F2301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Antivirus software is installed and monitored regularly by the IT department. </w:t>
      </w:r>
    </w:p>
    <w:p w14:paraId="7C4FF937" w14:textId="77777777" w:rsidR="00F2301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IT department has not installed an intrusion detection system (IDS).</w:t>
      </w:r>
    </w:p>
    <w:p w14:paraId="2318BE80" w14:textId="77777777" w:rsidR="00F2301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14:paraId="0750F05F" w14:textId="77777777" w:rsidR="00F2301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47222502" w14:textId="77777777" w:rsidR="00F2301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14:paraId="03F295EC" w14:textId="77777777" w:rsidR="00F2301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14:paraId="0C6E2A32" w14:textId="77777777" w:rsidR="00F2301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While legacy systems are monitored and maintained, there is no regular schedule in place for these tasks and intervention methods are unclear.</w:t>
      </w:r>
    </w:p>
    <w:p w14:paraId="79558120" w14:textId="77777777" w:rsidR="00F2301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store’s physical location, which includes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main offices, store front, and warehouse of products, has sufficient locks, up-to-date closed-circuit television (CCTV) surveillance, as well as functioning fire detection and prevention systems.</w:t>
      </w:r>
    </w:p>
    <w:sectPr w:rsidR="00F2301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3B278" w14:textId="77777777" w:rsidR="00120666" w:rsidRDefault="00120666">
      <w:pPr>
        <w:spacing w:line="240" w:lineRule="auto"/>
      </w:pPr>
      <w:r>
        <w:separator/>
      </w:r>
    </w:p>
  </w:endnote>
  <w:endnote w:type="continuationSeparator" w:id="0">
    <w:p w14:paraId="483E57C6" w14:textId="77777777" w:rsidR="00120666" w:rsidRDefault="00120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D1698" w14:textId="77777777" w:rsidR="00120666" w:rsidRDefault="00120666">
      <w:pPr>
        <w:spacing w:line="240" w:lineRule="auto"/>
      </w:pPr>
      <w:r>
        <w:separator/>
      </w:r>
    </w:p>
  </w:footnote>
  <w:footnote w:type="continuationSeparator" w:id="0">
    <w:p w14:paraId="19623AAA" w14:textId="77777777" w:rsidR="00120666" w:rsidRDefault="001206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93C1D" w14:textId="77777777" w:rsidR="00F2301E" w:rsidRDefault="00F230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079EB"/>
    <w:multiLevelType w:val="multilevel"/>
    <w:tmpl w:val="FC1E8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202F27"/>
    <w:multiLevelType w:val="multilevel"/>
    <w:tmpl w:val="3F04DDB4"/>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8755069">
    <w:abstractNumId w:val="0"/>
  </w:num>
  <w:num w:numId="2" w16cid:durableId="712116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01E"/>
    <w:rsid w:val="00120666"/>
    <w:rsid w:val="00684DC5"/>
    <w:rsid w:val="00F2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CA25"/>
  <w15:docId w15:val="{75F00AF3-B16C-44B6-88C9-051432F5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Osorio Lopez, Pedro</cp:lastModifiedBy>
  <cp:revision>2</cp:revision>
  <dcterms:created xsi:type="dcterms:W3CDTF">2023-09-29T16:54:00Z</dcterms:created>
  <dcterms:modified xsi:type="dcterms:W3CDTF">2023-09-29T16:54:00Z</dcterms:modified>
</cp:coreProperties>
</file>