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2"/>
          <w:szCs w:val="42"/>
        </w:rPr>
        <w:t xml:space="preserve">Censo Demográfico 2022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Domicílios · Faixa etária · Raça e cor · Alfabetização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Agosto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mostra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Este documento acompanha um mapa interativo que apresenta os dados do Censo Demográfico 2022 na menor unidade territorial divulgada pelo IBGE: o setor censitário. Bragança Paulista tem 449 setores, que funcionam como um retrato de altíssima resolução da população.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visualizador permite alternar entre quatro grupos de variáveis, selecionáveis no cabeçalho.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7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Variáveis disponíveis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7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Bairros, em visualização categórica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Domicílios</w:t>
            </w:r>
          </w:p>
        </w:tc>
        <w:tc>
          <w:tcPr>
            <w:tcW w:type="dxa" w:w="7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Domicílios particulares permanentes ocupados, espécie casa, espécie apartamento e total de moradores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Faixa etária</w:t>
            </w:r>
          </w:p>
        </w:tc>
        <w:tc>
          <w:tcPr>
            <w:tcW w:type="dxa" w:w="7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Percentual de crianças de 0 a 9 anos, jovens de 10 a 24, adultos de 25 a 59, idosos de 60 ou mais, e índice de envelhecimento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Raça e cor</w:t>
            </w:r>
          </w:p>
        </w:tc>
        <w:tc>
          <w:tcPr>
            <w:tcW w:type="dxa" w:w="7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Percentual de população branca, preta, parda, e a soma de pretos e pardos</w:t>
            </w:r>
          </w:p>
        </w:tc>
      </w:tr>
      <w:tr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Alfabetização</w:t>
            </w:r>
          </w:p>
        </w:tc>
        <w:tc>
          <w:tcPr>
            <w:tcW w:type="dxa" w:w="7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Taxa de alfabetização da população de 15 anos ou mais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1.1 Como ler o mapa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Sete classes por quantil. </w:t>
      </w:r>
      <w:r>
        <w:rPr>
          <w:rFonts w:ascii="Calibri" w:cs="Calibri" w:eastAsia="Calibri" w:hAnsi="Calibri"/>
          <w:sz w:val="19"/>
          <w:szCs w:val="19"/>
        </w:rPr>
        <w:t xml:space="preserve">Cada classe reúne aproximadamente o mesmo número de setores, o que evidencia as diferenças internas mesmo quando os valores são próximos. As faixas são recalculadas a cada troca de variável.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Legenda em degraus. </w:t>
      </w:r>
      <w:r>
        <w:rPr>
          <w:rFonts w:ascii="Calibri" w:cs="Calibri" w:eastAsia="Calibri" w:hAnsi="Calibri"/>
          <w:sz w:val="19"/>
          <w:szCs w:val="19"/>
        </w:rPr>
        <w:t xml:space="preserve">A barra colorida reflete as sete classes discretas do mapa, e abaixo dela vêm os intervalos de cada faixa.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Popup por setor. </w:t>
      </w:r>
      <w:r>
        <w:rPr>
          <w:rFonts w:ascii="Calibri" w:cs="Calibri" w:eastAsia="Calibri" w:hAnsi="Calibri"/>
          <w:sz w:val="19"/>
          <w:szCs w:val="19"/>
        </w:rPr>
        <w:t xml:space="preserve">O clique abre um cartão com pirâmide etária, composição racial, alfabetização e comparação com a média municipal.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Busca de endereço. </w:t>
      </w:r>
      <w:r>
        <w:rPr>
          <w:rFonts w:ascii="Calibri" w:cs="Calibri" w:eastAsia="Calibri" w:hAnsi="Calibri"/>
          <w:sz w:val="19"/>
          <w:szCs w:val="19"/>
        </w:rPr>
        <w:t xml:space="preserve">O campo sobre o mapa localiza endereços e leva ao setor correspondente.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 sobre setores sem dado. </w:t>
      </w:r>
      <w:r>
        <w:rPr>
          <w:rFonts w:ascii="Calibri" w:cs="Calibri" w:eastAsia="Calibri" w:hAnsi="Calibri"/>
          <w:sz w:val="20"/>
          <w:szCs w:val="20"/>
        </w:rPr>
        <w:t xml:space="preserve">Alguns setores aparecem em cinza. São setores sem domicílios particulares ocupados — áreas industriais, institucionais ou de ocupação rarefeita — ou com dados suprimidos pelo IBGE por sigilo estatístico, quando o número de domicílios é pequeno demais para publicação.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Fontes e método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4400"/>
        <w:gridCol w:w="27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fornece</w:t>
            </w:r>
          </w:p>
        </w:tc>
        <w:tc>
          <w:tcPr>
            <w:tcW w:type="dxa" w:w="2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Referência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Censo Demográfico</w:t>
            </w:r>
          </w:p>
        </w:tc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Agregados por setores censitários: domicílios, moradores, idade, raça e cor, alfabetização e renda do responsável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Malha de Setores</w:t>
            </w:r>
          </w:p>
        </w:tc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Geometria dos 449 setores, situação urbana ou rural e vínculo a bairro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Faces de Logradouro</w:t>
            </w:r>
          </w:p>
        </w:tc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Segmentos de face de quadra com faixas de numeração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2022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2.1 Como os indicadores foram construídos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Os percentuais não vêm prontos do IBGE: são calculados a partir das variáveis absolutas. A tabela registra a composição de cada um, para que os números sejam reproduzíveis.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3200"/>
        <w:gridCol w:w="39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Composição</w:t>
            </w:r>
          </w:p>
        </w:tc>
        <w:tc>
          <w:tcPr>
            <w:tcW w:type="dxa" w:w="3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Denominador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Crianças 0–9 anos</w:t>
            </w:r>
          </w:p>
        </w:tc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V01031 + V01032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Total de moradores (V01006)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Jovens 10–24 anos</w:t>
            </w:r>
          </w:p>
        </w:tc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V01033 + V01034 + V01035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Total de moradores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Adultos 25–59 anos</w:t>
            </w:r>
          </w:p>
        </w:tc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V01036 a V01039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Total de moradores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Idosos 60+</w:t>
            </w:r>
          </w:p>
        </w:tc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V01040 + V01041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Total de moradores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Índice de envelhecimento</w:t>
            </w:r>
          </w:p>
        </w:tc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Idosos 60+ ÷ crianças 0–9 × 100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Raça e cor</w:t>
            </w:r>
          </w:p>
        </w:tc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V01317 branca, V01318 preta, V01319 amarela, V01320 parda, V01321 indígena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Soma dos cinco grupos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Alfabetização 15+</w:t>
            </w:r>
          </w:p>
        </w:tc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V00852 + V00854 + V00856</w:t>
            </w:r>
          </w:p>
        </w:tc>
        <w:tc>
          <w:tcPr>
            <w:tcW w:type="dxa" w:w="3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Alfabetizados + V00853 + V00855 + V00857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Atenção a um detalhe que gera erro frequente: </w:t>
      </w:r>
      <w:r>
        <w:rPr>
          <w:rFonts w:ascii="Calibri" w:cs="Calibri" w:eastAsia="Calibri" w:hAnsi="Calibri"/>
          <w:sz w:val="20"/>
          <w:szCs w:val="20"/>
        </w:rPr>
        <w:t xml:space="preserve">as variáveis V01007 e V01008 não são faixas etárias, e sim o total de homens e de mulheres. As faixas por idade em ambos os sexos estão em V01031 a V01041; V01009 a V01019 referem-se apenas a homens e V01020 a V01030 apenas a mulheres.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Retrato municipal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5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 residente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176.453 habitantes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Domicílios particulares permanentes ocupados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63.424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Média de moradores por domicílio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2,78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Setores censitários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449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Bairros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Área do município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512,6 km²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 urbana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164.063 (93,0%)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 rural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12.390 (7,0%)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 na área urbana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1.629 hab/km²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 na área rural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30,6 hab/km²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concentração urbana é acentuada: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93,0% da população</w:t>
      </w:r>
      <w:r>
        <w:rPr>
          <w:rFonts w:ascii="Calibri" w:cs="Calibri" w:eastAsia="Calibri" w:hAnsi="Calibri"/>
          <w:sz w:val="20"/>
          <w:szCs w:val="20"/>
        </w:rPr>
        <w:t xml:space="preserve"> vive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100,7 km²</w:t>
      </w:r>
      <w:r>
        <w:rPr>
          <w:rFonts w:ascii="Calibri" w:cs="Calibri" w:eastAsia="Calibri" w:hAnsi="Calibri"/>
          <w:sz w:val="20"/>
          <w:szCs w:val="20"/>
        </w:rPr>
        <w:t xml:space="preserve">, ou seja, menos de um quinto do território municipal. A densidade urbana 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53 vezes maior</w:t>
      </w:r>
      <w:r>
        <w:rPr>
          <w:rFonts w:ascii="Calibri" w:cs="Calibri" w:eastAsia="Calibri" w:hAnsi="Calibri"/>
          <w:sz w:val="20"/>
          <w:szCs w:val="20"/>
        </w:rPr>
        <w:t xml:space="preserve"> que a rural.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Domicílios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2600"/>
        <w:gridCol w:w="27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Espécie</w:t>
            </w:r>
          </w:p>
        </w:tc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Domicílios</w:t>
            </w:r>
          </w:p>
        </w:tc>
        <w:tc>
          <w:tcPr>
            <w:tcW w:type="dxa" w:w="2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Participação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Casa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52.506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82,8%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Apartamento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8.484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13,4%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63.424</w:t>
            </w:r>
          </w:p>
        </w:tc>
        <w:tc>
          <w:tcPr>
            <w:tcW w:type="dxa" w:w="2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100,0%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cidade é predominantemente horizontal: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82,8% dos domicílios são casas</w:t>
      </w:r>
      <w:r>
        <w:rPr>
          <w:rFonts w:ascii="Calibri" w:cs="Calibri" w:eastAsia="Calibri" w:hAnsi="Calibri"/>
          <w:sz w:val="20"/>
          <w:szCs w:val="20"/>
        </w:rPr>
        <w:t xml:space="preserve"> e apenas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13,4%</w:t>
      </w:r>
      <w:r>
        <w:rPr>
          <w:rFonts w:ascii="Calibri" w:cs="Calibri" w:eastAsia="Calibri" w:hAnsi="Calibri"/>
          <w:sz w:val="20"/>
          <w:szCs w:val="20"/>
        </w:rPr>
        <w:t xml:space="preserve"> são apartamentos. Esse padrão tem consequência direta sobre consumo de solo, extensão de redes e custo de atendimento — temas que serão retomados nos mapas de infraestrutura e de vazios urbanos.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Diagnóstico por tema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Estrutura etária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2200"/>
        <w:gridCol w:w="2200"/>
        <w:gridCol w:w="19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Participação</w:t>
            </w:r>
          </w:p>
        </w:tc>
        <w:tc>
          <w:tcPr>
            <w:tcW w:type="dxa" w:w="1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Crianças (0–9 anos)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20.176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11,4%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Base estreita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Jovens (10–24 anos)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34.142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19,3%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Adultos (25–59 anos)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91.206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51,7%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Maioria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Idosos (60 anos ou mais)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30.751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17,4%</w:t>
            </w:r>
          </w:p>
        </w:tc>
        <w:tc>
          <w:tcPr>
            <w:tcW w:type="dxa" w:w="1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Topo largo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índice de envelhecimento municipal 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152,4</w:t>
      </w:r>
      <w:r>
        <w:rPr>
          <w:rFonts w:ascii="Calibri" w:cs="Calibri" w:eastAsia="Calibri" w:hAnsi="Calibri"/>
          <w:sz w:val="20"/>
          <w:szCs w:val="20"/>
        </w:rPr>
        <w:t xml:space="preserve"> — há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152 idosos para cada 100 crianças</w:t>
      </w:r>
      <w:r>
        <w:rPr>
          <w:rFonts w:ascii="Calibri" w:cs="Calibri" w:eastAsia="Calibri" w:hAnsi="Calibri"/>
          <w:sz w:val="20"/>
          <w:szCs w:val="20"/>
        </w:rPr>
        <w:t xml:space="preserve"> de 0 a 9 anos. É uma população que já ultrapassou o ponto de inversão da pirâmide.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Bairros com maior proporção de idosos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800"/>
        <w:gridCol w:w="1900"/>
        <w:gridCol w:w="30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Idosos 60+</w:t>
            </w:r>
          </w:p>
        </w:tc>
        <w:tc>
          <w:tcPr>
            <w:tcW w:type="dxa" w:w="3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Índice de envelhecimento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4.569</w:t>
            </w:r>
          </w:p>
        </w:tc>
        <w:tc>
          <w:tcPr>
            <w:tcW w:type="dxa" w:w="19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30,5%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437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América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1.863</w:t>
            </w:r>
          </w:p>
        </w:tc>
        <w:tc>
          <w:tcPr>
            <w:tcW w:type="dxa" w:w="19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29,3%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373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Palmeiras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943</w:t>
            </w:r>
          </w:p>
        </w:tc>
        <w:tc>
          <w:tcPr>
            <w:tcW w:type="dxa" w:w="19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28,2%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296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Luzia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8.287</w:t>
            </w:r>
          </w:p>
        </w:tc>
        <w:tc>
          <w:tcPr>
            <w:tcW w:type="dxa" w:w="19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25,5%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287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Matadouro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6.976</w:t>
            </w:r>
          </w:p>
        </w:tc>
        <w:tc>
          <w:tcPr>
            <w:tcW w:type="dxa" w:w="19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25,4%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326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Aparecida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8.192</w:t>
            </w:r>
          </w:p>
        </w:tc>
        <w:tc>
          <w:tcPr>
            <w:tcW w:type="dxa" w:w="19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25,2%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306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Lavapés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6.513</w:t>
            </w:r>
          </w:p>
        </w:tc>
        <w:tc>
          <w:tcPr>
            <w:tcW w:type="dxa" w:w="19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24,5%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271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Estiva do Agudo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1900"/>
            <w:shd w:fill="FBE9DC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22,8%</w:t>
            </w:r>
          </w:p>
        </w:tc>
        <w:tc>
          <w:tcPr>
            <w:tcW w:type="dxa" w:w="3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215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contraste interno é expressivo. Entre setores com ao menos 100 moradores, a proporção de idosos vai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3,0%</w:t>
      </w:r>
      <w:r>
        <w:rPr>
          <w:rFonts w:ascii="Calibri" w:cs="Calibri" w:eastAsia="Calibri" w:hAnsi="Calibri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54,8%</w:t>
      </w:r>
      <w:r>
        <w:rPr>
          <w:rFonts w:ascii="Calibri" w:cs="Calibri" w:eastAsia="Calibri" w:hAnsi="Calibri"/>
          <w:sz w:val="20"/>
          <w:szCs w:val="20"/>
        </w:rPr>
        <w:t xml:space="preserve">, com mediana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17,2%</w:t>
      </w:r>
      <w:r>
        <w:rPr>
          <w:rFonts w:ascii="Calibri" w:cs="Calibri" w:eastAsia="Calibri" w:hAnsi="Calibri"/>
          <w:sz w:val="20"/>
          <w:szCs w:val="20"/>
        </w:rPr>
        <w:t xml:space="preserve">. O Centro concentra a maior proporção, padrão típico de área consolidada que envelheceu junto com seus moradores.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Bairros com maior proporção de crianças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2400"/>
        <w:gridCol w:w="37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3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Crianças 0–9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Caeté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960</w:t>
            </w:r>
          </w:p>
        </w:tc>
        <w:tc>
          <w:tcPr>
            <w:tcW w:type="dxa" w:w="3746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17,1%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Uberaba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1.565</w:t>
            </w:r>
          </w:p>
        </w:tc>
        <w:tc>
          <w:tcPr>
            <w:tcW w:type="dxa" w:w="3746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16,1%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Helena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943</w:t>
            </w:r>
          </w:p>
        </w:tc>
        <w:tc>
          <w:tcPr>
            <w:tcW w:type="dxa" w:w="3746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16,0%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Santana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1.519</w:t>
            </w:r>
          </w:p>
        </w:tc>
        <w:tc>
          <w:tcPr>
            <w:tcW w:type="dxa" w:w="3746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15,5%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Guaripocaba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1.793</w:t>
            </w:r>
          </w:p>
        </w:tc>
        <w:tc>
          <w:tcPr>
            <w:tcW w:type="dxa" w:w="3746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15,1%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Biriçá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754</w:t>
            </w:r>
          </w:p>
        </w:tc>
        <w:tc>
          <w:tcPr>
            <w:tcW w:type="dxa" w:w="3746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14,7%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Rosa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1.672</w:t>
            </w:r>
          </w:p>
        </w:tc>
        <w:tc>
          <w:tcPr>
            <w:tcW w:type="dxa" w:w="3746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14,3%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Menin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1.420</w:t>
            </w:r>
          </w:p>
        </w:tc>
        <w:tc>
          <w:tcPr>
            <w:tcW w:type="dxa" w:w="3746"/>
            <w:shd w:fill="E3F5E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14,0%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o Plano Diretor: </w:t>
      </w:r>
      <w:r>
        <w:rPr>
          <w:rFonts w:ascii="Calibri" w:cs="Calibri" w:eastAsia="Calibri" w:hAnsi="Calibri"/>
          <w:sz w:val="20"/>
          <w:szCs w:val="20"/>
        </w:rPr>
        <w:t xml:space="preserve">a distribuição etária não é homogênea, e isso tem implicação direta sobre a localização de equipamentos. Creches e escolas de educação infantil devem seguir a geografia das crianças; equipamentos de saúde e convivência para idosos, a dos bairros envelhecidos. Um dimensionamento baseado apenas na média municipal erraria nos dois casos.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Raça e cor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400"/>
        <w:gridCol w:w="2600"/>
        <w:gridCol w:w="3746"/>
      </w:tblGrid>
      <w:tr>
        <w:trPr>
          <w:tblHeader/>
        </w:trPr>
        <w:tc>
          <w:tcPr>
            <w:tcW w:type="dxa" w:w="3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3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Participação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Branca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121.880</w:t>
            </w:r>
          </w:p>
        </w:tc>
        <w:tc>
          <w:tcPr>
            <w:tcW w:type="dxa" w:w="3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69,2%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Parda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44.020</w:t>
            </w:r>
          </w:p>
        </w:tc>
        <w:tc>
          <w:tcPr>
            <w:tcW w:type="dxa" w:w="3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25,0%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Preta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8.481</w:t>
            </w:r>
          </w:p>
        </w:tc>
        <w:tc>
          <w:tcPr>
            <w:tcW w:type="dxa" w:w="3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4,8%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Amarela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1.688</w:t>
            </w:r>
          </w:p>
        </w:tc>
        <w:tc>
          <w:tcPr>
            <w:tcW w:type="dxa" w:w="3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1,0%</w:t>
            </w:r>
          </w:p>
        </w:tc>
      </w:tr>
      <w:tr>
        <w:tc>
          <w:tcPr>
            <w:tcW w:type="dxa" w:w="3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Indígena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3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0,0%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Pretos e pardos somam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29,8%</w:t>
      </w:r>
      <w:r>
        <w:rPr>
          <w:rFonts w:ascii="Calibri" w:cs="Calibri" w:eastAsia="Calibri" w:hAnsi="Calibri"/>
          <w:sz w:val="20"/>
          <w:szCs w:val="20"/>
        </w:rPr>
        <w:t xml:space="preserve"> da população municipal. Mas a média esconde uma distribuição territorial desigual: entre setores, a proporção varia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3,0%</w:t>
      </w:r>
      <w:r>
        <w:rPr>
          <w:rFonts w:ascii="Calibri" w:cs="Calibri" w:eastAsia="Calibri" w:hAnsi="Calibri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66,1%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Bairros com maior proporção de pretos e pardos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2400"/>
        <w:gridCol w:w="37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3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Pretos e pardos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Campinho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559</w:t>
            </w:r>
          </w:p>
        </w:tc>
        <w:tc>
          <w:tcPr>
            <w:tcW w:type="dxa" w:w="3746"/>
            <w:shd w:fill="EDE7F6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51,0%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Birica do Campo Novo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551</w:t>
            </w:r>
          </w:p>
        </w:tc>
        <w:tc>
          <w:tcPr>
            <w:tcW w:type="dxa" w:w="3746"/>
            <w:shd w:fill="EDE7F6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46,1%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Barreiro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1.381</w:t>
            </w:r>
          </w:p>
        </w:tc>
        <w:tc>
          <w:tcPr>
            <w:tcW w:type="dxa" w:w="3746"/>
            <w:shd w:fill="EDE7F6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45,6%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Cidade Nova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17.815</w:t>
            </w:r>
          </w:p>
        </w:tc>
        <w:tc>
          <w:tcPr>
            <w:tcW w:type="dxa" w:w="3746"/>
            <w:shd w:fill="EDE7F6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42,3%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Estiva do Agudo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3746"/>
            <w:shd w:fill="EDE7F6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40,6%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Bacci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639</w:t>
            </w:r>
          </w:p>
        </w:tc>
        <w:tc>
          <w:tcPr>
            <w:tcW w:type="dxa" w:w="3746"/>
            <w:shd w:fill="EDE7F6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40,2%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Jaguari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26.538</w:t>
            </w:r>
          </w:p>
        </w:tc>
        <w:tc>
          <w:tcPr>
            <w:tcW w:type="dxa" w:w="3746"/>
            <w:shd w:fill="EDE7F6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38,3%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Morro do Agudo</w:t>
            </w:r>
          </w:p>
        </w:tc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706</w:t>
            </w:r>
          </w:p>
        </w:tc>
        <w:tc>
          <w:tcPr>
            <w:tcW w:type="dxa" w:w="3746"/>
            <w:shd w:fill="EDE7F6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38,1%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o Plano Diretor: </w:t>
      </w:r>
      <w:r>
        <w:rPr>
          <w:rFonts w:ascii="Calibri" w:cs="Calibri" w:eastAsia="Calibri" w:hAnsi="Calibri"/>
          <w:sz w:val="20"/>
          <w:szCs w:val="20"/>
        </w:rPr>
        <w:t xml:space="preserve">a variação de mais de sessenta pontos percentuais entre setores indica segregação residencial mensurável. Cruzar essa camada com as de renda, infraestrutura e acesso a equipamentos permite identificar se há sobreposição entre composição racial e déficit de urbanização — questão central para a definição de ZEIS e para a priorização de investimentos.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 sobre a simbologia. </w:t>
      </w:r>
      <w:r>
        <w:rPr>
          <w:rFonts w:ascii="Calibri" w:cs="Calibri" w:eastAsia="Calibri" w:hAnsi="Calibri"/>
          <w:sz w:val="20"/>
          <w:szCs w:val="20"/>
        </w:rPr>
        <w:t xml:space="preserve">As variáveis de raça e cor usam rampas de cor distintas entre si apenas para facilitar a distinção visual ao alternar entre elas. As cores não guardam relação com tonalidade de pele e não devem ser lidas nesse sentido: todas medem a mesma coisa, que é participação percentual no total da população do setor.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4.3 Alfabetização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taxa municipal de alfabetização da população de 15 anos ou mais é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97,6%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141.877</w:t>
      </w:r>
      <w:r>
        <w:rPr>
          <w:rFonts w:ascii="Calibri" w:cs="Calibri" w:eastAsia="Calibri" w:hAnsi="Calibri"/>
          <w:sz w:val="20"/>
          <w:szCs w:val="20"/>
        </w:rPr>
        <w:t xml:space="preserve"> alfabetizados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145.319</w:t>
      </w:r>
      <w:r>
        <w:rPr>
          <w:rFonts w:ascii="Calibri" w:cs="Calibri" w:eastAsia="Calibri" w:hAnsi="Calibri"/>
          <w:sz w:val="20"/>
          <w:szCs w:val="20"/>
        </w:rPr>
        <w:t xml:space="preserve"> pessoas nessa faixa.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É um índice alto, e por isso mesmo a leitura precisa ser feita pelo avesso: onde estão 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3.442 não alfabetizados</w:t>
      </w:r>
      <w:r>
        <w:rPr>
          <w:rFonts w:ascii="Calibri" w:cs="Calibri" w:eastAsia="Calibri" w:hAnsi="Calibri"/>
          <w:sz w:val="20"/>
          <w:szCs w:val="20"/>
        </w:rPr>
        <w:t xml:space="preserve">? Entre setores, a taxa varia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82,6%</w:t>
      </w:r>
      <w:r>
        <w:rPr>
          <w:rFonts w:ascii="Calibri" w:cs="Calibri" w:eastAsia="Calibri" w:hAnsi="Calibri"/>
          <w:sz w:val="20"/>
          <w:szCs w:val="20"/>
        </w:rPr>
        <w:t xml:space="preserve"> a 100%, com mediana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98,0%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Bairros com menor taxa de alfabetização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2600"/>
        <w:gridCol w:w="35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 15+</w:t>
            </w:r>
          </w:p>
        </w:tc>
        <w:tc>
          <w:tcPr>
            <w:tcW w:type="dxa" w:w="3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Taxa de alfabetização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Campinho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450</w:t>
            </w:r>
          </w:p>
        </w:tc>
        <w:tc>
          <w:tcPr>
            <w:tcW w:type="dxa" w:w="3546"/>
            <w:shd w:fill="FFF9E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92,0%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Morro do Agudo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573</w:t>
            </w:r>
          </w:p>
        </w:tc>
        <w:tc>
          <w:tcPr>
            <w:tcW w:type="dxa" w:w="3546"/>
            <w:shd w:fill="FFF9E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92,7%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Menin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1.121</w:t>
            </w:r>
          </w:p>
        </w:tc>
        <w:tc>
          <w:tcPr>
            <w:tcW w:type="dxa" w:w="3546"/>
            <w:shd w:fill="FFF9E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93,5%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Biriçá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3546"/>
            <w:shd w:fill="FFF9E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94,3%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Atibaianos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470</w:t>
            </w:r>
          </w:p>
        </w:tc>
        <w:tc>
          <w:tcPr>
            <w:tcW w:type="dxa" w:w="3546"/>
            <w:shd w:fill="FFF9E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94,3%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Morro Grande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542</w:t>
            </w:r>
          </w:p>
        </w:tc>
        <w:tc>
          <w:tcPr>
            <w:tcW w:type="dxa" w:w="3546"/>
            <w:shd w:fill="FFF9E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94,3%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Rosa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1.330</w:t>
            </w:r>
          </w:p>
        </w:tc>
        <w:tc>
          <w:tcPr>
            <w:tcW w:type="dxa" w:w="3546"/>
            <w:shd w:fill="FFF9E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94,4%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Birica do Campo Novo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450</w:t>
            </w:r>
          </w:p>
        </w:tc>
        <w:tc>
          <w:tcPr>
            <w:tcW w:type="dxa" w:w="3546"/>
            <w:shd w:fill="FFF9E0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95,6%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o Plano Diretor: </w:t>
      </w:r>
      <w:r>
        <w:rPr>
          <w:rFonts w:ascii="Calibri" w:cs="Calibri" w:eastAsia="Calibri" w:hAnsi="Calibri"/>
          <w:sz w:val="20"/>
          <w:szCs w:val="20"/>
        </w:rPr>
        <w:t xml:space="preserve">os bairros com menor alfabetização são majoritariamente periféricos ou rurais. A concentração territorial do analfabetismo indica onde políticas de educação de jovens e adultos teriam maior efeito, e serve de indicador auxiliar de vulnerabilidade social.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4.4 Distribuição da população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Bairros mais populosos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1900"/>
        <w:gridCol w:w="1900"/>
        <w:gridCol w:w="29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Moradores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Domicílios</w:t>
            </w:r>
          </w:p>
        </w:tc>
        <w:tc>
          <w:tcPr>
            <w:tcW w:type="dxa" w:w="2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Densidade (hab/km²)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Jaguari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26.538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8.062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3.798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Cidade Nova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17.815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5.743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7.538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Jardins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13.134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4.226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3.239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Brasil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9.516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3.501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5.097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Bianchi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8.857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3.191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4.606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Luzia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8.287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3.021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2.982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Aparecida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8.192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3.087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5.177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Cruz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7.800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3.017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7.665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Lourenço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7.593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2.659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6.963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Matadouro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6.976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2.638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4.620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Lavapés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6.513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2.575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5.899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Pinheirais</w:t>
            </w:r>
          </w:p>
        </w:tc>
        <w:tc>
          <w:tcPr>
            <w:tcW w:type="dxa" w:w="1900"/>
            <w:shd w:fill="E8F1F8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5.744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2.203</w:t>
            </w:r>
          </w:p>
        </w:tc>
        <w:tc>
          <w:tcPr>
            <w:tcW w:type="dxa" w:w="2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1.694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densidade entre setores varia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9,9</w:t>
      </w:r>
      <w:r>
        <w:rPr>
          <w:rFonts w:ascii="Calibri" w:cs="Calibri" w:eastAsia="Calibri" w:hAnsi="Calibri"/>
          <w:sz w:val="20"/>
          <w:szCs w:val="20"/>
        </w:rPr>
        <w:t xml:space="preserve">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73.381 hab/km²</w:t>
      </w:r>
      <w:r>
        <w:rPr>
          <w:rFonts w:ascii="Calibri" w:cs="Calibri" w:eastAsia="Calibri" w:hAnsi="Calibri"/>
          <w:sz w:val="20"/>
          <w:szCs w:val="20"/>
        </w:rPr>
        <w:t xml:space="preserve">, com mediana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4.949</w:t>
      </w:r>
      <w:r>
        <w:rPr>
          <w:rFonts w:ascii="Calibri" w:cs="Calibri" w:eastAsia="Calibri" w:hAnsi="Calibri"/>
          <w:sz w:val="20"/>
          <w:szCs w:val="20"/>
        </w:rPr>
        <w:t xml:space="preserve">. Essa amplitude extrema reflete a coexistência, dentro do mesmo município, de setores rurais de centenas de hectares e setores urbanos de poucos quarteirões verticalizados.</w:t>
      </w:r>
    </w:p>
    <w:p>
      <w:pPr>
        <w:pStyle w:val="Heading3"/>
        <w:spacing w:after="80" w:before="185"/>
      </w:pPr>
      <w:r>
        <w:rPr>
          <w:rFonts w:ascii="Calibri" w:cs="Calibri" w:eastAsia="Calibri" w:hAnsi="Calibri"/>
          <w:b/>
          <w:bCs/>
          <w:color w:val="44607A"/>
          <w:sz w:val="21"/>
          <w:szCs w:val="21"/>
        </w:rPr>
        <w:t xml:space="preserve">Bairros com mais apartamentos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2600"/>
        <w:gridCol w:w="35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Domicílios</w:t>
            </w:r>
          </w:p>
        </w:tc>
        <w:tc>
          <w:tcPr>
            <w:tcW w:type="dxa" w:w="35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Apartamentos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Jaguari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8.062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1.577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Taboão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2.268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1.062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Pinheirais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2.203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797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Brasil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3.501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761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2.098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705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Penha</w:t>
            </w:r>
          </w:p>
        </w:tc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1.239</w:t>
            </w:r>
          </w:p>
        </w:tc>
        <w:tc>
          <w:tcPr>
            <w:tcW w:type="dxa" w:w="35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414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 para o Plano Diretor: </w:t>
      </w:r>
      <w:r>
        <w:rPr>
          <w:rFonts w:ascii="Calibri" w:cs="Calibri" w:eastAsia="Calibri" w:hAnsi="Calibri"/>
          <w:sz w:val="20"/>
          <w:szCs w:val="20"/>
        </w:rPr>
        <w:t xml:space="preserve">a verticalização está concentrada em poucos bairros. O mapa de gabarito e padrão de ocupação retomará esse tema com dados de altura construída, mas já se observa que o adensamento vertical é fenômeno localizado, e não difuso.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Conclusão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Censo 2022 desenha uma Bragança Paulista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urbana, horizontal e envelhecida</w:t>
      </w:r>
      <w:r>
        <w:rPr>
          <w:rFonts w:ascii="Calibri" w:cs="Calibri" w:eastAsia="Calibri" w:hAnsi="Calibri"/>
          <w:sz w:val="20"/>
          <w:szCs w:val="20"/>
        </w:rPr>
        <w:t xml:space="preserve">. Noventa e três por cento da população em menos de um quinto do território; oito em cada dez domicílios são casas; e há mais idosos que crianças, com índice de envelhecimento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152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Mas o achado mais relevante para o Plano Diretor não está nas médias, e sim na variação interna. Em todos os temas examinados, a amplitude entre setores é grande o suficiente para que a média municipal seja um mau guia de decisão.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200"/>
        <w:gridCol w:w="2200"/>
        <w:gridCol w:w="2200"/>
        <w:gridCol w:w="2146"/>
      </w:tblGrid>
      <w:tr>
        <w:trPr>
          <w:tblHeader/>
        </w:trPr>
        <w:tc>
          <w:tcPr>
            <w:tcW w:type="dxa" w:w="3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Mínimo</w:t>
            </w:r>
          </w:p>
        </w:tc>
        <w:tc>
          <w:tcPr>
            <w:tcW w:type="dxa" w:w="22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Mediana</w:t>
            </w:r>
          </w:p>
        </w:tc>
        <w:tc>
          <w:tcPr>
            <w:tcW w:type="dxa" w:w="2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Máximo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Idosos 60+ (%)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3,0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17,2</w:t>
            </w:r>
          </w:p>
        </w:tc>
        <w:tc>
          <w:tcPr>
            <w:tcW w:type="dxa" w:w="2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54,8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Pretos e pardos (%)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3,0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29,7</w:t>
            </w:r>
          </w:p>
        </w:tc>
        <w:tc>
          <w:tcPr>
            <w:tcW w:type="dxa" w:w="2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66,1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Alfabetização 15+ (%)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82,6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98,0</w:t>
            </w:r>
          </w:p>
        </w:tc>
        <w:tc>
          <w:tcPr>
            <w:tcW w:type="dxa" w:w="2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100,0</w:t>
            </w:r>
          </w:p>
        </w:tc>
      </w:tr>
      <w:tr>
        <w:tc>
          <w:tcPr>
            <w:tcW w:type="dxa" w:w="3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Densidade (hab/km²)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4.949</w:t>
            </w:r>
          </w:p>
        </w:tc>
        <w:tc>
          <w:tcPr>
            <w:tcW w:type="dxa" w:w="2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73.381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Setores com ao menos 100 moradores. A amplitude é a informação de planejamento; a média é apenas o ponto de partida.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5.1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Equipamentos por geografia etária. </w:t>
      </w:r>
      <w:r>
        <w:rPr>
          <w:rFonts w:ascii="Calibri" w:cs="Calibri" w:eastAsia="Calibri" w:hAnsi="Calibri"/>
          <w:sz w:val="19"/>
          <w:szCs w:val="19"/>
        </w:rPr>
        <w:t xml:space="preserve">Creches onde estão as crianças, equipamentos de saúde e convivência onde estão os idosos. A localização atual da rede deve ser confrontada com esses mapas.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Segregação mensurável. </w:t>
      </w:r>
      <w:r>
        <w:rPr>
          <w:rFonts w:ascii="Calibri" w:cs="Calibri" w:eastAsia="Calibri" w:hAnsi="Calibri"/>
          <w:sz w:val="19"/>
          <w:szCs w:val="19"/>
        </w:rPr>
        <w:t xml:space="preserve">A variação da composição racial entre setores é grande e territorialmente organizada. Cruzada com renda e infraestrutura, orienta a delimitação de ZEIS e a priorização de investimento.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Custo da horizontalidade. </w:t>
      </w:r>
      <w:r>
        <w:rPr>
          <w:rFonts w:ascii="Calibri" w:cs="Calibri" w:eastAsia="Calibri" w:hAnsi="Calibri"/>
          <w:sz w:val="19"/>
          <w:szCs w:val="19"/>
        </w:rPr>
        <w:t xml:space="preserve">Com 86% de casas e densidade urbana de pouco mais de 1.600 hab/km², a extensão de redes por habitante é alta. Instrumentos de indução do adensamento em áreas já servidas ganham justificativa técnica.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Envelhecimento como vetor. </w:t>
      </w:r>
      <w:r>
        <w:rPr>
          <w:rFonts w:ascii="Calibri" w:cs="Calibri" w:eastAsia="Calibri" w:hAnsi="Calibri"/>
          <w:sz w:val="19"/>
          <w:szCs w:val="19"/>
        </w:rPr>
        <w:t xml:space="preserve">Um índice de envelhecimento de 152 antecipa demanda crescente por acessibilidade, transporte adaptado e serviços de saúde de proximidade — temas que devem entrar nas diretrizes, não apenas no diagnóstico.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Alfabetização como indicador auxiliar. </w:t>
      </w:r>
      <w:r>
        <w:rPr>
          <w:rFonts w:ascii="Calibri" w:cs="Calibri" w:eastAsia="Calibri" w:hAnsi="Calibri"/>
          <w:sz w:val="19"/>
          <w:szCs w:val="19"/>
        </w:rPr>
        <w:t xml:space="preserve">A concentração territorial do analfabetismo funciona como marcador de vulnerabilidade e ajuda a delimitar áreas prioritárias.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100"/>
        <w:gridCol w:w="6646"/>
      </w:tblGrid>
      <w:tr>
        <w:trPr>
          <w:tblHeader/>
        </w:trPr>
        <w:tc>
          <w:tcPr>
            <w:tcW w:type="dxa" w:w="31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6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06_CENSO_2022_SETORES.gpkg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GeoPackage em EPSG:31983 com quatro camadas e projeto QGIS embutido, com quinze estilos aplicados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Arquivos .qml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Quinze estilos: temáticos por variável, categórico de bairros, faces e limite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.qgs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QGIS avulso, alternativo ao embutido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Visualizador WebGIS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Mapa interativo com seleção de variável, sete classes por quantil, busca de endereço, popup detalhado e exportação em JPEG e PDF</w:t>
            </w:r>
          </w:p>
        </w:tc>
      </w:tr>
      <w:tr>
        <w:tc>
          <w:tcPr>
            <w:tcW w:type="dxa" w:w="31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Este relatório</w:t>
            </w:r>
          </w:p>
        </w:tc>
        <w:tc>
          <w:tcPr>
            <w:tcW w:type="dxa" w:w="6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Documento técnico de diagnóstico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Camadas do GeoPackage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900"/>
        <w:gridCol w:w="59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Feições</w:t>
            </w:r>
          </w:p>
        </w:tc>
        <w:tc>
          <w:tcPr>
            <w:tcW w:type="dxa" w:w="5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setores_censitarios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449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Identificação, domicílios, moradores, faixas etárias, raça e cor, alfabetização, renda do responsável e densidade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bairros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Agregação dos setores por bairro, com os mesmos indicadores recalculados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faces_logradouros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19.666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Segmentos de face de quadra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limite_municipal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Perímetro do município com totais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Os indicadores derivados foram gravados como campos, e não como expressões. </w:t>
      </w:r>
      <w:r>
        <w:rPr>
          <w:rFonts w:ascii="Calibri" w:cs="Calibri" w:eastAsia="Calibri" w:hAnsi="Calibri"/>
          <w:sz w:val="20"/>
          <w:szCs w:val="20"/>
        </w:rPr>
        <w:t xml:space="preserve">Isso significa que o percentual de idosos, o índice de envelhecimento, a taxa de alfabetização e os demais já vêm calculados no GeoPackage, prontos para uso em qualquer software, sem depender de fórmulas do projeto.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Setores sem domicílios particulares ocupados ou com dados suprimidos por sigilo estatístico aparecem sem valor e são excluídos do cálculo das classes.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setor censitário é unidade estatística, não administrativa. Seus limites não coincidem necessariamente com os de bairro, e a agregação por bairro adotada aqui segue o campo de vínculo da malha do IBGE.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As classes por quantil são recalculadas a cada variável, o que impede comparação direta de cores entre temas diferentes.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Os dados de renda do responsável foram incluídos no GeoPackage, mas não integram o visualizador nem este diagnóstico. Serão tratados no mapa de faixa de renda.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variável de instrução consta na base, porém com cobertura parcial entre setores. Será avaliada no mapa de escolaridade.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Censo 2022 · Setores Censitários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Censo 2022 — Setores Censitários — Relatório e Diagnóstico</dc:title>
  <dc:creator>Divisão de Planejamento — Prefeitura de Bragança Paulista</dc:creator>
  <cp:lastModifiedBy>Un-named</cp:lastModifiedBy>
  <cp:revision>1</cp:revision>
  <dcterms:created xsi:type="dcterms:W3CDTF">2026-08-20T11:46:52.248Z</dcterms:created>
  <dcterms:modified xsi:type="dcterms:W3CDTF">2026-08-20T11:46:52.248Z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