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</w:r>
      <w:r/>
    </w:p>
    <w:p>
      <w:pPr>
        <w:pBdr/>
        <w:spacing w:after="6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0175bc"/>
          <w:spacing w:val="50"/>
          <w:sz w:val="22"/>
          <w:szCs w:val="22"/>
          <w:lang w:val="pt-BR" w:eastAsia="pt-BR" w:bidi="ar-SA"/>
        </w:rPr>
        <w:t xml:space="preserve">REVISÃO DO PLANO DIRETOR · BRAGANÇA PAULISTA</w:t>
      </w:r>
      <w:r/>
    </w:p>
    <w:p>
      <w:pPr>
        <w:pBdr/>
        <w:spacing w:after="18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color w:val="555555"/>
          <w:sz w:val="20"/>
          <w:szCs w:val="20"/>
          <w:lang w:val="pt-BR" w:eastAsia="pt-BR" w:bidi="ar-SA"/>
        </w:rPr>
        <w:t xml:space="preserve">Leitura Técnica Socioterritorial</w:t>
      </w:r>
      <w:r/>
    </w:p>
    <w:p>
      <w:pPr>
        <w:pBdr/>
        <w:spacing w:after="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999999"/>
          <w:spacing w:val="80"/>
          <w:sz w:val="28"/>
          <w:szCs w:val="28"/>
          <w:lang w:val="pt-BR" w:eastAsia="pt-BR" w:bidi="ar-SA"/>
        </w:rPr>
        <w:t xml:space="preserve">MAPA 18</w:t>
      </w:r>
      <w:r/>
    </w:p>
    <w:p>
      <w:pPr>
        <w:pBdr/>
        <w:spacing w:after="1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01305a"/>
          <w:sz w:val="44"/>
          <w:szCs w:val="44"/>
          <w:lang w:val="pt-BR" w:eastAsia="pt-BR" w:bidi="ar-SA"/>
        </w:rPr>
        <w:t xml:space="preserve">Infraestrutura Básica</w:t>
      </w:r>
      <w:r/>
    </w:p>
    <w:p>
      <w:pPr>
        <w:pBdr>
          <w:top w:val="single" w:color="ffef00" w:sz="18" w:space="14"/>
        </w:pBdr>
        <w:spacing w:after="5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color w:val="555555"/>
          <w:sz w:val="21"/>
          <w:szCs w:val="21"/>
          <w:lang w:val="pt-BR" w:eastAsia="pt-BR" w:bidi="ar-SA"/>
        </w:rPr>
        <w:t xml:space="preserve">Água · Esgoto · Coleta de lixo · Drenagem · Iluminação pública</w:t>
      </w:r>
      <w:r/>
    </w:p>
    <w:p>
      <w:pPr>
        <w:pBdr/>
        <w:spacing w:after="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Divisão de Planejamento</w:t>
      </w:r>
      <w:r/>
    </w:p>
    <w:p>
      <w:pPr>
        <w:pBdr/>
        <w:spacing w:after="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color w:val="555555"/>
          <w:sz w:val="19"/>
          <w:szCs w:val="19"/>
          <w:lang w:val="pt-BR" w:eastAsia="pt-BR" w:bidi="ar-SA"/>
        </w:rPr>
        <w:t xml:space="preserve">Secretaria Municipal de Planejamento</w:t>
      </w:r>
      <w:r/>
    </w:p>
    <w:p>
      <w:pPr>
        <w:pBdr/>
        <w:spacing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i/>
          <w:iCs/>
          <w:color w:val="777777"/>
          <w:sz w:val="17"/>
          <w:szCs w:val="17"/>
          <w:lang w:val="pt-BR" w:eastAsia="pt-BR" w:bidi="ar-SA"/>
        </w:rPr>
        <w:t xml:space="preserve">Outubro de 2026</w:t>
      </w:r>
      <w:r/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Sumário</w:t>
      </w:r>
    </w:p>
    <w:sdt>
      <w:sdtPr>
        <w:alias w:val="Sumário"/>
        <w:docPartObj>
          <w:docPartGallery w:val="Table of Contents"/>
          <w:docPartUnique/>
        </w:docPartObj>
      </w:sdtPr>
      <w:sdtContent>
        <w:p>
          <w:pPr>
            <w:pBdr/>
            <w:spacing/>
            <w:ind/>
            <w:rPr>
              <w:lang w:val="pt-BR" w:eastAsia="pt-BR" w:bidi="ar-SA"/>
              <w:lang w:val="pt-BR" w:eastAsia="pt-BR" w:bidi="ar-SA"/>
            </w:rPr>
          </w:pPr>
          <w:r>
            <w:fldChar w:fldCharType="begin"/>
            <w:instrText xml:space="preserve">TOC \h \o "1-2"</w:instrText>
            <w:fldChar w:fldCharType="separate"/>
          </w:r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1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1. O que este mapa mostra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3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2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1.1 Como ler o mapa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3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3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2. Fontes e método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3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4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2.1 Indicadores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3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5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2.2 Índice de carências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4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6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2.3 Cobertura dos dados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4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7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3. Saneamento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5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8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4. Drenagem e iluminação pública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6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9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5. Onde as carências se acumulam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6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0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5.1 Núcleos urbanos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6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1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5.2 Carências e forma da ocupação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6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12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6. Diagnóstico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8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3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6.1 Cidade consolidada atendida, com lacuna de drenagem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8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4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6.2 Déficits concentrados na ocupação dispersa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8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5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6.3 Área rural com soluções individuais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8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6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6.4 Implicações para a revisão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8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17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7. Produtos entregues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8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8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7.1 Camadas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8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19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8. Limitações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8</w:t>
            </w:r>
          </w:hyperlink>
        </w:p>
        <w:p>
          <w:pPr>
            <w:pBdr/>
            <w:spacing/>
            <w:ind/>
            <w:rPr>
              <w:lang w:val="pt-BR" w:eastAsia="pt-BR" w:bidi="ar-SA"/>
              <w:lang w:val="pt-BR" w:eastAsia="pt-BR" w:bidi="ar-SA"/>
            </w:rPr>
          </w:pPr>
          <w:r>
            <w:fldChar w:fldCharType="end"/>
          </w:r>
        </w:p>
      </w:sdtContent>
    </w:sdt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1" w:name="_Toc0001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1. O que este mapa mostra</w:t>
      </w:r>
      <w:bookmarkEnd w:id="901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Este documento acompanha o mapa interativo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Infraestrutura Básica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. O mapa mostra, setor censitário a setor censitário, a parcela de domicílios sem cada serviço essencial: abastecimento de água, esgotamento sanitário, coleta de lixo, drenagem das águas pluviais e iluminação pública.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Os serviços seguem as definições legais: o saneamento básico da Lei nº 11.445/2007 (água, esgoto, resíduos sólidos e drenagem) e a infraestrutura básica dos parcelamentos da Lei nº 6.766/1979, que acrescenta a iluminação pública. A energia elétrica domiciliar, também prevista nesta lei, não foi pesquisada pelo Censo 2022 e fica fora do mapa.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pergunta que orienta o trabalho é: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onde faltam serviços essenciais e onde as carências se acumulam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. A resposta mostra uma área urbana consolidada praticamente atendida, com uma lacuna generalizada de drenagem, e déficits concentrados nos núcleos afastados e na área rural.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2" w:name="_Toc0002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1.1 Como ler o mapa</w:t>
      </w:r>
      <w:bookmarkEnd w:id="902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Índice de carências.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Indicador que abre o mapa. Conta quantos serviços faltam para mais de 20% dos domicílios de cada setor: do cinza (nenhum) ao vinho (quatro ou cinco).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Indicadores por serviço.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>No painel esquerdo, cada serviço pode ser visto isoladamente, em cinco classes. Cada serviço tem matiz própria — azul na água de rede, violeta na água de fonte precária, marrom no esgoto, verde na coleta de lixo, ciano na drenagem e âmbar na iluminação — e, dentro de cada matiz, a cor vai do tom claro ao saturado. Na água de rede e na coleta de lixo a escala lê atendimento: mais cor onde mais domicílios são atendidos. Nos demais lê carência: mais cor onde mais domicílios estão sem o serviço.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Setores tracejados.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>Setores sem domicílios, com dados suprimidos pelo IBGE por sigilo ou, nos indicadores de drenagem e iluminação, setores em que a pesquisa do entorno das quadras não foi aplicada — 60 rurais e 17 urbanos.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Núcleos urbanos.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Contorno amarelo tracejado: ocupações com características urbanas identificadas pelo IBGE fora das áreas urbanas consolidadas.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Forma da ocupação.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>Camada opcional que mostra a mancha urbana principal e os fragmentos separados dela, em 2025.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Popups e painel.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Clicar num setor mostra todos os serviços de uma vez. O painel direito traz os totais do município, os bairros com mais domicílios sem o serviço escolhido e a comparação entre setores da mancha principal e setores em fragmentos.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3" w:name="_Toc0003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2. Fontes e método</w:t>
      </w:r>
      <w:bookmarkEnd w:id="903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3509"/>
        <w:gridCol w:w="4873"/>
        <w:gridCol w:w="1364"/>
      </w:tblGrid>
      <w:tr>
        <w:trPr>
          <w:tblHeader/>
        </w:trPr>
        <w:tc>
          <w:tcPr>
            <w:tcW w:w="3509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Fonte</w:t>
            </w:r>
          </w:p>
        </w:tc>
        <w:tc>
          <w:tcPr>
            <w:tcW w:w="487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O que fornece</w:t>
            </w:r>
          </w:p>
        </w:tc>
        <w:tc>
          <w:tcPr>
            <w:tcW w:w="1364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Referência</w:t>
            </w:r>
          </w:p>
        </w:tc>
      </w:tr>
      <w:tr>
        <w:trPr>
          <w:cantSplit/>
        </w:trPr>
        <w:tc>
          <w:tcPr>
            <w:tcW w:w="350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IBGE — Censo Demográfico, agregados por setor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Abastecimento de água, esgotamento sanitário e destino do lixo dos domicílios</w:t>
            </w:r>
          </w:p>
        </w:tc>
        <w:tc>
          <w:tcPr>
            <w:tcW w:w="136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2022</w:t>
            </w:r>
          </w:p>
        </w:tc>
      </w:tr>
      <w:tr>
        <w:trPr>
          <w:cantSplit/>
        </w:trPr>
        <w:tc>
          <w:tcPr>
            <w:tcW w:w="350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IBGE — Censo Demográfico, características do entorno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Bueiro e iluminação pública nas faces de quadra</w:t>
            </w:r>
          </w:p>
        </w:tc>
        <w:tc>
          <w:tcPr>
            <w:tcW w:w="136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2022</w:t>
            </w:r>
          </w:p>
        </w:tc>
      </w:tr>
      <w:tr>
        <w:trPr>
          <w:cantSplit/>
        </w:trPr>
        <w:tc>
          <w:tcPr>
            <w:tcW w:w="350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IBGE — Malha de setores censitários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Polígonos dos 449 setores do município</w:t>
            </w:r>
          </w:p>
        </w:tc>
        <w:tc>
          <w:tcPr>
            <w:tcW w:w="136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2022</w:t>
            </w:r>
          </w:p>
        </w:tc>
      </w:tr>
      <w:tr>
        <w:trPr>
          <w:cantSplit/>
        </w:trPr>
        <w:tc>
          <w:tcPr>
            <w:tcW w:w="350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MapBiomas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Área urbanizada e forma da ocupação</w:t>
            </w:r>
          </w:p>
        </w:tc>
        <w:tc>
          <w:tcPr>
            <w:tcW w:w="136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2025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4" w:name="_Toc0004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2.1 Indicadores</w:t>
      </w:r>
      <w:bookmarkEnd w:id="904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3488"/>
        <w:gridCol w:w="6258"/>
      </w:tblGrid>
      <w:tr>
        <w:trPr>
          <w:tblHeader/>
        </w:trPr>
        <w:tc>
          <w:tcPr>
            <w:tcW w:w="348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Indicador</w:t>
            </w:r>
          </w:p>
        </w:tc>
        <w:tc>
          <w:tcPr>
            <w:tcW w:w="625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Domicílios considerados sem o serviço</w:t>
            </w:r>
          </w:p>
        </w:tc>
      </w:tr>
      <w:tr>
        <w:trPr>
          <w:cantSplit/>
        </w:trPr>
        <w:tc>
          <w:tcPr>
            <w:tcW w:w="348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fora da rede geral</w:t>
            </w:r>
          </w:p>
        </w:tc>
        <w:tc>
          <w:tcPr>
            <w:tcW w:w="625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Não usam a rede geral de distribuição (poço, nascente, rio ou outra forma)</w:t>
            </w:r>
          </w:p>
        </w:tc>
      </w:tr>
      <w:tr>
        <w:trPr>
          <w:cantSplit/>
        </w:trPr>
        <w:tc>
          <w:tcPr>
            <w:tcW w:w="348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de fonte precária</w:t>
            </w:r>
          </w:p>
        </w:tc>
        <w:tc>
          <w:tcPr>
            <w:tcW w:w="625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Usam poço raso, nascente, rio ou outra forma; exclui rede geral e poço profundo</w:t>
            </w:r>
          </w:p>
        </w:tc>
      </w:tr>
      <w:tr>
        <w:trPr>
          <w:cantSplit/>
        </w:trPr>
        <w:tc>
          <w:tcPr>
            <w:tcW w:w="348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Esgoto inadequado</w:t>
            </w:r>
          </w:p>
        </w:tc>
        <w:tc>
          <w:tcPr>
            <w:tcW w:w="625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Esgoto em fossa rudimentar, vala, rio ou outra forma; rede geral e fossa séptica são adequadas</w:t>
            </w:r>
          </w:p>
        </w:tc>
      </w:tr>
      <w:tr>
        <w:trPr>
          <w:cantSplit/>
        </w:trPr>
        <w:tc>
          <w:tcPr>
            <w:tcW w:w="348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Lixo não coletado</w:t>
            </w:r>
          </w:p>
        </w:tc>
        <w:tc>
          <w:tcPr>
            <w:tcW w:w="625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Lixo queimado, enterrado, descartado em terreno ou com outro destino</w:t>
            </w:r>
          </w:p>
        </w:tc>
      </w:tr>
      <w:tr>
        <w:trPr>
          <w:cantSplit/>
        </w:trPr>
        <w:tc>
          <w:tcPr>
            <w:tcW w:w="348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Sem bueiro e sem iluminação pública</w:t>
            </w:r>
          </w:p>
        </w:tc>
        <w:tc>
          <w:tcPr>
            <w:tcW w:w="625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Domicílios em face de quadra sem bueiro ou boca de lobo, ou sem iluminação pública, segundo a pesquisa do entorno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água aparece de duas formas.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Fora da rede geral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mostra o alcance da rede, mas não equivale a falta de água: o poço profundo pode ser solução adequada, sobretudo na área rural.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Fonte precária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isola o que de fato preocupa — poço raso, nascente e curso d'água — e é a medida usada no índice.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5" w:name="_Toc0005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2.2 Índice de carências</w:t>
      </w:r>
      <w:bookmarkEnd w:id="905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>Para cada setor, conta-se quantos serviços faltam para mais de 20% dos domicílios. Entram cinco componentes: água de fonte precária, esgoto inadequado, lixo não coletado, falta de bueiro e falta de iluminação pública. Nos 77 setores em que a pesquisa do entorno não foi aplicada — 60 rurais e 17 urbanos —, o índice considera apenas água, esgoto e lixo. O mapa informa o denominador de cada setor, porque "0 de 3" e "0 de 5" não são a mesma leitura.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6" w:name="_Toc0006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2.3 Cobertura dos dados</w:t>
      </w:r>
      <w:bookmarkEnd w:id="906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>Dos 449 setores, 351 têm dados de saneamento e de entorno, 77 só de saneamento — 60 rurais e 17 urbanos, onde a pesquisa do entorno das quadras não foi aplicada — e 21 não têm domicílios ou tiveram os números suprimidos pelo IBGE por sigilo. Os dados cobrem 63.424 domicílios particulares permanentes ocupados.</w:t>
      </w:r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7" w:name="_Toc0007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3. Saneamento</w:t>
      </w:r>
      <w:bookmarkEnd w:id="907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4147"/>
        <w:gridCol w:w="1866"/>
        <w:gridCol w:w="1866"/>
        <w:gridCol w:w="1867"/>
      </w:tblGrid>
      <w:tr>
        <w:trPr>
          <w:tblHeader/>
        </w:trPr>
        <w:tc>
          <w:tcPr>
            <w:tcW w:w="414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Domicílios sem o serviço</w:t>
            </w:r>
          </w:p>
        </w:tc>
        <w:tc>
          <w:tcPr>
            <w:tcW w:w="186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Área urbana</w:t>
            </w:r>
          </w:p>
        </w:tc>
        <w:tc>
          <w:tcPr>
            <w:tcW w:w="186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Área rural</w:t>
            </w:r>
          </w:p>
        </w:tc>
        <w:tc>
          <w:tcPr>
            <w:tcW w:w="186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Município</w:t>
            </w:r>
          </w:p>
        </w:tc>
      </w:tr>
      <w:tr>
        <w:trPr>
          <w:cantSplit/>
        </w:trPr>
        <w:tc>
          <w:tcPr>
            <w:tcW w:w="41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fora da rede geral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5,5%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88,6%</w:t>
            </w:r>
          </w:p>
        </w:tc>
        <w:tc>
          <w:tcPr>
            <w:tcW w:w="186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11,2%</w:t>
            </w:r>
          </w:p>
        </w:tc>
      </w:tr>
      <w:tr>
        <w:trPr>
          <w:cantSplit/>
        </w:trPr>
        <w:tc>
          <w:tcPr>
            <w:tcW w:w="41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de fonte precária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2,1%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47,5%</w:t>
            </w:r>
          </w:p>
        </w:tc>
        <w:tc>
          <w:tcPr>
            <w:tcW w:w="186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5,2%</w:t>
            </w:r>
          </w:p>
        </w:tc>
      </w:tr>
      <w:tr>
        <w:trPr>
          <w:cantSplit/>
        </w:trPr>
        <w:tc>
          <w:tcPr>
            <w:tcW w:w="41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Esgoto inadequado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2,4%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42,5%</w:t>
            </w:r>
          </w:p>
        </w:tc>
        <w:tc>
          <w:tcPr>
            <w:tcW w:w="186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5,1%</w:t>
            </w:r>
          </w:p>
        </w:tc>
      </w:tr>
      <w:tr>
        <w:trPr>
          <w:cantSplit/>
        </w:trPr>
        <w:tc>
          <w:tcPr>
            <w:tcW w:w="41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Lixo não coletado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0,1%</w:t>
            </w:r>
          </w:p>
        </w:tc>
        <w:tc>
          <w:tcPr>
            <w:tcW w:w="186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1,6%</w:t>
            </w:r>
          </w:p>
        </w:tc>
        <w:tc>
          <w:tcPr>
            <w:tcW w:w="186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0,2%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Na área urbana, o saneamento está praticamente universalizado.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94,5% dos domicílios usam a rede geral de água, e só 2,4% têm esgotamento inadequado. A coleta de lixo alcança quase todos os domicílios do município, inclusive na área rural.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Na área rural, o quadro é outro.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88,6% dos domicílios estão fora da rede geral de água: 1.707 usam poço profundo e 2.034, poço raso ou nascente. No esgoto, 2.108 domicílios usam fossa séptica e 1.777, fossa rudimentar — 42,5% com esgotamento inadequado.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Os déficits urbanos estão concentrados.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O esgoto inadequado se concentra em Santa Rosa, Barreiro, Mourão, Jaguari e Souzas; a água de fonte precária, em Pereiras, Sete Barras, Barreiro, Menin e Campo Novo.</w:t>
      </w:r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8" w:name="_Toc0008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4. Drenagem e iluminação pública</w:t>
      </w:r>
      <w:bookmarkEnd w:id="908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6961"/>
        <w:gridCol w:w="2785"/>
      </w:tblGrid>
      <w:tr>
        <w:trPr>
          <w:tblHeader/>
        </w:trPr>
        <w:tc>
          <w:tcPr>
            <w:tcW w:w="6961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Domicílios em face de quadra sem...</w:t>
            </w:r>
          </w:p>
        </w:tc>
        <w:tc>
          <w:tcPr>
            <w:tcW w:w="2785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Área urbana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Bueiro ou boca de lobo (drenagem)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28,3%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Iluminação pública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1,5%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iluminação pública alcança quase toda a área urbana.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A drenagem é a principal lacuna: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28,3% dos domicílios urbanos — 16.296 — estão em faces de quadra sem bueiro ou boca de lobo. Diferentemente dos demais serviços, essa falta não se restringe à periferia: alcança bairros consolidados como Jaguari, Santa Cruz, Brasil, Santa Luzia, Matadouro e Bianchi.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9" w:name="_Toc0009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5. Onde as carências se acumulam</w:t>
      </w:r>
      <w:bookmarkEnd w:id="909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4873"/>
        <w:gridCol w:w="2436"/>
        <w:gridCol w:w="2437"/>
      </w:tblGrid>
      <w:tr>
        <w:trPr>
          <w:tblHeader/>
        </w:trPr>
        <w:tc>
          <w:tcPr>
            <w:tcW w:w="487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Serviços em falta</w:t>
            </w:r>
          </w:p>
        </w:tc>
        <w:tc>
          <w:tcPr>
            <w:tcW w:w="243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Setores</w:t>
            </w:r>
          </w:p>
        </w:tc>
        <w:tc>
          <w:tcPr>
            <w:tcW w:w="243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Domicílios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Nenhuma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195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30.843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 serviço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171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27.018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 serviços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50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4.112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 serviços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1.378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 ou 5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73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12 setores acumulam três ou mais carências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com 1.451 domicílios — 2,3% do município. 11 deles são urbanos. Concentram-se em Barreiro, Sete Barras, Santa Rosa, Menin, Morro Grande, Pereiras e Campinho.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0" w:name="_Toc0010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5.1 Núcleos urbanos</w:t>
      </w:r>
      <w:bookmarkEnd w:id="910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4825"/>
        <w:gridCol w:w="1447"/>
        <w:gridCol w:w="1737"/>
        <w:gridCol w:w="1737"/>
      </w:tblGrid>
      <w:tr>
        <w:trPr>
          <w:tblHeader/>
        </w:trPr>
        <w:tc>
          <w:tcPr>
            <w:tcW w:w="4825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Núcleo urbano</w:t>
            </w:r>
          </w:p>
        </w:tc>
        <w:tc>
          <w:tcPr>
            <w:tcW w:w="144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Domicílios</w:t>
            </w:r>
          </w:p>
        </w:tc>
        <w:tc>
          <w:tcPr>
            <w:tcW w:w="173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Água fora da rede</w:t>
            </w:r>
          </w:p>
        </w:tc>
        <w:tc>
          <w:tcPr>
            <w:tcW w:w="173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Esgoto inadequado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Condomínio Quinta da Baroneza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401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76,1%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53,1%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Pereiras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386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95,3%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21,2%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Guaripocaba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374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18,7%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27,5%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Condomínio Jardim das Palmeiras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369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80,5%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Bairro do Menin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354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56,5%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Morro Grande da Boa Vista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353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100,0%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0,8%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Sete Barras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230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100,0%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1,3%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Curitibanos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221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10,4%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7,7%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Santa Rosa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208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2,4%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77,9%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Comprida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190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42,1%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4,7%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Parque Caeté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187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2,7%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47,6%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Residencial Sunset Village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183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95,6%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Campo Novo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168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100,0%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40,5%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Condomínio Campo do Conde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151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Comprida 2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113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94,7%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8,0%</w:t>
            </w:r>
          </w:p>
        </w:tc>
      </w:tr>
      <w:tr>
        <w:trPr>
          <w:cantSplit/>
        </w:trPr>
        <w:tc>
          <w:tcPr>
            <w:tcW w:w="482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Bom Retiro dos Mourão</w:t>
            </w:r>
          </w:p>
        </w:tc>
        <w:tc>
          <w:tcPr>
            <w:tcW w:w="14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103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11,7%</w:t>
            </w:r>
          </w:p>
        </w:tc>
        <w:tc>
          <w:tcPr>
            <w:tcW w:w="17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55,3%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O IBGE identifica 31 núcleos urbanos em Bragança: loteamentos, condomínios e bairros afastados com características urbanas. A tabela mostra os que têm 100 domicílios ou mais.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8 núcleos têm setores com três ou mais carências.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Em vários deles, a rede de água não chega e o abastecimento é por poço; em Santa Rosa, Bom Retiro dos Mourão e Quinta da Baroneza, mais da metade dos domicílios tem esgoto inadequado.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1" w:name="_Toc0011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5.2 Carências e forma da ocupação</w:t>
      </w:r>
      <w:bookmarkEnd w:id="911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5105"/>
        <w:gridCol w:w="2320"/>
        <w:gridCol w:w="2321"/>
      </w:tblGrid>
      <w:tr>
        <w:trPr>
          <w:tblHeader/>
        </w:trPr>
        <w:tc>
          <w:tcPr>
            <w:tcW w:w="5105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Domicílios sem o serviço (setores urbanos)</w:t>
            </w:r>
          </w:p>
        </w:tc>
        <w:tc>
          <w:tcPr>
            <w:tcW w:w="2320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Mancha principal</w:t>
            </w:r>
          </w:p>
        </w:tc>
        <w:tc>
          <w:tcPr>
            <w:tcW w:w="2321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Fragmentos descontínuos</w:t>
            </w:r>
          </w:p>
        </w:tc>
      </w:tr>
      <w:tr>
        <w:trPr>
          <w:cantSplit/>
        </w:trPr>
        <w:tc>
          <w:tcPr>
            <w:tcW w:w="510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fora da rede geral</w:t>
            </w:r>
          </w:p>
        </w:tc>
        <w:tc>
          <w:tcPr>
            <w:tcW w:w="232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0,5%</w:t>
            </w:r>
          </w:p>
        </w:tc>
        <w:tc>
          <w:tcPr>
            <w:tcW w:w="232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30,8%</w:t>
            </w:r>
          </w:p>
        </w:tc>
      </w:tr>
      <w:tr>
        <w:trPr>
          <w:cantSplit/>
        </w:trPr>
        <w:tc>
          <w:tcPr>
            <w:tcW w:w="510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Água de fonte precária</w:t>
            </w:r>
          </w:p>
        </w:tc>
        <w:tc>
          <w:tcPr>
            <w:tcW w:w="232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0,1%</w:t>
            </w:r>
          </w:p>
        </w:tc>
        <w:tc>
          <w:tcPr>
            <w:tcW w:w="232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12,8%</w:t>
            </w:r>
          </w:p>
        </w:tc>
      </w:tr>
      <w:tr>
        <w:trPr>
          <w:cantSplit/>
        </w:trPr>
        <w:tc>
          <w:tcPr>
            <w:tcW w:w="510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Esgoto inadequado</w:t>
            </w:r>
          </w:p>
        </w:tc>
        <w:tc>
          <w:tcPr>
            <w:tcW w:w="232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0,7%</w:t>
            </w:r>
          </w:p>
        </w:tc>
        <w:tc>
          <w:tcPr>
            <w:tcW w:w="232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12,2%</w:t>
            </w:r>
          </w:p>
        </w:tc>
      </w:tr>
      <w:tr>
        <w:trPr>
          <w:cantSplit/>
        </w:trPr>
        <w:tc>
          <w:tcPr>
            <w:tcW w:w="510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Sem bueiro</w:t>
            </w:r>
          </w:p>
        </w:tc>
        <w:tc>
          <w:tcPr>
            <w:tcW w:w="232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26,6%</w:t>
            </w:r>
          </w:p>
        </w:tc>
        <w:tc>
          <w:tcPr>
            <w:tcW w:w="232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33,1%</w:t>
            </w:r>
          </w:p>
        </w:tc>
      </w:tr>
      <w:tr>
        <w:trPr>
          <w:cantSplit/>
        </w:trPr>
        <w:tc>
          <w:tcPr>
            <w:tcW w:w="510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Sem iluminação pública</w:t>
            </w:r>
          </w:p>
        </w:tc>
        <w:tc>
          <w:tcPr>
            <w:tcW w:w="232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0,4%</w:t>
            </w:r>
          </w:p>
        </w:tc>
        <w:tc>
          <w:tcPr>
            <w:tcW w:w="232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7,3%</w:t>
            </w:r>
          </w:p>
        </w:tc>
      </w:tr>
      <w:tr>
        <w:trPr>
          <w:cantSplit/>
        </w:trPr>
        <w:tc>
          <w:tcPr>
            <w:tcW w:w="510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Domicílios</w:t>
            </w:r>
          </w:p>
        </w:tc>
        <w:tc>
          <w:tcPr>
            <w:tcW w:w="232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50.180</w:t>
            </w:r>
          </w:p>
        </w:tc>
        <w:tc>
          <w:tcPr>
            <w:tcW w:w="232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8.465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comparação confirma o que a forma da ocupação sugeria. Nos 76 setores urbanos cuja área urbanizada está, em sua maior parte, em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fragmentos separados da mancha principal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>, 30,8% dos domicílios estão fora da rede de água, contra 0,5% na mancha principal. O esgoto inadequado é 18 vezes maior, e a falta de iluminação pública, 16 vezes maior.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Leitura para o Plano Diretor: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a ocupação dispersa é onde a infraestrutura não chega. Cada novo fragmento afastado da cidade transfere ao poder público o custo de estender redes, ou deixa os moradores com soluções individuais de água e esgoto.</w:t>
      </w:r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12" w:name="_Toc0012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6. Diagnóstico</w:t>
      </w:r>
      <w:bookmarkEnd w:id="912"/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3" w:name="_Toc0013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6.1 Cidade consolidada atendida, com lacuna de drenagem</w:t>
      </w:r>
      <w:bookmarkEnd w:id="913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Água, esgoto, coleta e iluminação estão praticamente universalizados na mancha principal. A falta de bueiro em quase um terço dos domicílios urbanos é a exceção, e se distribui também pelos bairros centrais.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4" w:name="_Toc0014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6.2 Déficits concentrados na ocupação dispersa</w:t>
      </w:r>
      <w:bookmarkEnd w:id="914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Os setores com várias carências coincidem com os núcleos urbanos e com os fragmentos de ocupação separados da cidade, onde a rede de água e de esgoto não chega.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5" w:name="_Toc0015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6.3 Área rural com soluções individuais</w:t>
      </w:r>
      <w:bookmarkEnd w:id="915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área rural depende de soluções individuais. Na água, 40% dos domicílios rurais usam poço profundo e 47%, poço raso ou nascente. No esgoto, 49% usam fossa séptica e 41%, fossa rudimentar. Poço raso, nascente e fossa rudimentar trazem risco de contaminação, sobretudo em área de mananciais.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6" w:name="_Toc0016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6.4 Implicações para a revisão</w:t>
      </w:r>
      <w:bookmarkEnd w:id="916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Contenção da dispersão.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Condicionar novos parcelamentos afastados da mancha principal à implantação de redes de água e esgoto, ou à demonstração de solução adequada.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Regularização dos núcleos urbanos.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Priorizar os núcleos com mais carências em programas de regularização fundiária e de extensão de redes.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Drenagem.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Tratar a drenagem urbana como prioridade de investimento, com plano específico para os bairros consolidados sem bueiro.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Saneamento rural.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Diretrizes para substituir fossas rudimentares e poços rasos, com atenção às áreas de manancial.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17" w:name="_Toc0017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7. Produtos entregues</w:t>
      </w:r>
      <w:bookmarkEnd w:id="917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3078"/>
        <w:gridCol w:w="6668"/>
      </w:tblGrid>
      <w:tr>
        <w:trPr>
          <w:tblHeader/>
        </w:trPr>
        <w:tc>
          <w:tcPr>
            <w:tcW w:w="307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Produto</w:t>
            </w:r>
          </w:p>
        </w:tc>
        <w:tc>
          <w:tcPr>
            <w:tcW w:w="666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Mapa18_Infraestrutura.gpkg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GeoPackage em EPSG:31983 com projeto QGIS embutido; a camada de setores traz um estilo para cada indicador, escolhível em Propriedades &gt; Estilos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Arquivos .qml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Um estilo por indicador e um por camada de apoio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Mapa18_Infraestrutura.qgs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Projeto QGIS avulso, alternativo ao embutido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Visualizador WebGIS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Mapa interativo com seleção de indicador, núcleos urbanos, forma da ocupação, popups com todos os serviços essenciais e exportação em JPEG e PDF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Este relatório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Documento técnico de diagnóstico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8" w:name="_Toc0018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7.1 Camadas</w:t>
      </w:r>
      <w:bookmarkEnd w:id="918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873"/>
        <w:gridCol w:w="1026"/>
        <w:gridCol w:w="5847"/>
      </w:tblGrid>
      <w:tr>
        <w:trPr>
          <w:tblHeader/>
        </w:trPr>
        <w:tc>
          <w:tcPr>
            <w:tcW w:w="287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Camada</w:t>
            </w:r>
          </w:p>
        </w:tc>
        <w:tc>
          <w:tcPr>
            <w:tcW w:w="102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Feições</w:t>
            </w:r>
          </w:p>
        </w:tc>
        <w:tc>
          <w:tcPr>
            <w:tcW w:w="584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Conteúdo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setores_infraestrutura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449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Setores censitários com contagens, percentuais de cada serviço, índice de carências e forma da ocupação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nucleos_urbanos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31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Núcleos urbanos do IBGE, com domicílios e déficits de água e esgoto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forma_ocupacao_2025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>Mancha urbana principal e fragmentos descontínuos em 2025 (MapBiomas)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limite_municipal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Limite do município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19" w:name="_Toc0019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8. Limitações</w:t>
      </w:r>
      <w:bookmarkEnd w:id="919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Os dados são declaratórios: refletem a resposta dos moradores sobre a forma de abastecimento e de esgotamento, e não a inspeção das redes.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O Censo não informa a qualidade nem a regularidade do serviço: um domicílio ligado à rede pode ter intermitência no abastecimento.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>A pesquisa do entorno das quadras não foi aplicada em 77 setores — 60 rurais e 17 urbanos. Neles, drenagem e iluminação pública não têm dado, e o índice de carências é avaliado sobre três componentes.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A energia elétrica domiciliar não foi pesquisada pelo Censo 2022.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Setores com poucos domicílios têm os números suprimidos pelo IBGE por sigilo.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O limiar de 20% do índice de carências é uma convenção do mapa: indica onde o problema deixa de ser pontual.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Redes de água e esgoto, estações de tratamento e pontos de alagamento não integram esta versão e podem complementar a análise quando disponíveis.</w:t>
      </w:r>
    </w:p>
    <w:sectPr>
      <w:footerReference w:type="default" r:id="rId9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lang w:val="pt-BR" w:eastAsia="pt-BR" w:bidi="ar-SA"/>
        <w:lang w:val="pt-BR" w:eastAsia="pt-BR" w:bidi="ar-SA"/>
      </w:rPr>
    </w:pPr>
    <w:r>
      <w:rPr>
        <w:rFonts w:ascii="Calibri" w:hAnsi="Calibri" w:eastAsia="Calibri" w:cs="Calibri"/>
        <w:color w:val="888888"/>
        <w:sz w:val="15"/>
        <w:szCs w:val="15"/>
        <w:lang w:val="pt-BR" w:eastAsia="pt-BR" w:bidi="ar-SA"/>
      </w:rPr>
      <w:t xml:space="preserve">Infraestrutura Básica · Mapa 18  ·  </w:t>
    </w:r>
    <w:r>
      <w:rPr>
        <w:rFonts w:ascii="Calibri" w:hAnsi="Calibri" w:eastAsia="Calibri" w:cs="Calibri"/>
        <w:color w:val="888888"/>
        <w:sz w:val="15"/>
        <w:szCs w:val="15"/>
        <w:lang w:val="pt-BR" w:eastAsia="pt-BR" w:bidi="ar-SA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bullet"/>
      <w:isLgl w:val="false"/>
      <w:suff w:val="tab"/>
      <w:lvlText w:val="●"/>
      <w:lvlJc w:val="left"/>
      <w:pPr>
        <w:pBdr/>
        <w:spacing/>
        <w:ind w:hanging="360" w:left="720"/>
      </w:pPr>
      <w:rPr/>
    </w:lvl>
    <w:lvl w:ilvl="1">
      <w:start w:val="1"/>
      <w:numFmt w:val="bullet"/>
      <w:isLgl w:val="false"/>
      <w:suff w:val="tab"/>
      <w:lvlText w:val="○"/>
      <w:lvlJc w:val="left"/>
      <w:pPr>
        <w:pBdr/>
        <w:spacing/>
        <w:ind w:hanging="360" w:left="1440"/>
      </w:pPr>
      <w:rPr/>
    </w:lvl>
    <w:lvl w:ilvl="2">
      <w:start w:val="1"/>
      <w:numFmt w:val="bullet"/>
      <w:isLgl w:val="false"/>
      <w:suff w:val="tab"/>
      <w:lvlText w:val="■"/>
      <w:lvlJc w:val="left"/>
      <w:pPr>
        <w:pBdr/>
        <w:spacing/>
        <w:ind w:hanging="360" w:left="2160"/>
      </w:pPr>
      <w:rPr/>
    </w:lvl>
    <w:lvl w:ilvl="3">
      <w:start w:val="1"/>
      <w:numFmt w:val="bullet"/>
      <w:isLgl w:val="false"/>
      <w:suff w:val="tab"/>
      <w:lvlText w:val="●"/>
      <w:lvlJc w:val="left"/>
      <w:pPr>
        <w:pBdr/>
        <w:spacing/>
        <w:ind w:hanging="360" w:left="2880"/>
      </w:pPr>
      <w:rPr/>
    </w:lvl>
    <w:lvl w:ilvl="4">
      <w:start w:val="1"/>
      <w:numFmt w:val="bullet"/>
      <w:isLgl w:val="false"/>
      <w:suff w:val="tab"/>
      <w:lvlText w:val="○"/>
      <w:lvlJc w:val="left"/>
      <w:pPr>
        <w:pBdr/>
        <w:spacing/>
        <w:ind w:hanging="360" w:left="3600"/>
      </w:pPr>
      <w:rPr/>
    </w:lvl>
    <w:lvl w:ilvl="5">
      <w:start w:val="1"/>
      <w:numFmt w:val="bullet"/>
      <w:isLgl w:val="false"/>
      <w:suff w:val="tab"/>
      <w:lvlText w:val="■"/>
      <w:lvlJc w:val="left"/>
      <w:pPr>
        <w:pBdr/>
        <w:spacing/>
        <w:ind w:hanging="360" w:left="4320"/>
      </w:pPr>
      <w:rPr/>
    </w:lvl>
    <w:lvl w:ilvl="6">
      <w:start w:val="1"/>
      <w:numFmt w:val="bullet"/>
      <w:isLgl w:val="false"/>
      <w:suff w:val="tab"/>
      <w:lvlText w:val="●"/>
      <w:lvlJc w:val="left"/>
      <w:pPr>
        <w:pBdr/>
        <w:spacing/>
        <w:ind w:hanging="360" w:left="5040"/>
      </w:pPr>
      <w:rPr/>
    </w:lvl>
    <w:lvl w:ilvl="7">
      <w:start w:val="1"/>
      <w:numFmt w:val="bullet"/>
      <w:isLgl w:val="false"/>
      <w:suff w:val="tab"/>
      <w:lvlText w:val="●"/>
      <w:lvlJc w:val="left"/>
      <w:pPr>
        <w:pBdr/>
        <w:spacing/>
        <w:ind w:hanging="360" w:left="5760"/>
      </w:pPr>
      <w:rPr/>
    </w:lvl>
    <w:lvl w:ilvl="8">
      <w:start w:val="1"/>
      <w:numFmt w:val="bullet"/>
      <w:isLgl w:val="false"/>
      <w:suff w:val="tab"/>
      <w:lvlText w:val="●"/>
      <w:lvlJc w:val="left"/>
      <w:pPr>
        <w:pBdr/>
        <w:spacing/>
        <w:ind w:hanging="360" w:left="6480"/>
      </w:pPr>
      <w:rPr/>
    </w:lvl>
  </w:abstractNum>
  <w:abstractNum w:abstractNumId="1">
    <w:lvl w:ilvl="0">
      <w:start w:val="1"/>
      <w:numFmt w:val="bullet"/>
      <w:isLgl w:val="false"/>
      <w:suff w:val="tab"/>
      <w:lvlText w:val="•"/>
      <w:lvlJc w:val="left"/>
      <w:pPr>
        <w:pBdr/>
        <w:spacing/>
        <w:ind w:hanging="200" w:left="400"/>
      </w:pPr>
      <w:rPr/>
    </w:lvl>
    <w:lvl w:ilvl="1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2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3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4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5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6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7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8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8">
    <w:name w:val="Title"/>
    <w:qFormat/>
    <w:pPr>
      <w:pBdr/>
      <w:spacing/>
      <w:ind/>
    </w:pPr>
    <w:rPr>
      <w:sz w:val="56"/>
      <w:szCs w:val="56"/>
    </w:rPr>
  </w:style>
  <w:style w:type="paragraph" w:styleId="71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qFormat/>
    <w:pPr>
      <w:pBdr/>
      <w:spacing/>
      <w:ind/>
    </w:pPr>
    <w:rPr>
      <w:color w:val="2e74b5"/>
    </w:rPr>
  </w:style>
  <w:style w:type="paragraph" w:styleId="724">
    <w:name w:val="Heading 6"/>
    <w:qFormat/>
    <w:pPr>
      <w:pBdr/>
      <w:spacing/>
      <w:ind/>
    </w:pPr>
    <w:rPr>
      <w:color w:val="1f4d78"/>
    </w:rPr>
  </w:style>
  <w:style w:type="paragraph" w:styleId="725">
    <w:name w:val="Strong"/>
    <w:qFormat/>
    <w:pPr>
      <w:pBdr/>
      <w:spacing/>
      <w:ind/>
    </w:pPr>
    <w:rPr>
      <w:b/>
      <w:bCs/>
    </w:rPr>
  </w:style>
  <w:style w:type="paragraph" w:styleId="726">
    <w:name w:val="List Paragraph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Intermunicipais — Mapas 2 a 5 — Relatório e Diagnóstico</dc:title>
  <dc:creator>Divisão de Planejamento — Prefeitura de Bragança Paulista</dc:creator>
  <cp:revision>2</cp:revision>
  <dcterms:created xsi:type="dcterms:W3CDTF">2026-08-19T21:54:24Z</dcterms:created>
  <dcterms:modified xsi:type="dcterms:W3CDTF">2026-08-19T23:08:09Z</dcterms:modified>
</cp:coreProperties>
</file>