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175BC"/>
          <w:spacing w:val="50"/>
          <w:sz w:val="22"/>
          <w:szCs w:val="22"/>
        </w:rPr>
        <w:t xml:space="preserve">REVISÃO DO PLANO DIRETOR · BRAGANÇA PAULISTA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Leitura Técnica Socioterritorial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9999"/>
          <w:spacing w:val="80"/>
          <w:sz w:val="30"/>
          <w:szCs w:val="30"/>
        </w:rPr>
        <w:t xml:space="preserve">MAPA 12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1305A"/>
          <w:sz w:val="44"/>
          <w:szCs w:val="44"/>
        </w:rPr>
        <w:t xml:space="preserve">Segurança Urbana</w:t>
      </w:r>
    </w:p>
    <w:p>
      <w:pPr>
        <w:pBdr>
          <w:top w:val="single" w:color="FFEF00" w:sz="18" w:space="14"/>
        </w:pBdr>
        <w:spacing w:after="5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Atendimentos da Guarda Municipal, 2024 a 2026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Divisão de Planejamento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Secretaria Municipal de Planejamento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Agosto de 2026</w:t>
      </w:r>
    </w:p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1. O que este mapa mostra — e o que não mostra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Este mapa registra 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24.127 atendimentos</w:t>
      </w:r>
      <w:r>
        <w:rPr>
          <w:rFonts w:ascii="Calibri" w:cs="Calibri" w:eastAsia="Calibri" w:hAnsi="Calibri"/>
          <w:sz w:val="20"/>
          <w:szCs w:val="20"/>
        </w:rPr>
        <w:t xml:space="preserve"> realizados pela Guarda Municipal entre 2024 e 2026, distribuídos pelos 61 bairros do abairramento municipal.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É essencial distinguir o que o dado representa. </w:t>
      </w:r>
      <w:r>
        <w:rPr>
          <w:rFonts w:ascii="Calibri" w:cs="Calibri" w:eastAsia="Calibri" w:hAnsi="Calibri"/>
          <w:sz w:val="20"/>
          <w:szCs w:val="20"/>
        </w:rPr>
        <w:t xml:space="preserve">Trata-se do registro da atividade da Guarda Municipal, e não de estatística criminal. Dos 24.127 registros, apenas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243 — 1,01% do total</w:t>
      </w:r>
      <w:r>
        <w:rPr>
          <w:rFonts w:ascii="Calibri" w:cs="Calibri" w:eastAsia="Calibri" w:hAnsi="Calibri"/>
          <w:sz w:val="20"/>
          <w:szCs w:val="20"/>
        </w:rPr>
        <w:t xml:space="preserve"> — correspondem a crimes graves. A esmagadora maioria é atividade preventiva, apoio à população, averiguação e mediação de conflitos.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Uma consequência importante para a leitura: </w:t>
      </w:r>
      <w:r>
        <w:rPr>
          <w:rFonts w:ascii="Calibri" w:cs="Calibri" w:eastAsia="Calibri" w:hAnsi="Calibri"/>
          <w:sz w:val="20"/>
          <w:szCs w:val="20"/>
        </w:rPr>
        <w:t xml:space="preserve">um bairro com muitos registros pode indicar presença ativa da Guarda no território, e não necessariamente insegurança. O mapa descreve onde a Guarda atua, o que é informação valiosa para o planejamento do serviço, mas exige cuidado para não ser lido como mapa de criminalidade.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estatística criminal propriamente dita é produzida pela Secretaria de Segurança Pública do Estado e não integra esta base.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2. Fontes e método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71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fornece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Guarda Municipal de Bragança Paulista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Registros de atendimento por bairro, 2024 a 2026, com tipificação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IBGE — Censo Demográfico 2022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População por bairro, para cálculo das taxas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Fundação SEADE — IPVS 2022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Vulnerabilidade social, para cruzamento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Prefeitura de Bragança Paulista</w:t>
            </w:r>
          </w:p>
        </w:tc>
        <w:tc>
          <w:tcPr>
            <w:tcW w:type="dxa" w:w="71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Eixo de logradouro cadastral, camada de referência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2.1 Por que normalizar por população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número absoluto de ocorrências acompanha de perto o tamanho do bairro. A correlação entre ocorrências e população é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0,77</w:t>
      </w:r>
      <w:r>
        <w:rPr>
          <w:rFonts w:ascii="Calibri" w:cs="Calibri" w:eastAsia="Calibri" w:hAnsi="Calibri"/>
          <w:sz w:val="20"/>
          <w:szCs w:val="20"/>
        </w:rPr>
        <w:t xml:space="preserve"> — ou seja, o mapa em números brutos é, em boa medida, um mapa de população. Bairros grandes registram mais atendimentos simplesmente por terem mais moradores.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Para revelar a intensidade real do atendimento, o mapa oferece a taxa por mil habitantes. O efeito da mudança é expressivo: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700"/>
        <w:gridCol w:w="5046"/>
      </w:tblGrid>
      <w:tr>
        <w:trPr>
          <w:tblHeader/>
        </w:trPr>
        <w:tc>
          <w:tcPr>
            <w:tcW w:type="dxa" w:w="4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Cinco maiores em números absolutos</w:t>
            </w:r>
          </w:p>
        </w:tc>
        <w:tc>
          <w:tcPr>
            <w:tcW w:type="dxa" w:w="50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Cinco maiores em taxa por mil</w:t>
            </w:r>
          </w:p>
        </w:tc>
      </w:tr>
      <w:tr>
        <w:tc>
          <w:tcPr>
            <w:tcW w:type="dxa" w:w="4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 · JAGUARI · MATADOURO · TABOÃO · CIDADE NOVA</w:t>
            </w:r>
          </w:p>
        </w:tc>
        <w:tc>
          <w:tcPr>
            <w:tcW w:type="dxa" w:w="50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CAETANOS · CENTRO · SERRINHA · TABOÃO · MATADOURO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Jaguari ilustra bem a diferença: é o segundo em volume, com 3.053 atendimentos, mas tem 26.553 habitantes e por isso taxa de apenas 115 por mil, abaixo da média municipal. O Centro, com volume semelhante, tem menos de cinco mil moradores e registra 660,7 por mil.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2.2 Cuidado com denominadores pequenos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Dezesseis bairros têm menos de 500 habitantes. Nesses casos a taxa por mil oscila muito com poucos registros e perde confiabilidade. Caetanos, com 162 moradores e 193 atendimentos, resulta em 1.191 por mil; Serrinha, com 42 moradores, chega a 476 por mil. São bairros rurais, onde parte dos atendimentos provavelmente se relaciona a rodovias e a população não residente.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Esses bairros estão sinalizados com asterisco no mapa e trazem alerta no popup. O campo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taxa_confiavel</w:t>
      </w:r>
      <w:r>
        <w:rPr>
          <w:rFonts w:ascii="Calibri" w:cs="Calibri" w:eastAsia="Calibri" w:hAnsi="Calibri"/>
          <w:sz w:val="20"/>
          <w:szCs w:val="20"/>
        </w:rPr>
        <w:t xml:space="preserve"> no GeoPackage permite filtrá-los nas análises.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2.3 Compatibilização de recortes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abairramento da Guarda Municipal tem 61 unidades e o recorte censitário do IBGE tem 60. Cinquenta e cinco coincidem diretamente; cinco foram pareados por equivalência de nome. O bairro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PICO</w:t>
      </w:r>
      <w:r>
        <w:rPr>
          <w:rFonts w:ascii="Calibri" w:cs="Calibri" w:eastAsia="Calibri" w:hAnsi="Calibri"/>
          <w:sz w:val="20"/>
          <w:szCs w:val="20"/>
        </w:rPr>
        <w:t xml:space="preserve"> não tem correspondência no recorte censitário e por isso não recebe taxa — apenas o número absoluto.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3. Retrato municipal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53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5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Período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2024 a 2026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Total de atendimentos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24.127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Taxa por mil habitantes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136,5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Crimes graves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243 (1,01% do total)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Taxa de crimes graves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1,37 por mil habitantes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Bairros com registro</w:t>
            </w:r>
          </w:p>
        </w:tc>
        <w:tc>
          <w:tcPr>
            <w:tcW w:type="dxa" w:w="5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61</w:t>
            </w:r>
          </w:p>
        </w:tc>
      </w:tr>
    </w:tbl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3.1 Natureza dos atendimentos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600"/>
        <w:gridCol w:w="1900"/>
        <w:gridCol w:w="1600"/>
        <w:gridCol w:w="2646"/>
      </w:tblGrid>
      <w:tr>
        <w:trPr>
          <w:tblHeader/>
        </w:trPr>
        <w:tc>
          <w:tcPr>
            <w:tcW w:type="dxa" w:w="3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 de ocorrência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Registros</w:t>
            </w:r>
          </w:p>
        </w:tc>
        <w:tc>
          <w:tcPr>
            <w:tcW w:type="dxa" w:w="1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% do total</w:t>
            </w:r>
          </w:p>
        </w:tc>
        <w:tc>
          <w:tcPr>
            <w:tcW w:type="dxa" w:w="26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Natureza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Atividade preventiva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4.842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20,1%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Rotina operacional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Averiguação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3.818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15,8%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Rotina operacional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Perturbação do sossego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3.106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12,9%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Conflito de convivência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Apoio e auxílio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2.388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9,9%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Apoio social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Abordagem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1.752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7,3%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Rotina operacional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Patrulhamento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1.540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6,4%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Rotina operacional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Orientação das partes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1.367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5,7%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Apoio social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Pessoa em situação de rua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742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3,1%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Apoio social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Disparo de alarme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608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2,5%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Ocorrência de segurança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Violência doméstica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2,3%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Ocorrência de segurança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Desinteligência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363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1,5%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Conflito de convivência</w:t>
            </w:r>
          </w:p>
        </w:tc>
      </w:tr>
      <w:tr>
        <w:tc>
          <w:tcPr>
            <w:tcW w:type="dxa" w:w="3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Furto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334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1,4%</w:t>
            </w:r>
          </w:p>
        </w:tc>
        <w:tc>
          <w:tcPr>
            <w:tcW w:type="dxa" w:w="26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Ocorrência de segurança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Somadas, atividade preventiva, averiguação, patrulhamento e abordagem representam mais da metade dos registros. </w:t>
      </w:r>
      <w:r>
        <w:rPr>
          <w:rFonts w:ascii="Calibri" w:cs="Calibri" w:eastAsia="Calibri" w:hAnsi="Calibri"/>
          <w:sz w:val="20"/>
          <w:szCs w:val="20"/>
        </w:rPr>
        <w:t xml:space="preserve">Perturbação do sossego, sozinha, responde por 12,9% — mais que todos os crimes graves multiplicados por doze.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3.2 Crimes graves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4400"/>
        <w:gridCol w:w="2000"/>
        <w:gridCol w:w="3346"/>
      </w:tblGrid>
      <w:tr>
        <w:trPr>
          <w:tblHeader/>
        </w:trPr>
        <w:tc>
          <w:tcPr>
            <w:tcW w:type="dxa" w:w="4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Registros</w:t>
            </w:r>
          </w:p>
        </w:tc>
        <w:tc>
          <w:tcPr>
            <w:tcW w:type="dxa" w:w="3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Participação nos graves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Tráfico de drogas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164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67,5%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Roubo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18,1%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Estupro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3,3%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Importunação sexual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3,7%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Feminicídio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Sequestro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Porte ilegal de arma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Lesão corporal grave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0,8%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Disparo de arma de fogo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0,8%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Homicídio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0,4%</w:t>
            </w:r>
          </w:p>
        </w:tc>
      </w:tr>
      <w:tr>
        <w:tc>
          <w:tcPr>
            <w:tcW w:type="dxa" w:w="4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Tentativa de homicídio</w:t>
            </w:r>
          </w:p>
        </w:tc>
        <w:tc>
          <w:tcPr>
            <w:tcW w:type="dxa" w:w="2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0,4%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Tráfico de drogas responde por dois terços dos crimes graves registrados. </w:t>
      </w:r>
      <w:r>
        <w:rPr>
          <w:rFonts w:ascii="Calibri" w:cs="Calibri" w:eastAsia="Calibri" w:hAnsi="Calibri"/>
          <w:sz w:val="20"/>
          <w:szCs w:val="20"/>
        </w:rPr>
        <w:t xml:space="preserve">Homicídio e tentativa de homicídio somam dois casos em três anos. Feminicídio, quatro. São números baixos em termos absolutos, mas que exigem leitura qualitativa, não estatística.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4. Distribuição territorial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4.1 Maiores taxas de atendimento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1600"/>
        <w:gridCol w:w="1500"/>
        <w:gridCol w:w="1600"/>
        <w:gridCol w:w="1300"/>
        <w:gridCol w:w="1346"/>
      </w:tblGrid>
      <w:tr>
        <w:trPr>
          <w:tblHeader/>
        </w:trPr>
        <w:tc>
          <w:tcPr>
            <w:tcW w:type="dxa" w:w="24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1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Atendimentos</w:t>
            </w:r>
          </w:p>
        </w:tc>
        <w:tc>
          <w:tcPr>
            <w:tcW w:type="dxa" w:w="15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  <w:tc>
          <w:tcPr>
            <w:tcW w:type="dxa" w:w="1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mil hab.</w:t>
            </w:r>
          </w:p>
        </w:tc>
        <w:tc>
          <w:tcPr>
            <w:tcW w:type="dxa" w:w="13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Graves</w:t>
            </w:r>
          </w:p>
        </w:tc>
        <w:tc>
          <w:tcPr>
            <w:tcW w:type="dxa" w:w="13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Graves/mil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CAETANOS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193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162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1.191,4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3.115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4.715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660,7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2,97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SERRINHA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476,2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TABOÃO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1.983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4.764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416,2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1,89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MATADOURO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2.632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7.125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369,4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3,79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AMÉRICA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537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1.863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288,2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1,07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CURITIBANOS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446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269,1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PENHA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775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3.819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202,9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1,57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CRUZ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1.422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7.800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182,3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3,46</w:t>
            </w:r>
          </w:p>
        </w:tc>
      </w:tr>
      <w:tr>
        <w:tc>
          <w:tcPr>
            <w:tcW w:type="dxa" w:w="24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LAVAPÉS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1.081</w:t>
            </w:r>
          </w:p>
        </w:tc>
        <w:tc>
          <w:tcPr>
            <w:tcW w:type="dxa" w:w="15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6.513</w:t>
            </w:r>
          </w:p>
        </w:tc>
        <w:tc>
          <w:tcPr>
            <w:tcW w:type="dxa" w:w="1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166,0</w:t>
            </w:r>
          </w:p>
        </w:tc>
        <w:tc>
          <w:tcPr>
            <w:tcW w:type="dxa" w:w="13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1,54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Descontados os bairros de população muito pequena, o Centro lidera com folga: 660,7 atendimentos por mil habitantes, quase cinco vezes a média municipal. Taboão e Matadouro vêm em seguida. São áreas centrais, com grande circulação de pessoas não residentes — comércio, serviços e vida noturna geram demanda de atendimento desproporcional à população moradora.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4.2 Maiores taxas de crimes graves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1800"/>
        <w:gridCol w:w="1700"/>
        <w:gridCol w:w="1900"/>
        <w:gridCol w:w="1746"/>
      </w:tblGrid>
      <w:tr>
        <w:trPr>
          <w:tblHeader/>
        </w:trPr>
        <w:tc>
          <w:tcPr>
            <w:tcW w:type="dxa" w:w="26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Bairro</w:t>
            </w:r>
          </w:p>
        </w:tc>
        <w:tc>
          <w:tcPr>
            <w:tcW w:type="dxa" w:w="18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Atendimentos</w:t>
            </w:r>
          </w:p>
        </w:tc>
        <w:tc>
          <w:tcPr>
            <w:tcW w:type="dxa" w:w="17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Crimes graves</w:t>
            </w:r>
          </w:p>
        </w:tc>
        <w:tc>
          <w:tcPr>
            <w:tcW w:type="dxa" w:w="1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mil hab.</w:t>
            </w:r>
          </w:p>
        </w:tc>
        <w:tc>
          <w:tcPr>
            <w:tcW w:type="dxa" w:w="1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População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MATADOURO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2.632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3,79</w:t>
            </w:r>
          </w:p>
        </w:tc>
        <w:tc>
          <w:tcPr>
            <w:tcW w:type="dxa" w:w="1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7.125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BIRIÇA DO CAMPINHO/ CAMPINHO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3,58</w:t>
            </w:r>
          </w:p>
        </w:tc>
        <w:tc>
          <w:tcPr>
            <w:tcW w:type="dxa" w:w="1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559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SÃO LOURENÇO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1.166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3,56</w:t>
            </w:r>
          </w:p>
        </w:tc>
        <w:tc>
          <w:tcPr>
            <w:tcW w:type="dxa" w:w="1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7.593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SANTA CRUZ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1.422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3,46</w:t>
            </w:r>
          </w:p>
        </w:tc>
        <w:tc>
          <w:tcPr>
            <w:tcW w:type="dxa" w:w="1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7.800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CENTRO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3.115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2,97</w:t>
            </w:r>
          </w:p>
        </w:tc>
        <w:tc>
          <w:tcPr>
            <w:tcW w:type="dxa" w:w="1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4.715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BRASIL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818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2,21</w:t>
            </w:r>
          </w:p>
        </w:tc>
        <w:tc>
          <w:tcPr>
            <w:tcW w:type="dxa" w:w="1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9.516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TABOÃO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1.983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1,89</w:t>
            </w:r>
          </w:p>
        </w:tc>
        <w:tc>
          <w:tcPr>
            <w:tcW w:type="dxa" w:w="1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4.764</w:t>
            </w:r>
          </w:p>
        </w:tc>
      </w:tr>
      <w:tr>
        <w:tc>
          <w:tcPr>
            <w:tcW w:type="dxa" w:w="26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GUARIPOCABA</w:t>
            </w:r>
          </w:p>
        </w:tc>
        <w:tc>
          <w:tcPr>
            <w:tcW w:type="dxa" w:w="18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151</w:t>
            </w:r>
          </w:p>
        </w:tc>
        <w:tc>
          <w:tcPr>
            <w:tcW w:type="dxa" w:w="17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1,67</w:t>
            </w:r>
          </w:p>
        </w:tc>
        <w:tc>
          <w:tcPr>
            <w:tcW w:type="dxa" w:w="1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1.793</w:t>
            </w:r>
          </w:p>
        </w:tc>
      </w:tr>
    </w:tbl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ordenação por crimes graves difere da de atendimentos totais. Matadouro, São Lourenço e Santa Cruz aparecem no topo, indicando que a gravidade das ocorrências não acompanha necessariamente o volume de atendimento.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5. Cruzamentos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5.1 Vulnerabilidade social não explica a atividade da Guarda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correlação entre a taxa de atendimentos e o IPVS médio do bairro é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-0,13</w:t>
      </w:r>
      <w:r>
        <w:rPr>
          <w:rFonts w:ascii="Calibri" w:cs="Calibri" w:eastAsia="Calibri" w:hAnsi="Calibri"/>
          <w:sz w:val="20"/>
          <w:szCs w:val="20"/>
        </w:rPr>
        <w:t xml:space="preserve"> — praticamente nula, e de sinal negativo. Não há associação estatística entre vulnerabilidade social e volume de atendimento da Guarda Municipal.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Esse achado tem peso, porque desmonta uma associação frequentemente presumida no debate público. </w:t>
      </w:r>
      <w:r>
        <w:rPr>
          <w:rFonts w:ascii="Calibri" w:cs="Calibri" w:eastAsia="Calibri" w:hAnsi="Calibri"/>
          <w:sz w:val="20"/>
          <w:szCs w:val="20"/>
        </w:rPr>
        <w:t xml:space="preserve">Os bairros de maior atividade da Guarda são os centrais, de perfil socioeconômico mais elevado e grande circulação. Os bairros de maior vulnerabilidade, identificados no Mapa 26, não são os que mais demandam atendimento.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5.2 Densidade também não explica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A correlação com a densidade demográfica é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0,19</w:t>
      </w:r>
      <w:r>
        <w:rPr>
          <w:rFonts w:ascii="Calibri" w:cs="Calibri" w:eastAsia="Calibri" w:hAnsi="Calibri"/>
          <w:sz w:val="20"/>
          <w:szCs w:val="20"/>
        </w:rPr>
        <w:t xml:space="preserve">, igualmente desprezível. O que concentra atendimento não é adensamento populacional, e sim a função urbana: centralidade comercial, circulação e uso noturno do espaço.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5.3 A dimensão do apoio social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Dois tipos de ocorrência merecem destaque por revelarem uma função da Guarda que extrapola a segurança.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Pessoa em situação de rua soma 742 atendimentos</w:t>
      </w:r>
      <w:r>
        <w:rPr>
          <w:rFonts w:ascii="Calibri" w:cs="Calibri" w:eastAsia="Calibri" w:hAnsi="Calibri"/>
          <w:sz w:val="20"/>
          <w:szCs w:val="20"/>
        </w:rPr>
        <w:t xml:space="preserve"> e violência doméstica,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556</w:t>
      </w:r>
      <w:r>
        <w:rPr>
          <w:rFonts w:ascii="Calibri" w:cs="Calibri" w:eastAsia="Calibri" w:hAnsi="Calibri"/>
          <w:sz w:val="20"/>
          <w:szCs w:val="20"/>
        </w:rPr>
        <w:t xml:space="preserve">. Juntos, superam em cinco vezes o total de crimes graves.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São demandas de natureza socioassistencial atendidas pela Guarda por ausência ou insuficiência de outro serviço disponível no momento do chamado. Isso indica necessidade de articulação com a rede de assistência social e com os equipamentos de proteção à mulher.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6. Diagnóstico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6.1 A Guarda atua majoritariamente fora da segurança pública estrita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Com 99% dos registros fora da categoria de crimes graves, a Guarda Municipal de Bragança opera predominantemente como serviço de presença territorial, mediação e apoio à população. Essa constatação deveria orientar o dimensionamento da corporação, a formação dos agentes e a articulação com outras políticas municipais.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6.2 Concentração na área central</w:t>
      </w:r>
    </w:p>
    <w:p>
      <w:pPr>
        <w:spacing w:after="130" w:before="0" w:line="288"/>
      </w:pPr>
      <w:r>
        <w:rPr>
          <w:rFonts w:ascii="Calibri" w:cs="Calibri" w:eastAsia="Calibri" w:hAnsi="Calibri"/>
          <w:sz w:val="20"/>
          <w:szCs w:val="20"/>
        </w:rPr>
        <w:t xml:space="preserve">O Centro concentra a maior intensidade de atendimento do município. Trata-se de área com população residente pequena e enorme população flutuante. O planejamento do serviço precisa considerar a população presente, não a residente — o que também vale para a localização de bases operacionais.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6.3 Conflitos de convivência como demanda principal</w:t>
      </w:r>
    </w:p>
    <w:p>
      <w:pPr>
        <w:spacing w:after="130" w:before="0" w:line="28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Perturbação do sossego e desinteligência somam 3.469 registros. </w:t>
      </w:r>
      <w:r>
        <w:rPr>
          <w:rFonts w:ascii="Calibri" w:cs="Calibri" w:eastAsia="Calibri" w:hAnsi="Calibri"/>
          <w:sz w:val="20"/>
          <w:szCs w:val="20"/>
        </w:rPr>
        <w:t xml:space="preserve">São conflitos de vizinhança e convivência urbana, cuja resolução passa mais por mediação e por regulação de usos — horários, ruído, ocupação do espaço público — do que por policiamento. Há interface direta com o zoneamento e com a legislação de posturas.</w:t>
      </w:r>
    </w:p>
    <w:p>
      <w:pPr>
        <w:pStyle w:val="Heading2"/>
        <w:spacing w:after="105" w:before="250"/>
      </w:pPr>
      <w:r>
        <w:rPr>
          <w:rFonts w:ascii="Calibri" w:cs="Calibri" w:eastAsia="Calibri" w:hAnsi="Calibri"/>
          <w:b/>
          <w:bCs/>
          <w:color w:val="0175BC"/>
          <w:sz w:val="23"/>
          <w:szCs w:val="23"/>
        </w:rPr>
        <w:t xml:space="preserve">6.4 Implicações para a revisão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Uso do espaço público e vida noturna. </w:t>
      </w:r>
      <w:r>
        <w:rPr>
          <w:rFonts w:ascii="Calibri" w:cs="Calibri" w:eastAsia="Calibri" w:hAnsi="Calibri"/>
          <w:sz w:val="19"/>
          <w:szCs w:val="19"/>
        </w:rPr>
        <w:t xml:space="preserve">A concentração de perturbação do sossego indica áreas de conflito entre uso residencial e uso de lazer noturno, questão que o zoneamento pode tratar.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Dimensionamento por população presente. </w:t>
      </w:r>
      <w:r>
        <w:rPr>
          <w:rFonts w:ascii="Calibri" w:cs="Calibri" w:eastAsia="Calibri" w:hAnsi="Calibri"/>
          <w:sz w:val="19"/>
          <w:szCs w:val="19"/>
        </w:rPr>
        <w:t xml:space="preserve">O planejamento do serviço na área central deve considerar a circulação, não a população residente.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Articulação socioassistencial. </w:t>
      </w:r>
      <w:r>
        <w:rPr>
          <w:rFonts w:ascii="Calibri" w:cs="Calibri" w:eastAsia="Calibri" w:hAnsi="Calibri"/>
          <w:sz w:val="19"/>
          <w:szCs w:val="19"/>
        </w:rPr>
        <w:t xml:space="preserve">Os atendimentos a pessoas em situação de rua e a casos de violência doméstica apontam para a necessidade de integração com CRAS, CREAS e rede de proteção.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Cautela na leitura. </w:t>
      </w:r>
      <w:r>
        <w:rPr>
          <w:rFonts w:ascii="Calibri" w:cs="Calibri" w:eastAsia="Calibri" w:hAnsi="Calibri"/>
          <w:sz w:val="19"/>
          <w:szCs w:val="19"/>
        </w:rPr>
        <w:t xml:space="preserve">Este mapa não deve ser usado para estigmatizar bairros. Volume elevado de atendimento indica presença da Guarda, não insegurança, e a ausência de correlação com vulnerabilidade social reforça esse cuidado.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Complementação com dados da SSP. </w:t>
      </w:r>
      <w:r>
        <w:rPr>
          <w:rFonts w:ascii="Calibri" w:cs="Calibri" w:eastAsia="Calibri" w:hAnsi="Calibri"/>
          <w:sz w:val="19"/>
          <w:szCs w:val="19"/>
        </w:rPr>
        <w:t xml:space="preserve">Para um diagnóstico de segurança pública propriamente dito, é necessário incorporar a estatística criminal estadual, que registra ocorrências não atendidas pela Guarda.</w:t>
      </w:r>
    </w:p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7. Produtos entregues</w:t>
      </w:r>
    </w:p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67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12_SEGURANCA_URBANA.gpkg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GeoPackage com 3 camadas em EPSG:31983 e projeto QGIS embutido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Arquivos .qml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Quatro estilos, incluindo taxa de atendimento e taxa de crimes graves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.qgs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Projeto QGIS avulso, alternativo ao embutido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Visualizador WebGIS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Mapa interativo com seleção de indicador e tema, painel de legenda com indicador de posição, popups com gráficos e exportação em JPEG e PDF</w:t>
            </w:r>
          </w:p>
        </w:tc>
      </w:tr>
      <w:tr>
        <w:tc>
          <w:tcPr>
            <w:tcW w:type="dxa" w:w="30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Este relatório</w:t>
            </w:r>
          </w:p>
        </w:tc>
        <w:tc>
          <w:tcPr>
            <w:tcW w:type="dxa" w:w="67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Documento técnico de diagnóstico</w:t>
            </w:r>
          </w:p>
        </w:tc>
      </w:tr>
    </w:tbl>
    <w:tbl>
      <w:tblPr>
        <w:tblW w:type="dxa" w:w="974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900"/>
        <w:gridCol w:w="900"/>
        <w:gridCol w:w="5946"/>
      </w:tblGrid>
      <w:tr>
        <w:trPr>
          <w:tblHeader/>
        </w:trPr>
        <w:tc>
          <w:tcPr>
            <w:tcW w:type="dxa" w:w="2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900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Feições</w:t>
            </w:r>
          </w:p>
        </w:tc>
        <w:tc>
          <w:tcPr>
            <w:tcW w:type="dxa" w:w="5946"/>
            <w:shd w:fill="01305A" w:color="auto" w:val="clear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seguranca_bairros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Total de atendimentos, crimes graves por tipo, doze tipos de ocorrência, taxas por mil habitantes, IPVS, densidade e indicador de confiabilidade da taxa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sistema_viario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2.332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Eixo de logradouro municipal com hierarquia viária, camada de referência</w:t>
            </w:r>
          </w:p>
        </w:tc>
      </w:tr>
      <w:tr>
        <w:tc>
          <w:tcPr>
            <w:tcW w:type="dxa" w:w="2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limite_municipal</w:t>
            </w:r>
          </w:p>
        </w:tc>
        <w:tc>
          <w:tcPr>
            <w:tcW w:type="dxa" w:w="900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right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946"/>
            <w:tcMar>
              <w:top w:type="dxa" w:w="58"/>
              <w:left w:type="dxa" w:w="88"/>
              <w:bottom w:type="dxa" w:w="58"/>
              <w:right w:type="dxa" w:w="88"/>
            </w:tcMar>
          </w:tcPr>
          <w:p>
            <w:pPr>
              <w:spacing w:after="0" w:line="226"/>
              <w:jc w:val="center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Limite do município com totais agregados</w:t>
            </w:r>
          </w:p>
        </w:tc>
      </w:tr>
    </w:tbl>
    <w:p>
      <w:pPr>
        <w:pStyle w:val="Heading1"/>
        <w:pBdr>
          <w:bottom w:val="single" w:color="FFEF00" w:sz="12" w:space="6"/>
        </w:pBdr>
        <w:spacing w:after="165" w:before="340"/>
      </w:pPr>
      <w:r>
        <w:rPr>
          <w:rFonts w:ascii="Calibri" w:cs="Calibri" w:eastAsia="Calibri" w:hAnsi="Calibri"/>
          <w:b/>
          <w:bCs/>
          <w:color w:val="01305A"/>
          <w:sz w:val="28"/>
          <w:szCs w:val="28"/>
        </w:rPr>
        <w:t xml:space="preserve">8. Limitações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dado registra atendimentos da Guarda Municipal, não a totalidade das ocorrências de segurança no município.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Não há estatística criminal da Secretaria de Segurança Pública nesta base, o que impede diagnóstico de criminalidade.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Dezesseis bairros têm menos de 500 habitantes e suas taxas por mil devem ser lidas com cautela.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Um bairro do abairramento da Guarda não tem correspondência no recorte censitário e por isso não recebe taxa.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O período de 2024 a 2026 não permite análise de série histórica nem de sazonalidade, por não estar desagregado por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A localização é por bairro, não por endereço, o que impede análise de pontos críticos dentro de cada área.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Segurança Urbana · Guarda Municipal · Bragança Paulista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Segurança Urbana — Relatório e Diagnóstico</dc:title>
  <dc:creator>Divisão de Planejamento — Prefeitura de Bragança Paulista</dc:creator>
  <cp:lastModifiedBy>Un-named</cp:lastModifiedBy>
  <cp:revision>1</cp:revision>
  <dcterms:created xsi:type="dcterms:W3CDTF">2026-08-21T19:52:46.230Z</dcterms:created>
  <dcterms:modified xsi:type="dcterms:W3CDTF">2026-08-21T19:52:46.230Z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