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175BC"/>
          <w:spacing w:val="50"/>
          <w:sz w:val="22"/>
          <w:szCs w:val="22"/>
        </w:rPr>
        <w:t xml:space="preserve">REVISÃO DO PLANO DIRETOR · BRAGANÇA PAULISTA</w:t>
      </w:r>
    </w:p>
    <w:p>
      <w:pPr>
        <w:spacing w:after="18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Leitura Técnica Socioterritorial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color w:val="01305A"/>
          <w:sz w:val="40"/>
          <w:szCs w:val="40"/>
        </w:rPr>
        <w:t xml:space="preserve">Equipamentos Públicos e Infraestrutura</w:t>
      </w:r>
    </w:p>
    <w:p>
      <w:pPr>
        <w:pBdr>
          <w:top w:val="single" w:color="FFEF00" w:sz="18" w:space="14"/>
        </w:pBdr>
        <w:spacing w:after="54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Saúde, educação, esporte, cultura, assistência social e sistema viário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Divisão de Planejamento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Secretaria Municipal de Planejamento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Outubro de 2026</w:t>
      </w:r>
    </w:p>
    <w:p>
      <w:r>
        <w:br w:type="page"/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1. O que este mapa reúne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rede de equipamentos públicos de Bragança Paulista e o sistema viário municipal. São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336 equipamentos</w:t>
      </w:r>
      <w:r>
        <w:rPr>
          <w:rFonts w:ascii="Calibri" w:cs="Calibri" w:eastAsia="Calibri" w:hAnsi="Calibri"/>
          <w:sz w:val="20"/>
          <w:szCs w:val="20"/>
        </w:rPr>
        <w:t xml:space="preserve"> em cinco setores, sobre 3.824 eixos de logradouro que somam 1.442,3 quilômetros.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000"/>
        <w:gridCol w:w="1500"/>
        <w:gridCol w:w="5246"/>
      </w:tblGrid>
      <w:tr>
        <w:trPr>
          <w:tblHeader/>
        </w:trPr>
        <w:tc>
          <w:tcPr>
            <w:tcW w:type="dxa" w:w="3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Setor</w:t>
            </w:r>
          </w:p>
        </w:tc>
        <w:tc>
          <w:tcPr>
            <w:tcW w:type="dxa" w:w="15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Equipamentos</w:t>
            </w:r>
          </w:p>
        </w:tc>
        <w:tc>
          <w:tcPr>
            <w:tcW w:type="dxa" w:w="52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Fonte dos dados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Esporte e Lazer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162</w:t>
            </w:r>
          </w:p>
        </w:tc>
        <w:tc>
          <w:tcPr>
            <w:tcW w:type="dxa" w:w="5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Cadastro municipal — Secretaria de Esportes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Educação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95</w:t>
            </w:r>
          </w:p>
        </w:tc>
        <w:tc>
          <w:tcPr>
            <w:tcW w:type="dxa" w:w="5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Censo Escolar 2025 — INEP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Saúde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55</w:t>
            </w:r>
          </w:p>
        </w:tc>
        <w:tc>
          <w:tcPr>
            <w:tcW w:type="dxa" w:w="5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CNES e cadastro da Secretaria Municipal de Saúde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Assistência Social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5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Cadastro municipal — SEMADS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Cultura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52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Cadastro municipal — Secretaria de Cultura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Cada setor usa a classificação da sua própria fonte. </w:t>
      </w:r>
      <w:r>
        <w:rPr>
          <w:rFonts w:ascii="Calibri" w:cs="Calibri" w:eastAsia="Calibri" w:hAnsi="Calibri"/>
          <w:sz w:val="20"/>
          <w:szCs w:val="20"/>
        </w:rPr>
        <w:t xml:space="preserve">Saúde e educação vêm de bases nacionais, com indicadores de equipe e matrícula; os demais vêm do cadastro municipal, com endereço e finalidade.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2. Sistema viário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3.824 eixos</w:t>
      </w:r>
      <w:r>
        <w:rPr>
          <w:rFonts w:ascii="Calibri" w:cs="Calibri" w:eastAsia="Calibri" w:hAnsi="Calibri"/>
          <w:sz w:val="20"/>
          <w:szCs w:val="20"/>
        </w:rPr>
        <w:t xml:space="preserve"> somando 1.442,3 km. A base original trazia 10.182 segmentos: os trechos de uma mesma via nomeada foram unidos, reduzindo o total em 62% sem alterar a extensão.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400"/>
        <w:gridCol w:w="1700"/>
        <w:gridCol w:w="4646"/>
      </w:tblGrid>
      <w:tr>
        <w:trPr>
          <w:tblHeader/>
        </w:trPr>
        <w:tc>
          <w:tcPr>
            <w:tcW w:type="dxa" w:w="3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Hierarquia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Eixos</w:t>
            </w:r>
          </w:p>
        </w:tc>
        <w:tc>
          <w:tcPr>
            <w:tcW w:type="dxa" w:w="46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Coletora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254</w:t>
            </w:r>
          </w:p>
        </w:tc>
        <w:tc>
          <w:tcPr>
            <w:tcW w:type="dxa" w:w="4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Distribuem o tráfego entre arteriais e locais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Local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4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Arterial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4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Estruturam a circulação municipal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Arterial Secundária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4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Estruturam a circulação municipal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Regional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4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Ligação intermunicipal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Arterial - Estrada Parque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Estruturam a circulação municipal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Sem hierarquia definida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3.460</w:t>
            </w:r>
          </w:p>
        </w:tc>
        <w:tc>
          <w:tcPr>
            <w:tcW w:type="dxa" w:w="4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Vias locais não classificadas pelos decretos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Apenas 364 eixos têm hierarquia atribuída pelos decretos PA-16330/25 e D-4691/25. </w:t>
      </w:r>
      <w:r>
        <w:rPr>
          <w:rFonts w:ascii="Calibri" w:cs="Calibri" w:eastAsia="Calibri" w:hAnsi="Calibri"/>
          <w:sz w:val="20"/>
          <w:szCs w:val="20"/>
        </w:rPr>
        <w:t xml:space="preserve">Os demais 3.460 são vias locais sem classificação formal — a maioria sem nome no cadastro.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3. Saúde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55 equipamentos, 2.818 profissionais e 829 médicos.</w:t>
      </w:r>
      <w:r>
        <w:rPr>
          <w:rFonts w:ascii="Calibri" w:cs="Calibri" w:eastAsia="Calibri" w:hAnsi="Calibri"/>
          <w:sz w:val="20"/>
          <w:szCs w:val="20"/>
        </w:rPr>
        <w:t xml:space="preserve"> Os números de equipe referem-se aos 44 estabelecimentos declarados ao CNES.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400"/>
        <w:gridCol w:w="1500"/>
        <w:gridCol w:w="4846"/>
      </w:tblGrid>
      <w:tr>
        <w:trPr>
          <w:tblHeader/>
        </w:trPr>
        <w:tc>
          <w:tcPr>
            <w:tcW w:type="dxa" w:w="3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5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Equipamentos</w:t>
            </w:r>
          </w:p>
        </w:tc>
        <w:tc>
          <w:tcPr>
            <w:tcW w:type="dxa" w:w="48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Composição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Atenção básica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48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ESF, UBS, EACS e academias de saúde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Atenção especializada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48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Atendimento móvel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48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Viaturas do SAMU e do Corpo de Bombeiros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Gestão e apoio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8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Secretaria, almoxarifado e transportes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Saúde mental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8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CAPS II e CAPS Álcool e Drogas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Urgência e emergência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8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UPA Vila Davi e UPA Bom Jesus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Vigilância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8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Zoonoses e vigilância sanitária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Apoio diagnóstico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8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Laboratório Regional de Saúde Pública</w:t>
            </w:r>
          </w:p>
        </w:tc>
      </w:tr>
    </w:tbl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3.1 Maiores estabelecimentos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4400"/>
        <w:gridCol w:w="1500"/>
        <w:gridCol w:w="1500"/>
        <w:gridCol w:w="2346"/>
      </w:tblGrid>
      <w:tr>
        <w:trPr>
          <w:tblHeader/>
        </w:trPr>
        <w:tc>
          <w:tcPr>
            <w:tcW w:type="dxa" w:w="4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Estabelecimento</w:t>
            </w:r>
          </w:p>
        </w:tc>
        <w:tc>
          <w:tcPr>
            <w:tcW w:type="dxa" w:w="15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Profissionais</w:t>
            </w:r>
          </w:p>
        </w:tc>
        <w:tc>
          <w:tcPr>
            <w:tcW w:type="dxa" w:w="15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Médicos</w:t>
            </w:r>
          </w:p>
        </w:tc>
        <w:tc>
          <w:tcPr>
            <w:tcW w:type="dxa" w:w="23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UPA Unidade de Pronto Atendimento 24 Horas Vila Davi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251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102</w:t>
            </w:r>
          </w:p>
        </w:tc>
        <w:tc>
          <w:tcPr>
            <w:tcW w:type="dxa" w:w="2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Urgência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UPA Unidade de Pronto Atendimento 24 Horas Bom Jesus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144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2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Urgência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Ambulatorio de Especialidades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108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94</w:t>
            </w:r>
          </w:p>
        </w:tc>
        <w:tc>
          <w:tcPr>
            <w:tcW w:type="dxa" w:w="2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Especializada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ESF Vila David I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102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2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Atenção básica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UBS Santa Luzia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91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2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Atenção básica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ESF Agua Clara I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90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2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Atenção básica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ESF Toro II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86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2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Atenção básica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ESF Casa de Jesus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2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Atenção básica</w:t>
            </w:r>
          </w:p>
        </w:tc>
      </w:tr>
    </w:tbl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3.2 Duas bases cruzadas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Nem o CNES nem o cadastro municipal cobrem sozinhos a rede. </w:t>
      </w:r>
      <w:r>
        <w:rPr>
          <w:rFonts w:ascii="Calibri" w:cs="Calibri" w:eastAsia="Calibri" w:hAnsi="Calibri"/>
          <w:sz w:val="20"/>
          <w:szCs w:val="20"/>
        </w:rPr>
        <w:t xml:space="preserve">Onze equipamentos do cadastro municipal não têm registro no recorte do CNES consultado — os dois CAPS, o Centro de Reabilitação, o PAD, duas academias de saúde, duas unidades de vigilância e três de gestão. Na direção inversa, o CNES traz a UPA Bom Jesus, o Laboratório Regional e a unidade de resgate do Corpo de Bombeiros, ausentes do cadastro municipal.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600"/>
        <w:gridCol w:w="1500"/>
        <w:gridCol w:w="4646"/>
      </w:tblGrid>
      <w:tr>
        <w:trPr>
          <w:tblHeader/>
        </w:trPr>
        <w:tc>
          <w:tcPr>
            <w:tcW w:type="dxa" w:w="3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Origem da coordenada</w:t>
            </w:r>
          </w:p>
        </w:tc>
        <w:tc>
          <w:tcPr>
            <w:tcW w:type="dxa" w:w="15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Equipamentos</w:t>
            </w:r>
          </w:p>
        </w:tc>
        <w:tc>
          <w:tcPr>
            <w:tcW w:type="dxa" w:w="46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Critério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Cadastro SMSaúde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37</w:t>
            </w:r>
          </w:p>
        </w:tc>
        <w:tc>
          <w:tcPr>
            <w:tcW w:type="dxa" w:w="4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Localização do cadastro municipal, mais precisa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CNES / Georedus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4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Sem correspondente no cadastro municipal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 localização do cadastro municipal prevalece sempre que há correspondência. </w:t>
      </w:r>
      <w:r>
        <w:rPr>
          <w:rFonts w:ascii="Calibri" w:cs="Calibri" w:eastAsia="Calibri" w:hAnsi="Calibri"/>
          <w:sz w:val="20"/>
          <w:szCs w:val="20"/>
        </w:rPr>
        <w:t xml:space="preserve">O ponto do CNES para a UBS Morro Grande da Boa Vista caía fora do limite municipal, a quase 15 km da posição real. Após as substituições, nenhum dos 55 equipamentos está fora do município.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Apenas 7 estabelecimentos declaram atendimento 24 horas.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4. Educação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95 escolas públicas, 27.450 matrículas, 1.124 turmas e 1.915 docentes.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400"/>
        <w:gridCol w:w="1500"/>
        <w:gridCol w:w="4846"/>
      </w:tblGrid>
      <w:tr>
        <w:trPr>
          <w:tblHeader/>
        </w:trPr>
        <w:tc>
          <w:tcPr>
            <w:tcW w:type="dxa" w:w="3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Rede</w:t>
            </w:r>
          </w:p>
        </w:tc>
        <w:tc>
          <w:tcPr>
            <w:tcW w:type="dxa" w:w="15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Escolas</w:t>
            </w:r>
          </w:p>
        </w:tc>
        <w:tc>
          <w:tcPr>
            <w:tcW w:type="dxa" w:w="48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Etapas atendidas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Municipal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71</w:t>
            </w:r>
          </w:p>
        </w:tc>
        <w:tc>
          <w:tcPr>
            <w:tcW w:type="dxa" w:w="48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Creche, pré-escola e fundamental I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Estadual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48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Fundamental II e ensino médio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Federal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8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Ensino médio e técnico (IFSP)</w:t>
            </w:r>
          </w:p>
        </w:tc>
      </w:tr>
    </w:tbl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4.1 Matrículas por etapa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400"/>
        <w:gridCol w:w="1700"/>
        <w:gridCol w:w="1700"/>
        <w:gridCol w:w="2946"/>
      </w:tblGrid>
      <w:tr>
        <w:trPr>
          <w:tblHeader/>
        </w:trPr>
        <w:tc>
          <w:tcPr>
            <w:tcW w:type="dxa" w:w="3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Matrículas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Escolas</w:t>
            </w:r>
          </w:p>
        </w:tc>
        <w:tc>
          <w:tcPr>
            <w:tcW w:type="dxa" w:w="29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Rede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Creche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3.338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2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Municipal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Pré-escola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3.222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2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Municipal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Fundamental I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8.546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38</w:t>
            </w:r>
          </w:p>
        </w:tc>
        <w:tc>
          <w:tcPr>
            <w:tcW w:type="dxa" w:w="2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Municipal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Fundamental II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6.619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2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Estadual e federal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Ensino Médio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5.287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2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Estadual e federal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27 das 71 escolas municipais</w:t>
      </w:r>
      <w:r>
        <w:rPr>
          <w:rFonts w:ascii="Calibri" w:cs="Calibri" w:eastAsia="Calibri" w:hAnsi="Calibri"/>
          <w:sz w:val="20"/>
          <w:szCs w:val="20"/>
        </w:rPr>
        <w:t xml:space="preserve"> oferecem mais de uma etapa — é o padrão da rede, não a exceção. Por isso o mapa filtra por etapa em vez de atribuir uma categoria única a cada escola: uma escola aparece enquanto ao menos uma de suas etapas estiver selecionada.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4.2 Infraestrutura escolar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600"/>
        <w:gridCol w:w="1500"/>
        <w:gridCol w:w="1500"/>
        <w:gridCol w:w="3146"/>
      </w:tblGrid>
      <w:tr>
        <w:trPr>
          <w:tblHeader/>
        </w:trPr>
        <w:tc>
          <w:tcPr>
            <w:tcW w:type="dxa" w:w="3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5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Escolas</w:t>
            </w:r>
          </w:p>
        </w:tc>
        <w:tc>
          <w:tcPr>
            <w:tcW w:type="dxa" w:w="15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Cobertura</w:t>
            </w:r>
          </w:p>
        </w:tc>
        <w:tc>
          <w:tcPr>
            <w:tcW w:type="dxa" w:w="31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Leitura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Água potável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95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3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Praticamente universal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Alimentação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93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98%</w:t>
            </w:r>
          </w:p>
        </w:tc>
        <w:tc>
          <w:tcPr>
            <w:tcW w:type="dxa" w:w="3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Praticamente universal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Biblioteca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38%</w:t>
            </w:r>
          </w:p>
        </w:tc>
        <w:tc>
          <w:tcPr>
            <w:tcW w:type="dxa" w:w="3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Restrita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Sala de leitura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75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79%</w:t>
            </w:r>
          </w:p>
        </w:tc>
        <w:tc>
          <w:tcPr>
            <w:tcW w:type="dxa" w:w="3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Ampla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Laboratório de ciências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5%</w:t>
            </w:r>
          </w:p>
        </w:tc>
        <w:tc>
          <w:tcPr>
            <w:tcW w:type="dxa" w:w="3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Restrita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Quadra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52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55%</w:t>
            </w:r>
          </w:p>
        </w:tc>
        <w:tc>
          <w:tcPr>
            <w:tcW w:type="dxa" w:w="3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Parcial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Quadra coberta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44%</w:t>
            </w:r>
          </w:p>
        </w:tc>
        <w:tc>
          <w:tcPr>
            <w:tcW w:type="dxa" w:w="3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Parcial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Pátio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80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84%</w:t>
            </w:r>
          </w:p>
        </w:tc>
        <w:tc>
          <w:tcPr>
            <w:tcW w:type="dxa" w:w="3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Ampla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Refeitório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86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91%</w:t>
            </w:r>
          </w:p>
        </w:tc>
        <w:tc>
          <w:tcPr>
            <w:tcW w:type="dxa" w:w="3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Praticamente universal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Vão livre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45%</w:t>
            </w:r>
          </w:p>
        </w:tc>
        <w:tc>
          <w:tcPr>
            <w:tcW w:type="dxa" w:w="3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Parcial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Biblioteca em 38% e laboratório de ciências em 5% das escolas</w:t>
      </w:r>
      <w:r>
        <w:rPr>
          <w:rFonts w:ascii="Calibri" w:cs="Calibri" w:eastAsia="Calibri" w:hAnsi="Calibri"/>
          <w:sz w:val="20"/>
          <w:szCs w:val="20"/>
        </w:rPr>
        <w:t xml:space="preserve"> são as duas lacunas mais expressivas da rede pública municipal.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acessibilidade não consta do arquivo: o campo vem vazio nas 130 escolas do município, incluindo as particulares. É ausência de preenchimento na origem, não ausência do atributo — por isso foi suprimido do mapa e deste relatório.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5. Esporte, cultura e assistência social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5.1 Esporte e Lazer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162 equipamentos</w:t>
      </w:r>
      <w:r>
        <w:rPr>
          <w:rFonts w:ascii="Calibri" w:cs="Calibri" w:eastAsia="Calibri" w:hAnsi="Calibri"/>
          <w:sz w:val="20"/>
          <w:szCs w:val="20"/>
        </w:rPr>
        <w:t xml:space="preserve">, o maior conjunto do mapa. Os 14 tipos do cadastro foram agrupados em seis categorias legíveis.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600"/>
        <w:gridCol w:w="1700"/>
        <w:gridCol w:w="4446"/>
      </w:tblGrid>
      <w:tr>
        <w:trPr>
          <w:tblHeader/>
        </w:trPr>
        <w:tc>
          <w:tcPr>
            <w:tcW w:type="dxa" w:w="3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Categoria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Equipamentos</w:t>
            </w:r>
          </w:p>
        </w:tc>
        <w:tc>
          <w:tcPr>
            <w:tcW w:type="dxa" w:w="44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reúne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Academias ao ar livre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44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Inclui as unidades adaptadas para PCD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Campos e estádios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44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Estádios, campos society e campos de futebol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CILEs e mini CILEs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44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Quadras e ginásios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4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Ginásios, vôlei de areia, tênis e artes marciais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Pistas e piscinas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44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Skate, pumptrack e piscinas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Malha e bocha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44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5.2 Cultura e assistência social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8 equipamentos culturais e 16 da assistência social</w:t>
      </w:r>
      <w:r>
        <w:rPr>
          <w:rFonts w:ascii="Calibri" w:cs="Calibri" w:eastAsia="Calibri" w:hAnsi="Calibri"/>
          <w:sz w:val="20"/>
          <w:szCs w:val="20"/>
        </w:rPr>
        <w:t xml:space="preserve">, estes últimos organizados pela tipologia do SUAS: proteção básica, proteção especial, acolhimento, atendimento a idosos e gestão.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6. Diagnóstico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6.1 O cadastro municipal não é suficiente para a saúde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 cruzamento com o CNES revelou uma UPA ausente do cadastro interno — a Bom Jesus, com 144 profissionais e 48 médicos, segundo maior estabelecimento do município. Também revelou coordenadas municipais mais precisas que as do CNES em 26 unidades. Nenhuma das duas bases é completa isoladamente, e a manutenção conjunta deveria ser rotina.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6.2 A rede escolar municipal combina etapas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Mais de um terço das escolas municipais atende duas ou três etapas no mesmo prédio. Isso tem efeito direto sobre o dimensionamento: ampliar vagas de creche pode significar disputar espaço com o fundamental na mesma unidade, não construir equipamento novo.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6.3 Lacunas de infraestrutura escolar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Biblioteca e laboratório de ciências são os itens de menor cobertura. Como o dado vem do Censo Escolar, pode ser monitorado ano a ano sem levantamento próprio.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6.4 Hierarquia viária incompleta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Dos 3.824 eixos, apenas 364 têm hierarquia atribuída. </w:t>
      </w:r>
      <w:r>
        <w:rPr>
          <w:rFonts w:ascii="Calibri" w:cs="Calibri" w:eastAsia="Calibri" w:hAnsi="Calibri"/>
          <w:sz w:val="20"/>
          <w:szCs w:val="20"/>
        </w:rPr>
        <w:t xml:space="preserve">A classificação dos decretos cobre a estrutura principal, mas a malha local permanece sem enquadramento — o que limita a aplicação de parâmetros urbanísticos vinculados à hierarquia, como recuos e gabaritos.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6.5 Implicações para a revisão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Dimensionamento regional. </w:t>
      </w:r>
      <w:r>
        <w:rPr>
          <w:rFonts w:ascii="Calibri" w:cs="Calibri" w:eastAsia="Calibri" w:hAnsi="Calibri"/>
          <w:sz w:val="19"/>
          <w:szCs w:val="19"/>
        </w:rPr>
        <w:t xml:space="preserve">A rede de saúde e educação atende população além da residente, conforme o mapa de fluxos intermunicipais demonstra.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Manutenção cadastral. </w:t>
      </w:r>
      <w:r>
        <w:rPr>
          <w:rFonts w:ascii="Calibri" w:cs="Calibri" w:eastAsia="Calibri" w:hAnsi="Calibri"/>
          <w:sz w:val="19"/>
          <w:szCs w:val="19"/>
        </w:rPr>
        <w:t xml:space="preserve">CNES e INEP permitem conferência anual do cadastro municipal sem custo adicional.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Classificação viária. </w:t>
      </w:r>
      <w:r>
        <w:rPr>
          <w:rFonts w:ascii="Calibri" w:cs="Calibri" w:eastAsia="Calibri" w:hAnsi="Calibri"/>
          <w:sz w:val="19"/>
          <w:szCs w:val="19"/>
        </w:rPr>
        <w:t xml:space="preserve">Completar a hierarquia da malha local é pré-requisito para parâmetros urbanísticos diferenciados por via.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Acessibilidade. </w:t>
      </w:r>
      <w:r>
        <w:rPr>
          <w:rFonts w:ascii="Calibri" w:cs="Calibri" w:eastAsia="Calibri" w:hAnsi="Calibri"/>
          <w:sz w:val="19"/>
          <w:szCs w:val="19"/>
        </w:rPr>
        <w:t xml:space="preserve">O dado não existe nas bases consultadas. Um levantamento próprio seria necessário para qualquer política de acessibilidade em equipamentos.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7. Produtos entregues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Produto</w:t>
            </w:r>
          </w:p>
        </w:tc>
        <w:tc>
          <w:tcPr>
            <w:tcW w:type="dxa" w:w="65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17_EQUIPAMENTOS_E_INFRAESTRUTURA.gpkg</w:t>
            </w:r>
          </w:p>
        </w:tc>
        <w:tc>
          <w:tcPr>
            <w:tcW w:type="dxa" w:w="6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GeoPackage com 7 camadas espaciais e 1 tabela de síntese, em EPSG:31983</w:t>
            </w:r>
          </w:p>
        </w:tc>
      </w:tr>
      <w:tr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Visualizador WebGIS</w:t>
            </w:r>
          </w:p>
        </w:tc>
        <w:tc>
          <w:tcPr>
            <w:tcW w:type="dxa" w:w="6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Mapa interativo com dois painéis, filtro por subcategoria em saúde, educação e esporte, hover com trava de popup e exportação em JPEG e PDF</w:t>
            </w:r>
          </w:p>
        </w:tc>
      </w:tr>
      <w:tr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Este relatório</w:t>
            </w:r>
          </w:p>
        </w:tc>
        <w:tc>
          <w:tcPr>
            <w:tcW w:type="dxa" w:w="6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Documento técnico de diagnóstico</w:t>
            </w:r>
          </w:p>
        </w:tc>
      </w:tr>
    </w:tbl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200"/>
        <w:gridCol w:w="900"/>
        <w:gridCol w:w="5646"/>
      </w:tblGrid>
      <w:tr>
        <w:trPr>
          <w:tblHeader/>
        </w:trPr>
        <w:tc>
          <w:tcPr>
            <w:tcW w:type="dxa" w:w="32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Camada</w:t>
            </w:r>
          </w:p>
        </w:tc>
        <w:tc>
          <w:tcPr>
            <w:tcW w:type="dxa" w:w="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Feições</w:t>
            </w:r>
          </w:p>
        </w:tc>
        <w:tc>
          <w:tcPr>
            <w:tcW w:type="dxa" w:w="56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eixos_logradouros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3.824</w:t>
            </w:r>
          </w:p>
        </w:tc>
        <w:tc>
          <w:tcPr>
            <w:tcW w:type="dxa" w:w="5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Vias com hierarquia, diretriz e extensão</w:t>
            </w:r>
          </w:p>
        </w:tc>
      </w:tr>
      <w:tr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equipamentos_esporte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162</w:t>
            </w:r>
          </w:p>
        </w:tc>
        <w:tc>
          <w:tcPr>
            <w:tcW w:type="dxa" w:w="5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Tipo original e categoria agrupada</w:t>
            </w:r>
          </w:p>
        </w:tc>
      </w:tr>
      <w:tr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equipamentos_educacao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95</w:t>
            </w:r>
          </w:p>
        </w:tc>
        <w:tc>
          <w:tcPr>
            <w:tcW w:type="dxa" w:w="5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Rede, etapas, matrículas, turmas, docentes e infraestrutura</w:t>
            </w:r>
          </w:p>
        </w:tc>
      </w:tr>
      <w:tr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equipamentos_saude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55</w:t>
            </w:r>
          </w:p>
        </w:tc>
        <w:tc>
          <w:tcPr>
            <w:tcW w:type="dxa" w:w="5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Tipo, equipe, equipamentos e origem da coordenada</w:t>
            </w:r>
          </w:p>
        </w:tc>
      </w:tr>
      <w:tr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equipamentos_assistencia_social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5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Finalidade, acessibilidade e AVCB</w:t>
            </w:r>
          </w:p>
        </w:tc>
      </w:tr>
      <w:tr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equipamentos_cultura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5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Nome, endereço e horário de atendimento</w:t>
            </w:r>
          </w:p>
        </w:tc>
      </w:tr>
      <w:tr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limite_municipal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5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Perímetro do município</w:t>
            </w:r>
          </w:p>
        </w:tc>
      </w:tr>
      <w:tr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sintese_por_categoria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Tabela de contagem por setor e categoria</w:t>
            </w:r>
          </w:p>
        </w:tc>
      </w:tr>
    </w:tbl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8. Limitações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Os dados do CNES e do INEP são declaratórios, sujeitos a erro de preenchimento na origem.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O campo de acessibilidade do Censo Escolar vem vazio para todo o município e foi suprimido.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Os campos de atendimento hospitalar, cirúrgico, obstétrico e neonatal do CNES vêm zerados no recorte consultado.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A classificação dos equipamentos de saúde foi derivada do nome fantasia: o CNES não traz tipo de estabelecimento.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Hospitais privados e filantrópicos não constam do recorte consultado.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As viaturas do SAMU e do Corpo de Bombeiros têm posição de referência, não localização fixa.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3.460 eixos viários não têm hierarquia atribuída pelos decretos vigentes.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5"/>
        <w:szCs w:val="15"/>
      </w:rPr>
      <w:t xml:space="preserve">Equipamentos Públicos e Infraestrutura · Bragança Paulista  ·  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Equipamentos Públicos e Infraestrutura — Relatório e Diagnóstico</dc:title>
  <dc:creator>Divisão de Planejamento — Prefeitura de Bragança Paulista</dc:creator>
  <cp:lastModifiedBy>Un-named</cp:lastModifiedBy>
  <cp:revision>1</cp:revision>
  <dcterms:created xsi:type="dcterms:W3CDTF">2026-10-07T13:02:45.600Z</dcterms:created>
  <dcterms:modified xsi:type="dcterms:W3CDTF">2026-10-07T13:02:45.604Z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