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C89B00"/>
          <w:sz w:val="19"/>
          <w:szCs w:val="19"/>
        </w:rPr>
        <w:t xml:space="preserve">REVISÃO DO PLANO DIRETOR · BRAGANÇA PAULISTA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Leitura Técnica Socioterritorial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4F8C"/>
          <w:sz w:val="46"/>
          <w:szCs w:val="46"/>
        </w:rPr>
        <w:t xml:space="preserve">Legislação Urbanística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Macrozoneamento, zoneamento, zonas especiais e sistema viário</w:t>
      </w:r>
    </w:p>
    <w:p>
      <w:pPr>
        <w:spacing w:after="420" w:before="0"/>
        <w:jc w:val="center"/>
      </w:pPr>
      <w:r>
        <w:rPr>
          <w:rFonts w:ascii="Calibri" w:cs="Calibri" w:eastAsia="Calibri" w:hAnsi="Calibri"/>
          <w:b/>
          <w:bCs/>
          <w:color w:val="C89B00"/>
          <w:sz w:val="19"/>
          <w:szCs w:val="19"/>
        </w:rPr>
        <w:t xml:space="preserve">Mapa 18</w:t>
      </w:r>
    </w:p>
    <w:p>
      <w:pPr>
        <w:pBdr>
          <w:bottom w:val="single" w:color="C89B00" w:sz="6"/>
        </w:pBdr>
        <w:spacing w:after="180"/>
      </w:pP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Divisão de Planejamento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Secretaria Municipal de Planejamento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Outubro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1. O que este mapa reúne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Treze camadas da legislação urbanística vigente e dos tomos em revisão, sobrepostas sobre a mesma base cartográfica. O mapa permite ler, para qualquer ponto do território, a macrozona, a zona, os parâmetros urbanísticos aplicáveis e as restrições de uso — e comparar o que vale hoje com o que a revisão propõe.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 município tem 511,8 km². O macrozoneamento vigente cobre a totalidade desse território; as demais camadas incidem sobre recortes específicos.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3180"/>
        <w:gridCol w:w="1100"/>
        <w:gridCol w:w="1740"/>
        <w:gridCol w:w="3340"/>
      </w:tblGrid>
      <w:tr>
        <w:trPr>
          <w:tblHeader/>
        </w:trPr>
        <w:tc>
          <w:tcPr>
            <w:tcW w:type="dxa" w:w="318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1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Feições</w:t>
            </w:r>
          </w:p>
        </w:tc>
        <w:tc>
          <w:tcPr>
            <w:tcW w:type="dxa" w:w="174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/ extensão</w:t>
            </w:r>
          </w:p>
        </w:tc>
        <w:tc>
          <w:tcPr>
            <w:tcW w:type="dxa" w:w="334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Macrozoneamento (Plano Diretor)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511,8 km²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Diretor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Zoneamento (Plano Diretor)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72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511,9 km²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Diretor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Código de Urbanismo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390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45,9 km²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LC nº 556/2007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Macrozoneamento (Tomo)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12,5 km²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Tomo de revisão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Zoneamento (Tomo)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159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10,7 km²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Tomo de revisão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Zoneamento de Loteamentos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1.084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6,7 km²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Leis de aprovação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ZEPAM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71,8 km²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Diretor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ZEPEC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17,5 km²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Diretor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ZERFUs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0,6 km²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LC específicas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Curvas de ruído — Aeroporto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0,8 km²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de zoneamento de ruído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Hierarquia Viária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3.824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1.442,3 km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Decretos PA-16330/25 e D-4691/25</w:t>
            </w:r>
          </w:p>
        </w:tc>
      </w:tr>
      <w:tr>
        <w:tc>
          <w:tcPr>
            <w:tcW w:type="dxa" w:w="318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Diretrizes Viárias</w:t>
            </w:r>
          </w:p>
        </w:tc>
        <w:tc>
          <w:tcPr>
            <w:tcW w:type="dxa" w:w="11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</w:t>
            </w:r>
          </w:p>
        </w:tc>
        <w:tc>
          <w:tcPr>
            <w:tcW w:type="dxa" w:w="17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95,5 km</w:t>
            </w:r>
          </w:p>
        </w:tc>
        <w:tc>
          <w:tcPr>
            <w:tcW w:type="dxa" w:w="334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Plano Diretor</w:t>
            </w:r>
          </w:p>
        </w:tc>
      </w:tr>
      <w:tr>
        <w:tc>
          <w:tcPr>
            <w:tcW w:type="dxa" w:w="31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Diretrizes Viárias (Tomo)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314</w:t>
            </w:r>
          </w:p>
        </w:tc>
        <w:tc>
          <w:tcPr>
            <w:tcW w:type="dxa" w:w="17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77,6 km</w:t>
            </w:r>
          </w:p>
        </w:tc>
        <w:tc>
          <w:tcPr>
            <w:tcW w:type="dxa" w:w="3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Tomo de revisão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 camadas identificadas como "Tomo" são propostas em estudo, não normas vigentes. Estão no mapa para permitir a comparação durante o processo de revisão e devem ser lidas como tal.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2. Macrozoneamento vigente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Duas macrozonas dividem o município. A rural ocupa 63% do território; a urbana, 37%.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3600"/>
        <w:gridCol w:w="1400"/>
        <w:gridCol w:w="1900"/>
        <w:gridCol w:w="2460"/>
      </w:tblGrid>
      <w:tr>
        <w:trPr>
          <w:tblHeader/>
        </w:trPr>
        <w:tc>
          <w:tcPr>
            <w:tcW w:type="dxa" w:w="3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Macrozona</w:t>
            </w:r>
          </w:p>
        </w:tc>
        <w:tc>
          <w:tcPr>
            <w:tcW w:type="dxa" w:w="14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Polígonos</w:t>
            </w:r>
          </w:p>
        </w:tc>
        <w:tc>
          <w:tcPr>
            <w:tcW w:type="dxa" w:w="19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(km²)</w:t>
            </w:r>
          </w:p>
        </w:tc>
        <w:tc>
          <w:tcPr>
            <w:tcW w:type="dxa" w:w="24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Participação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Macrozona Rural (MZR)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321,0</w:t>
            </w:r>
          </w:p>
        </w:tc>
        <w:tc>
          <w:tcPr>
            <w:tcW w:type="dxa" w:w="2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62,7%</w:t>
            </w:r>
          </w:p>
        </w:tc>
      </w:tr>
      <w:tr>
        <w:tc>
          <w:tcPr>
            <w:tcW w:type="dxa" w:w="3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Macrozona Urbana (MZU)</w:t>
            </w:r>
          </w:p>
        </w:tc>
        <w:tc>
          <w:tcPr>
            <w:tcW w:type="dxa" w:w="14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190,8</w:t>
            </w:r>
          </w:p>
        </w:tc>
        <w:tc>
          <w:tcPr>
            <w:tcW w:type="dxa" w:w="24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37,3%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Macrozona Rural não é apenas o espaço não urbanizado: a sua definição no Plano Diretor associa remanescentes florestais, bacias de abastecimento e produção agrícola a uma função explícita de controle da expansão urbana dispersa e fragmentada. É um instrumento de contenção, não só uma classificação residual.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3. Zoneamento vigente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Sete zonas. A MZR responde por 321 km² — o rebatimento direto da macrozona rural. As zonas de densificação urbana (ZDU 1, 2 e 3) somam 139,6 km², e as de desenvolvimento econômico (ZDE 1 e 2), 38,7 km².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Polígonos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(km²)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MZR — Macrozona Rural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321,0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ZDU 1 — Densificação Urbana 1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52,3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ZDU 3 — Densificação Urbana 3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46,5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ZDU 2 — Densificação Urbana 2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40,9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ZDE 1 — Desenvolvimento Econômico 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20,4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ZDE 2 — Desenvolvimento Econômico 2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18,3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ZEU — Expansão Urbana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12,5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ZEU, com 12,5 km² num único polígono, é a reserva formal de expansão. O seu dimensionamento frente à demanda projetada é uma das questões centrais da revisão.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4. Código de Urbanismo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Lei Complementar nº 556/2007 detalha o uso e a ocupação do solo em 390 polígonos sobre 45,9 km² — a mancha efetivamente parcelada. É a camada que responde, lote a lote, pelos parâmetros construtivos.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Polígonos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(km²)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ZR — Residencial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89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15,4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ZM — Mista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133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11,0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 — Zona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7,1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 — Especial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5,1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ZE6 — Especial 6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3,3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ZE4 — Especial 4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1,4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ZC — Central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1,1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ZE5 — Especial 5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0,8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ZEIS — Interesse Social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0,6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ZI — Industrial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0,03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ZEIS ocupa 0,62 km² em dez polígonos — 1,3% da área regrada pelo Código. É um dado a confrontar com a demanda habitacional registrada no CADHI.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ZI isolada, com 0,03 km², indica que a atividade industrial está majoritariamente acomodada nas zonas mistas e nas ZDE, não num recorte industrial próprio.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5. Zonas especiais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5.1 ZEPAM — Proteção Ambiental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Dezenove polígonos, 71,8 km² — 14% do território municipal. Destinadas à preservação do patrimônio ambiental: remanescentes florestais, vegetação significativa, alta permeabilidade e nascentes.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5.2 ZEPEC — Proteção Cultural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zonas, 17,5 km². Guaripocaba responde por 11,2 km², a Região da Serrinha por 4,7 km² e a Região Central por 1,6 km².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ZEPEC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Polígonos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(km²)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ZEPEC 2 — Guaripocaba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11,2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ZEPEC 3 — Região da Serrinha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4,7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ZEPEC 1 — Região Central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1,6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5.3 ZERFUs — Regularização Fundiária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Onze núcleos somando 0,6 km², cada um criado por lei complementar própria e com parâmetros urbanísticos específicos. Os maiores são Portal do Jaguari (0,14 km²), Recanto da Montanha (0,12 km²) e Panorama I (0,06 km²).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5.4 Curvas de ruído do aeroporto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Vinte polígonos delimitando as faixas de 65, 70, 75 e 80 dB em torno do aeroporto, com a envoltória abaixo de 65 dB. Condicionam o uso do solo no entorno e devem ser lidas junto com o zoneamento incidente.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6. Zoneamento de loteamentos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1.084 polígonos, 6,7 km². Reúne o zoneamento fixado nas leis de aprovação de cada loteamento — parâmetros que prevalecem sobre o zoneamento geral dentro do seu perímetro.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camada integra duas origens: 1.021 polígonos dos loteamentos aprovados e 63 do Bella Vita, reunidos numa única camada com o campo LOTEAMENTO distinguindo a procedência.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Polígonos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Área (km²)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ZR — Residencial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475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3,18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 — Especial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305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2,52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ZM — Mista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221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0,52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ZC — Central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0,17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ZE6 — Especial 6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0,10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Demais classes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63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0,16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7. Sistema viário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Três camadas tratam da circulação: a hierarquia viária existente, as diretrizes do Plano Diretor vigente e as diretrizes do tomo em revisão.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7.1 Hierarquia viária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3.824 eixos somando 1.442,3 km, herdados do mapa de Equipamentos Públicos e Infraestrutura, onde os segmentos de uma mesma via nomeada foram unidos. Apenas 364 eixos têm hierarquia atribuída pelos decretos PA-16330/25 e D-4691/25; os 3.460 restantes são vias locais sem classificação formal.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Hierarquia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Eixos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Extensão (km)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Coletora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254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387,8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Regional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104,9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Local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62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60,7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Arterial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60,2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Arterial Secundária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36,6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Arterial - Estrada Parque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2,8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Nesta camada o clique está desabilitado: ela é referência de leitura, e o nome da via aparece no hover sem travar a consulta da zona que está por baixo.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7.2 Diretrizes viárias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Sessenta traçados, 95,5 km, previstos no Plano Diretor vigente. As vias regionais concentram 44,8 km em onze traçados; as arteriais, 26,4 km em trinta e quatro.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4A4A4A"/>
          <w:sz w:val="24"/>
          <w:szCs w:val="24"/>
        </w:rPr>
        <w:t xml:space="preserve">7.3 Diretrizes viárias (Tomo)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314 traçados, 77,6 km, propostos na revisão, com classificação mais detalhada — arteriais, coletoras de 1ª e 2ª categoria e parque linear. A comparação entre as duas camadas mostra onde a revisão adensa, desloca ou abandona diretrizes anteriores.</w:t>
      </w:r>
    </w:p>
    <w:p>
      <w:pPr>
        <w:spacing w:after="10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600"/>
        <w:gridCol w:w="2200"/>
        <w:gridCol w:w="2560"/>
      </w:tblGrid>
      <w:tr>
        <w:trPr>
          <w:tblHeader/>
        </w:trPr>
        <w:tc>
          <w:tcPr>
            <w:tcW w:type="dxa" w:w="46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22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Traçados</w:t>
            </w:r>
          </w:p>
        </w:tc>
        <w:tc>
          <w:tcPr>
            <w:tcW w:type="dxa" w:w="25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Extensão (km)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Via arterial (VA)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122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31,8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Via coletora de 2ª categoria (VC2)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116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23,4</w:t>
            </w:r>
          </w:p>
        </w:tc>
      </w:tr>
      <w:tr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Via coletora de 1ª categoria (VC1)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64</w:t>
            </w:r>
          </w:p>
        </w:tc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19,6</w:t>
            </w:r>
          </w:p>
        </w:tc>
      </w:tr>
      <w:tr>
        <w:tc>
          <w:tcPr>
            <w:tcW w:type="dxa" w:w="46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Parque linear — PE 1</w:t>
            </w:r>
          </w:p>
        </w:tc>
        <w:tc>
          <w:tcPr>
            <w:tcW w:type="dxa" w:w="22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2,9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8. Pontos para o diagnóstico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Reserva de expansão. A ZEU tem 12,5 km² num único polígono. Dimensionar essa reserva frente à projeção demográfica e à demanda habitacional é decisão estruturante da revisão.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ZEIS. 0,62 km² em dez polígonos — 1,3% da área regrada pelo Código de Urbanismo. Confrontar com as 21.460 famílias inscritas no CADHI.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Sobreposição de regimes. O zoneamento de loteamentos (6,7 km²) prevalece sobre o zoneamento geral dentro do seu perímetro. Em 1.084 polígonos, a leitura de um lote exige verificar as duas camadas — o mapa resolve isso pela ordem de sobreposição, mas o texto legal precisa tratar a precedência de forma explícita.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Vias sem classificação. 3.460 dos 3.824 eixos não têm hierarquia atribuída pelos decretos. Como vários parâmetros do Código variam conforme a hierarquia da via de testada, essa lacuna tem efeito direto sobre a aplicação da norma.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Proteção ambiental e macrozona rural. ZEPAM (71,8 km²) e MZR (321 km²) se sobrepõem parcialmente. Vale explicitar na revisão o que cada instrumento acrescenta ao outro.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9. Nota metodológica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Base cartográfica. Todas as camadas foram reprojetadas para SIRGAS 2000 / UTM 23S (EPSG:31983); áreas e extensões foram calculadas nessa projeção.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Tratamento de geometrias. A camada de macrozoneamento do tomo trazia um vértice inválido, removido sem alteração do traçado. Quatro feições sem coordenada alguma — três no zoneamento de loteamentos e uma nas diretrizes viárias do tomo — foram descartadas por não serem representáveis.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Simbologia. As cores das treze camadas vêm do projeto QGIS PD_SITE, de origem municipal: o WebGIS, os arquivos .qml e o projeto embutido no GeoPackage usam a mesma paleta, sem recoloração. Duas zonas do tomo — ZOR e ZRO2 — não constavam da lista de categorias daquele projeto e herdaram a cor dos seus pares de família (ZOL e ZRO1), o que convém confirmar.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Valores dos atributos. Os campos de parâmetros misturam números e texto (por exemplo "1,5" e "conforme Código Sanitário Estadual"). A unidade só é exibida quando o valor é numérico. Os campos que trazem os três valores de coeficiente concatenados são desdobrados em três linhas — mínimo, básico e máximo.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Valores ausentes. Campos vazios ou preenchidos com "-" são omitidos da leitura em vez de exibidos em branco. A ausência de um parâmetro no mapa significa ausência no cadastro de origem, não isenção normativa.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que o mapa não substitui. A consulta é instrumento de leitura técnica. A certidão de uso do solo continua sendo o documento oficial para efeitos de licenciamento.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B4F8C"/>
          <w:sz w:val="28"/>
          <w:szCs w:val="28"/>
        </w:rPr>
        <w:t xml:space="preserve">10. Arquivos desta entrega</w:t>
      </w:r>
    </w:p>
    <w:p>
      <w:pPr>
        <w:spacing w:after="60"/>
      </w:pPr>
    </w:p>
    <w:tbl>
      <w:tblPr>
        <w:tblW w:type="dxa" w:w="9360"/>
        <w:tblBorders>
          <w:top w:val="single" w:color="E8E8E8" w:sz="2"/>
          <w:left w:val="single" w:color="E8E8E8" w:sz="2"/>
          <w:bottom w:val="single" w:color="E8E8E8" w:sz="2"/>
          <w:right w:val="single" w:color="E8E8E8" w:sz="2"/>
          <w:insideH w:val="single" w:color="E8E8E8" w:sz="2"/>
          <w:insideV w:val="single" w:color="E8E8E8" w:sz="2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360"/>
            <w:shd w:fill="1B4F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legislacao/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WebGIS — mapa interativo com as treze camadas</w:t>
            </w:r>
          </w:p>
        </w:tc>
      </w:tr>
      <w:tr>
        <w:tc>
          <w:tcPr>
            <w:tcW w:type="dxa" w:w="40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18_LEGISLACAO_URBANISTICA.gpkg</w:t>
            </w:r>
          </w:p>
        </w:tc>
        <w:tc>
          <w:tcPr>
            <w:tcW w:type="dxa" w:w="53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GeoPackage, EPSG:31983, com projeto QGIS embutido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Legislacao_Urbanistica.qgs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Projeto QGIS avulso, equivalente ao embutido</w:t>
            </w:r>
          </w:p>
        </w:tc>
      </w:tr>
      <w:tr>
        <w:tc>
          <w:tcPr>
            <w:tcW w:type="dxa" w:w="400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qml/ (13 arquivos)</w:t>
            </w:r>
          </w:p>
        </w:tc>
        <w:tc>
          <w:tcPr>
            <w:tcW w:type="dxa" w:w="5360"/>
            <w:shd w:fill="F4F6F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Estilos por camada, para aplicar noutros projetos</w:t>
            </w:r>
          </w:p>
        </w:tc>
      </w:tr>
      <w:t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Mapa18_Legislacao_Relatorio_e_Diagnostico.docx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Este relatório</w:t>
            </w:r>
          </w:p>
        </w:tc>
      </w:tr>
    </w:tbl>
    <w:p>
      <w:pPr>
        <w:spacing w:after="200"/>
      </w:pP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O projeto embutido no GeoPackage abre com as treze camadas na mesma ordem de sobreposição do WebGIS e com a mesma simbologia. Os arquivos .qml reproduzem essa simbologia isoladamente.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2026-10-08T17:47:48.525Z</dcterms:created>
  <dcterms:modified xsi:type="dcterms:W3CDTF">2026-10-08T17:47:48.528Z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