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</w:r>
      <w:r/>
    </w:p>
    <w:p>
      <w:pPr>
        <w:pBdr/>
        <w:spacing w:after="6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0175bc"/>
          <w:spacing w:val="50"/>
          <w:sz w:val="22"/>
          <w:szCs w:val="22"/>
          <w:lang w:val="pt-BR" w:eastAsia="pt-BR" w:bidi="ar-SA"/>
        </w:rPr>
        <w:t xml:space="preserve">REVISÃO DO PLANO DIRETOR · BRAGANÇA PAULISTA</w:t>
      </w:r>
      <w:r/>
    </w:p>
    <w:p>
      <w:pPr>
        <w:pBdr/>
        <w:spacing w:after="18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color w:val="555555"/>
          <w:sz w:val="20"/>
          <w:szCs w:val="20"/>
          <w:lang w:val="pt-BR" w:eastAsia="pt-BR" w:bidi="ar-SA"/>
        </w:rPr>
        <w:t xml:space="preserve">Leitura Técnica Socioterritorial</w:t>
      </w:r>
      <w:r/>
    </w:p>
    <w:p>
      <w:pPr>
        <w:pBdr/>
        <w:spacing w:after="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999999"/>
          <w:spacing w:val="80"/>
          <w:sz w:val="28"/>
          <w:szCs w:val="28"/>
          <w:lang w:val="pt-BR" w:eastAsia="pt-BR" w:bidi="ar-SA"/>
        </w:rPr>
        <w:t xml:space="preserve">MAPA 30</w:t>
      </w:r>
      <w:r/>
    </w:p>
    <w:p>
      <w:pPr>
        <w:pBdr/>
        <w:spacing w:after="1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01305a"/>
          <w:sz w:val="44"/>
          <w:szCs w:val="44"/>
          <w:lang w:val="pt-BR" w:eastAsia="pt-BR" w:bidi="ar-SA"/>
        </w:rPr>
        <w:t xml:space="preserve">Fontes de Emissão de Gases de Efeito Estufa</w:t>
      </w:r>
      <w:r/>
    </w:p>
    <w:p>
      <w:pPr>
        <w:pBdr>
          <w:top w:val="single" w:color="ffef00" w:sz="18" w:space="14"/>
        </w:pBdr>
        <w:spacing w:after="5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color w:val="555555"/>
          <w:sz w:val="21"/>
          <w:szCs w:val="21"/>
          <w:lang w:val="pt-BR" w:eastAsia="pt-BR" w:bidi="ar-SA"/>
        </w:rPr>
        <w:t xml:space="preserve">Energia e processos industriais · Transporte · Resíduos · Agropecuária e uso da terra</w:t>
      </w:r>
      <w:r/>
    </w:p>
    <w:p>
      <w:pPr>
        <w:pBdr/>
        <w:spacing w:after="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Divisão de Planejamento</w:t>
      </w:r>
      <w:r/>
    </w:p>
    <w:p>
      <w:pPr>
        <w:pBdr/>
        <w:spacing w:after="40"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color w:val="555555"/>
          <w:sz w:val="19"/>
          <w:szCs w:val="19"/>
          <w:lang w:val="pt-BR" w:eastAsia="pt-BR" w:bidi="ar-SA"/>
        </w:rPr>
        <w:t xml:space="preserve">Secretaria Municipal de Planejamento</w:t>
      </w:r>
      <w:r/>
    </w:p>
    <w:p>
      <w:pPr>
        <w:pBdr/>
        <w:spacing/>
        <w:ind/>
        <w:jc w:val="center"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i/>
          <w:iCs/>
          <w:color w:val="777777"/>
          <w:sz w:val="17"/>
          <w:szCs w:val="17"/>
          <w:lang w:val="pt-BR" w:eastAsia="pt-BR" w:bidi="ar-SA"/>
        </w:rPr>
        <w:t xml:space="preserve">Outubro de 2026</w:t>
      </w:r>
      <w:r/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Sumário</w:t>
      </w:r>
    </w:p>
    <w:sdt>
      <w:sdtPr>
        <w:alias w:val="Sumário"/>
        <w:docPartObj>
          <w:docPartGallery w:val="Table of Contents"/>
          <w:docPartUnique/>
        </w:docPartObj>
      </w:sdtPr>
      <w:sdtContent>
        <w:p>
          <w:pPr>
            <w:pBdr/>
            <w:spacing/>
            <w:ind/>
            <w:rPr>
              <w:lang w:val="pt-BR" w:eastAsia="pt-BR" w:bidi="ar-SA"/>
              <w:lang w:val="pt-BR" w:eastAsia="pt-BR" w:bidi="ar-SA"/>
            </w:rPr>
          </w:pPr>
          <w:r>
            <w:fldChar w:fldCharType="begin"/>
            <w:instrText xml:space="preserve">TOC \h \o "1-2"</w:instrText>
            <w:fldChar w:fldCharType="separate"/>
          </w:r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1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1. O que este mapa mostra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3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2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1.1 Como ler o mapa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3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3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2. Fontes e método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3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4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2.1 Espacialização das empresas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3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5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2.2 Resultado da espacialização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4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06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2.3 Classificação por setor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4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7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3. Energia e processos industriais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6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8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4. Transporte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7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09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5. Resíduos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7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0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5.1 Limitações do método de Poletto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7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11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6. Agropecuária e mudança de uso da terra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9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12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7. Diagnóstico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9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3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7.1 Fontes industriais dispersas na cidade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9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4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7.2 Tráfego pesado atravessando a malha urbana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9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5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7.3 Resíduos ligados ao comércio e aos serviços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9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6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7.4 Perda líquida de vegetação nativa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10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7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7.5 Implicações para a revisão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10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18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8. Produtos entregues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10</w:t>
            </w:r>
          </w:hyperlink>
        </w:p>
        <w:p>
          <w:pPr>
            <w:pStyle w:val="190"/>
            <w:tabs>
              <w:tab w:val="right" w:leader="dot" w:pos="9740"/>
            </w:tabs>
            <w:spacing w:before="0" w:after="30"/>
          </w:pPr>
          <w:hyperlink w:anchor="_Toc0019" w:history="1"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 xml:space="preserve">8.1 Camadas</w:t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color w:val="404040"/>
                <w:sz w:val="19"/>
                <w:szCs w:val="19"/>
                <w:lang w:val="pt-BR" w:eastAsia="pt-BR" w:bidi="ar-SA"/>
              </w:rPr>
              <w:t>10</w:t>
            </w:r>
          </w:hyperlink>
        </w:p>
        <w:p>
          <w:pPr>
            <w:pStyle w:val="189"/>
            <w:tabs>
              <w:tab w:val="right" w:leader="dot" w:pos="9740"/>
            </w:tabs>
            <w:spacing w:before="120" w:after="40"/>
          </w:pPr>
          <w:hyperlink w:anchor="_Toc0020" w:history="1"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 xml:space="preserve">9. Limitações</w:t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ab/>
            </w:r>
            <w:r>
              <w:rPr>
                <w:rFonts w:ascii="Calibri" w:hAnsi="Calibri" w:eastAsia="Calibri" w:cs="Calibri"/>
                <w:b/>
                <w:bCs/>
                <w:color w:val="01305a"/>
                <w:sz w:val="20"/>
                <w:szCs w:val="20"/>
                <w:lang w:val="pt-BR" w:eastAsia="pt-BR" w:bidi="ar-SA"/>
              </w:rPr>
              <w:t>10</w:t>
            </w:r>
          </w:hyperlink>
        </w:p>
        <w:p>
          <w:pPr>
            <w:pBdr/>
            <w:spacing/>
            <w:ind/>
            <w:rPr>
              <w:lang w:val="pt-BR" w:eastAsia="pt-BR" w:bidi="ar-SA"/>
              <w:lang w:val="pt-BR" w:eastAsia="pt-BR" w:bidi="ar-SA"/>
            </w:rPr>
          </w:pPr>
          <w:r>
            <w:fldChar w:fldCharType="end"/>
          </w:r>
        </w:p>
      </w:sdtContent>
    </w:sdt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1" w:name="_Toc0001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1. O que este mapa mostra</w:t>
      </w:r>
      <w:bookmarkEnd w:id="901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Este documento acompanha o mapa interativo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Fontes de Emissão de Gases de Efeito Estufa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. O mapa identifica onde estão, em Bragança Paulista, as atividades que emitem ou podem emitir gases de efeito estufa (GEE), organizadas pelos setores usados nos inventários nacionais e no SEEG: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energia e processos industriais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transporte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resíduos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e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agropecuária e mudança de uso da terra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pergunta que orienta o trabalho é: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onde se concentram as fontes de emissão e como elas se relacionam com a cidade e o território rural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. O mapa localiza fontes potenciais, sem medir emissões: mostra a presença e o porte das atividades, e não as toneladas emitidas por cada uma.</w:t>
      </w: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339"/>
        <w:gridCol w:w="4873"/>
        <w:gridCol w:w="2534"/>
      </w:tblGrid>
      <w:tr>
        <w:trPr>
          <w:tblHeader/>
        </w:trPr>
        <w:tc>
          <w:tcPr>
            <w:tcW w:w="2339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Setor</w:t>
            </w:r>
          </w:p>
        </w:tc>
        <w:tc>
          <w:tcPr>
            <w:tcW w:w="487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O que o mapa localiza</w:t>
            </w:r>
          </w:p>
        </w:tc>
        <w:tc>
          <w:tcPr>
            <w:tcW w:w="2534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Fonte</w:t>
            </w:r>
          </w:p>
        </w:tc>
      </w:tr>
      <w:tr>
        <w:trPr>
          <w:cantSplit/>
        </w:trPr>
        <w:tc>
          <w:tcPr>
            <w:tcW w:w="233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Energia e processos industriais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Indústrias com combustão, processos térmicos ou reações químicas, por porte</w:t>
            </w:r>
          </w:p>
        </w:tc>
        <w:tc>
          <w:tcPr>
            <w:tcW w:w="25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Empresa Fácil × cadastro imobiliário</w:t>
            </w:r>
          </w:p>
        </w:tc>
      </w:tr>
      <w:tr>
        <w:trPr>
          <w:cantSplit/>
        </w:trPr>
        <w:tc>
          <w:tcPr>
            <w:tcW w:w="233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Transporte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Postos de combustível, bases de transportadoras e de empresas de ônibus; vias estruturais</w:t>
            </w:r>
          </w:p>
        </w:tc>
        <w:tc>
          <w:tcPr>
            <w:tcW w:w="25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Empresa Fácil × cadastro; eixo de logradouros</w:t>
            </w:r>
          </w:p>
        </w:tc>
      </w:tr>
      <w:tr>
        <w:trPr>
          <w:cantSplit/>
        </w:trPr>
        <w:tc>
          <w:tcPr>
            <w:tcW w:w="233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Resíduos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Grandes geradores de resíduos, coleta, tratamento e esgotamento</w:t>
            </w:r>
          </w:p>
        </w:tc>
        <w:tc>
          <w:tcPr>
            <w:tcW w:w="25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Empresa Fácil × cadastro; método de Poletto</w:t>
            </w:r>
          </w:p>
        </w:tc>
      </w:tr>
      <w:tr>
        <w:trPr>
          <w:cantSplit/>
        </w:trPr>
        <w:tc>
          <w:tcPr>
            <w:tcW w:w="233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Agropecuária e uso da terra</w:t>
            </w:r>
          </w:p>
        </w:tc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Pastagem, agricultura, silvicultura e mosaico em 2024; supressão e regeneração de vegetação nativa desde 1985</w:t>
            </w:r>
          </w:p>
        </w:tc>
        <w:tc>
          <w:tcPr>
            <w:tcW w:w="25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MapBiomas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2" w:name="_Toc0002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1.1 Como ler o mapa</w:t>
      </w:r>
      <w:bookmarkEnd w:id="902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Cores por setor.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Laranja para energia e processos industriais, cinza para transporte, marrom para resíduos, verde-oliva para agropecuária e vermelho para supressão de vegetação nativa; a regeneração aparece em verde-água.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Tamanho do símbolo.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Na indústria e no transporte, o círculo maior indica empresa de porte EPP ou maior, e o menor, ME. Na camada de resíduos, os grandes geradores têm tamanho único para ME, EPP e demais portes, porque a classificação vem da atividade e não do porte; empresas de coleta, tratamento e esgotamento aparecem como losangos. MEIs não entram no mapa.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Localização aproximada.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Parte das empresas foi posicionada pelo número vizinho no mesmo CEP ou num endereço que corresponde a mais de um lote. O popup informa a precisão de cada ponto, e o painel permite ocultar as aproximadas.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Popups.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Clicar num ponto mostra a atividade, o CNAE, o porte, o grupo de geração de resíduos (quando houver) e a precisão da localização. Empresas em nome de pessoa física, cuja razão social pode conter o CPF, não são identificadas pelo nome e têm o endereço reduzido ao bairro.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Painel direito.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Contagem das fontes por classe em cada setor ligado e áreas de uso agropecuário e de mudança de uso. O resultado da espacialização das empresas está na seção 2.2 deste relatório.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3" w:name="_Toc0003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2. Fontes e método</w:t>
      </w:r>
      <w:bookmarkEnd w:id="903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924"/>
        <w:gridCol w:w="5263"/>
        <w:gridCol w:w="1559"/>
      </w:tblGrid>
      <w:tr>
        <w:trPr>
          <w:tblHeader/>
        </w:trPr>
        <w:tc>
          <w:tcPr>
            <w:tcW w:w="2924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Fonte</w:t>
            </w:r>
          </w:p>
        </w:tc>
        <w:tc>
          <w:tcPr>
            <w:tcW w:w="526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O que fornece</w:t>
            </w:r>
          </w:p>
        </w:tc>
        <w:tc>
          <w:tcPr>
            <w:tcW w:w="1559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Referência</w:t>
            </w:r>
          </w:p>
        </w:tc>
      </w:tr>
      <w:tr>
        <w:trPr>
          <w:cantSplit/>
        </w:trPr>
        <w:tc>
          <w:tcPr>
            <w:tcW w:w="292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Prefeitura — Empresa Fácil</w:t>
            </w:r>
          </w:p>
        </w:tc>
        <w:tc>
          <w:tcPr>
            <w:tcW w:w="526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Cadastro de empresas: atividade (CNAE), porte, situação e endereço</w:t>
            </w:r>
          </w:p>
        </w:tc>
        <w:tc>
          <w:tcPr>
            <w:tcW w:w="155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Base de 2025</w:t>
            </w:r>
          </w:p>
        </w:tc>
      </w:tr>
      <w:tr>
        <w:trPr>
          <w:cantSplit/>
        </w:trPr>
        <w:tc>
          <w:tcPr>
            <w:tcW w:w="292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Prefeitura — Cadastro Imobiliário</w:t>
            </w:r>
          </w:p>
        </w:tc>
        <w:tc>
          <w:tcPr>
            <w:tcW w:w="526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Lotes georreferenciados com CEP e número</w:t>
            </w:r>
          </w:p>
        </w:tc>
        <w:tc>
          <w:tcPr>
            <w:tcW w:w="155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13/08/2025</w:t>
            </w:r>
          </w:p>
        </w:tc>
      </w:tr>
      <w:tr>
        <w:trPr>
          <w:cantSplit/>
        </w:trPr>
        <w:tc>
          <w:tcPr>
            <w:tcW w:w="292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Prefeitura — Eixo de logradouros</w:t>
            </w:r>
          </w:p>
        </w:tc>
        <w:tc>
          <w:tcPr>
            <w:tcW w:w="526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Vias com hierarquia funcional</w:t>
            </w:r>
          </w:p>
        </w:tc>
        <w:tc>
          <w:tcPr>
            <w:tcW w:w="155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Base municipal</w:t>
            </w:r>
          </w:p>
        </w:tc>
      </w:tr>
      <w:tr>
        <w:trPr>
          <w:cantSplit/>
        </w:trPr>
        <w:tc>
          <w:tcPr>
            <w:tcW w:w="292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MapBiomas — Coleção 9</w:t>
            </w:r>
          </w:p>
        </w:tc>
        <w:tc>
          <w:tcPr>
            <w:tcW w:w="526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Cobertura e uso da terra, pixel de cerca de 30 m</w:t>
            </w:r>
          </w:p>
        </w:tc>
        <w:tc>
          <w:tcPr>
            <w:tcW w:w="155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1985 e 2024</w:t>
            </w:r>
          </w:p>
        </w:tc>
      </w:tr>
      <w:tr>
        <w:trPr>
          <w:cantSplit/>
        </w:trPr>
        <w:tc>
          <w:tcPr>
            <w:tcW w:w="292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CETESB</w:t>
            </w:r>
          </w:p>
        </w:tc>
        <w:tc>
          <w:tcPr>
            <w:tcW w:w="526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Tipologias de fontes de poluição sujeitas a licenciamento (Decreto Estadual nº 8.468/1976 e alterações)</w:t>
            </w:r>
          </w:p>
        </w:tc>
        <w:tc>
          <w:tcPr>
            <w:tcW w:w="155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Referência normativa</w:t>
            </w:r>
          </w:p>
        </w:tc>
      </w:tr>
      <w:tr>
        <w:trPr>
          <w:cantSplit/>
        </w:trPr>
        <w:tc>
          <w:tcPr>
            <w:tcW w:w="292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Poletto</w:t>
            </w:r>
          </w:p>
        </w:tc>
        <w:tc>
          <w:tcPr>
            <w:tcW w:w="526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Classificação de grandes geradores de resíduos pela atividade</w:t>
            </w:r>
          </w:p>
        </w:tc>
        <w:tc>
          <w:tcPr>
            <w:tcW w:w="155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Referência metodológica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4" w:name="_Toc0004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2.1 Espacialização das empresas</w:t>
      </w:r>
      <w:bookmarkEnd w:id="904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O Empresa Fácil não traz a inscrição imobiliária. A ligação entre empresa e lote foi feita pelo endereço, combinando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CEP e número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em dois passos: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Endereço exato.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CEP e número iguais aos de um lote do cadastro imobiliário. Quando o endereço corresponde a mais de um lote, a empresa é posicionada no maior deles.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Número vizinho.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Sem correspondência exata, a empresa é posicionada no lote de número mais próximo, do mesmo lado da rua (mesma paridade) e no mesmo CEP, com distância máxima de 30 números.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Cada empresa recebe um ponto próprio dentro do lote. Quando várias empresas dividem o mesmo endereço, como em edifícios comerciais e galerias, os pontos são distribuídos em espiral a poucos metros uns dos outros, de modo que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nenhuma empresa é descartada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por compartilhar o lote.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Microempreendedores individuais não entram nas camadas de fontes.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São atividades de escala doméstica — estamparia de peças, pequenos artefatos de cimento, coleta de recicláveis — sem relevância como fonte de emissão, e que no método de Poletto apareceriam como falsos grandes geradores. O critério é o campo de porte do Empresa Fácil, fonte oficial deste mapa. Foram excluídas 47 empresas com atividade industrial, 1339 com atividade de resíduos e 0 de transporte. Elas continuam na camada com todas as empresas espacializadas.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Antes do cruzamento, a base foi tratada: a codificação de caracteres foi corrigida, registros com colunas deslocadas foram separados, e empresas sediadas em outros municípios ou não estabelecidas no endereço ficaram fora da espacialização. Nos registros sem CNAE, o código foi recuperado pela descrição da atividade sempre que a mesma descrição aparece com código em outros registros.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5" w:name="_Toc0005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2.2 Resultado da espacialização</w:t>
      </w:r>
      <w:bookmarkEnd w:id="905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5943"/>
        <w:gridCol w:w="1902"/>
        <w:gridCol w:w="1901"/>
      </w:tblGrid>
      <w:tr>
        <w:trPr>
          <w:tblHeader/>
        </w:trPr>
        <w:tc>
          <w:tcPr>
            <w:tcW w:w="594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Situação do registro</w:t>
            </w:r>
          </w:p>
        </w:tc>
        <w:tc>
          <w:tcPr>
            <w:tcW w:w="1902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Empresas</w:t>
            </w:r>
          </w:p>
        </w:tc>
        <w:tc>
          <w:tcPr>
            <w:tcW w:w="1901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% da base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Registros na base do Empresa Fácil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30.737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100%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Registro com colunas deslocadas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14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Sediada em outro município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482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1,6%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Não estabelecida no endereço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3.137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10,2%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Endereço sem número válido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0,0%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Endereço sem lote correspondente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3.085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10,0%</w:t>
            </w:r>
          </w:p>
        </w:tc>
      </w:tr>
      <w:tr>
        <w:trPr>
          <w:cantSplit/>
        </w:trPr>
        <w:tc>
          <w:tcPr>
            <w:tcW w:w="5943" w:type="dxa"/>
            <w:shd w:val="clear" w:color="auto" w:fill="fff3b0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  <w:lang w:val="pt-BR" w:eastAsia="pt-BR" w:bidi="ar-SA"/>
              </w:rPr>
              <w:t xml:space="preserve">Espacializada</w:t>
            </w:r>
          </w:p>
        </w:tc>
        <w:tc>
          <w:tcPr>
            <w:tcW w:w="1902" w:type="dxa"/>
            <w:shd w:val="clear" w:color="auto" w:fill="fff3b0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  <w:lang w:val="pt-BR" w:eastAsia="pt-BR" w:bidi="ar-SA"/>
              </w:rPr>
              <w:t xml:space="preserve">24.018</w:t>
            </w:r>
          </w:p>
        </w:tc>
        <w:tc>
          <w:tcPr>
            <w:tcW w:w="1901" w:type="dxa"/>
            <w:shd w:val="clear" w:color="auto" w:fill="fff3b0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  <w:lang w:val="pt-BR" w:eastAsia="pt-BR" w:bidi="ar-SA"/>
              </w:rPr>
              <w:t xml:space="preserve">78,1%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5943"/>
        <w:gridCol w:w="1902"/>
        <w:gridCol w:w="1901"/>
      </w:tblGrid>
      <w:tr>
        <w:trPr>
          <w:tblHeader/>
        </w:trPr>
        <w:tc>
          <w:tcPr>
            <w:tcW w:w="594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Precisão da localização</w:t>
            </w:r>
          </w:p>
        </w:tc>
        <w:tc>
          <w:tcPr>
            <w:tcW w:w="1902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Empresas</w:t>
            </w:r>
          </w:p>
        </w:tc>
        <w:tc>
          <w:tcPr>
            <w:tcW w:w="1901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% das espacializadas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Exata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17.350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72,2%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Aproximada: número vizinho no mesmo CEP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3.717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15,5%</w:t>
            </w:r>
          </w:p>
        </w:tc>
      </w:tr>
      <w:tr>
        <w:trPr>
          <w:cantSplit/>
        </w:trPr>
        <w:tc>
          <w:tcPr>
            <w:tcW w:w="594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Aproximada: endereço com mais de um lote</w:t>
            </w:r>
          </w:p>
        </w:tc>
        <w:tc>
          <w:tcPr>
            <w:tcW w:w="190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2.951</w:t>
            </w:r>
          </w:p>
        </w:tc>
        <w:tc>
          <w:tcPr>
            <w:tcW w:w="190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12,3%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24.018 empresas (78,1% da base) foram espacializadas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72,2% delas no lote do próprio endereço. Das que ficaram de fora, a maior parte não está estabelecida no endereço cadastrado, o que inclui ambulantes e atividades exercidas fora da sede. Entre as espacializadas, 2.818 seguem sem CNAE e não entram em nenhuma classe de fonte.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06" w:name="_Toc0006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2.3 Classificação por setor</w:t>
      </w:r>
      <w:bookmarkEnd w:id="906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Energia e processos industriais.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Foram selecionadas as classes da CNAE cujas atividades envolvem combustão, processos térmicos ou reações químicas, e que por isso figuram entre as fontes de poluição sujeitas a licenciamento da CETESB:</w:t>
      </w: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3078"/>
        <w:gridCol w:w="6668"/>
      </w:tblGrid>
      <w:tr>
        <w:trPr>
          <w:tblHeader/>
        </w:trPr>
        <w:tc>
          <w:tcPr>
            <w:tcW w:w="307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Grupo</w:t>
            </w:r>
          </w:p>
        </w:tc>
        <w:tc>
          <w:tcPr>
            <w:tcW w:w="666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Classes e subclasses da CNAE 2.3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Abate e frigoríficos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1011, 1012, 1013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Alimentos com processo térmico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1031 (conservas), 1071 (açúcar)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Bebidas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1111 (aguardente), 1113 (cervejas e chopes)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Acabamento têxtil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1340 (tingimento, estamparia e beneficiamento)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Couro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1510 (curtimento)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Madeira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1610 (serrarias), 1621 (painéis)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Celulose e papel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1710, 1721, 1722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Derivados de petróleo e álcool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1921, 1922, 1931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Química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divisão 20 inteira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Farmacêutica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2110, 2121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Minerais não metálicos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2311, 2312, 2319 (vidro), 2320 (cimento), 2330 (artefatos de concreto), 2341, 2342 (cerâmica, incluindo olarias), 2392 (cal e gesso)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Metalurgia e fundição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divisão 24 inteira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Tratamento de superfícies metálicas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2539-0/02 (galvanoplastia e pintura eletrostática)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Geração de energia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3511-5/01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seleção é feita por classe da CNAE, e não por uma lista fechada de subclasses, para que todas as variantes de cada atividade sejam alcançadas. Águas envasadas (1121) não entram, por não envolverem processo térmico.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Transporte.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Postos e distribuidores de combustível (4731, 4681) e as sedes de transportadoras de carga (4930-2) e de empresas de ônibus (4921, 4922, 4929) de porte ME ou maior, que funcionam como bases de frota. As vias estruturais vêm do eixo de logradouros: rodovias, arteriais, coletoras e estradas municipais.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Resíduos.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Grandes geradores segundo a metodologia de Poletto, que classifica a geração pela atividade (85 subclasses da CNAE, sobretudo comércio de alimentos, de veículos e de material de construção, ensino e alimentação), além das empresas de coleta e tratamento de resíduos (divisão 38) e de esgotamento sanitário (3701, 3702).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Agropecuária e mudança de uso da terra.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Classes do MapBiomas dentro do limite municipal. O uso agropecuário é o de 2024. A supressão de vegetação nativa é a área que era formação natural em 1985 e passou a uso antrópico em 2024; a regeneração, o caminho inverso.</w:t>
      </w:r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7" w:name="_Toc0007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3. Energia e processos industriais</w:t>
      </w:r>
      <w:bookmarkEnd w:id="907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5552"/>
        <w:gridCol w:w="1727"/>
        <w:gridCol w:w="1234"/>
        <w:gridCol w:w="1233"/>
      </w:tblGrid>
      <w:tr>
        <w:trPr>
          <w:tblHeader/>
        </w:trPr>
        <w:tc>
          <w:tcPr>
            <w:tcW w:w="5552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Grupo</w:t>
            </w:r>
          </w:p>
        </w:tc>
        <w:tc>
          <w:tcPr>
            <w:tcW w:w="172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EPP e demais</w:t>
            </w:r>
          </w:p>
        </w:tc>
        <w:tc>
          <w:tcPr>
            <w:tcW w:w="1234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ME</w:t>
            </w:r>
          </w:p>
        </w:tc>
        <w:tc>
          <w:tcPr>
            <w:tcW w:w="123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Total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Química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14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Tratamento de superfícies metálicas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Abate e frigoríficos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Minerais não metálicos (vidro, cimento, cerâmica, cal)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Farmacêutica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Madeira (serrarias e painéis)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</w:tr>
      <w:tr>
        <w:trPr>
          <w:cantSplit/>
        </w:trPr>
        <w:tc>
          <w:tcPr>
            <w:tcW w:w="5552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Bebidas</w:t>
            </w:r>
          </w:p>
        </w:tc>
        <w:tc>
          <w:tcPr>
            <w:tcW w:w="172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  <w:tc>
          <w:tcPr>
            <w:tcW w:w="1234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</w:t>
            </w:r>
          </w:p>
        </w:tc>
        <w:tc>
          <w:tcPr>
            <w:tcW w:w="123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São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30 estabelecimentos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com processos emissores, todos de porte ME ou maior.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Entre os estabelecimentos de maior porte estão indústrias químicas e de cosméticos, uma cervejaria, duas indústrias farmacêuticas, serrarias, uma olaria, centrais de concreto, frigoríficos de produtos de carne e empresas de pintura eletrostática e tratamento de metais.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90% dessas indústrias estão dentro da área urbanizada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e apenas 40% a até 500 metros de uma rodovia. A indústria emissora de Bragança está, portanto, dispersa no tecido urbano, e não concentrada em áreas industriais com acesso direto às rodovias.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Leitura para o Plano Diretor: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a presença de fontes industriais em meio ao tecido urbano indica potencial de conflito com o uso residencial. A confirmação depende do cruzamento com o zoneamento vigente, que ainda não integra a base do mapa.</w:t>
      </w:r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8" w:name="_Toc0008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4. Transporte</w:t>
      </w:r>
      <w:bookmarkEnd w:id="908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7310"/>
        <w:gridCol w:w="2436"/>
      </w:tblGrid>
      <w:tr>
        <w:trPr>
          <w:tblHeader/>
        </w:trPr>
        <w:tc>
          <w:tcPr>
            <w:tcW w:w="7310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Tipo</w:t>
            </w:r>
          </w:p>
        </w:tc>
        <w:tc>
          <w:tcPr>
            <w:tcW w:w="243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Estabelecimentos</w:t>
            </w:r>
          </w:p>
        </w:tc>
      </w:tr>
      <w:tr>
        <w:trPr>
          <w:cantSplit/>
        </w:trPr>
        <w:tc>
          <w:tcPr>
            <w:tcW w:w="731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Transporte rodoviário de carga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64</w:t>
            </w:r>
          </w:p>
        </w:tc>
      </w:tr>
      <w:tr>
        <w:trPr>
          <w:cantSplit/>
        </w:trPr>
        <w:tc>
          <w:tcPr>
            <w:tcW w:w="731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Posto ou distribuidor de combustível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22</w:t>
            </w:r>
          </w:p>
        </w:tc>
      </w:tr>
      <w:tr>
        <w:trPr>
          <w:cantSplit/>
        </w:trPr>
        <w:tc>
          <w:tcPr>
            <w:tcW w:w="7310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Transporte rodoviário de passageiros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16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O transporte rodoviário é a principal fonte do setor de energia nos inventários municipais, e suas emissões acontecem ao longo das vias, não num ponto fixo. O mapa localiza o que tem endereço — 22 postos e distribuidores de combustível e 64 bases de transportadoras de carga — e as vias estruturais por onde circula o tráfego pesado.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99% das bases de frota estão na área urbanizada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, e 37% a até 500 metros de uma rodovia. A maior parte dos caminhões, portanto, sai de bases no interior da cidade e cruza vias urbanas até alcançar as rodovias.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Leitura para o Plano Diretor: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sem contagem de tráfego, não é possível hierarquizar os corredores por volume de emissão. A localização das bases, porém, já indica os trechos em que o tráfego pesado atravessa a malha urbana — tema que dialoga com a definição de rotas de carga e com a localização de novas áreas logísticas próximas às rodovias.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09" w:name="_Toc0009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5. Resíduos</w:t>
      </w:r>
      <w:bookmarkEnd w:id="909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metodologia de Poletto identifica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1.422 grandes geradores de resíduos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entre as empresas espacializadas. A decomposição de resíduos orgânicos em aterros emite metano, e a geração está ligada sobretudo ao comércio de alimentos, à alimentação fora de casa e ao comércio de veículos e material de construção.</w:t>
      </w: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7453"/>
        <w:gridCol w:w="2293"/>
      </w:tblGrid>
      <w:tr>
        <w:trPr>
          <w:tblHeader/>
        </w:trPr>
        <w:tc>
          <w:tcPr>
            <w:tcW w:w="745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Grupo de atividade</w:t>
            </w:r>
          </w:p>
        </w:tc>
        <w:tc>
          <w:tcPr>
            <w:tcW w:w="229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Grandes geradores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Atividades Profissionais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415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Comércio varejista de material de construção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211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Comércio Alimentício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208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Restaurantes e outros serviços de alimentação e bebidas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127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Comércio de Veículos Automotores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94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Comércio varejista de mercadorias em geral, com predominância de produtos alimentícios - minimercados, mercearias e armazéns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85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Comércio varejista especializado de móveis e colchoaria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66</w:t>
            </w:r>
          </w:p>
        </w:tc>
      </w:tr>
      <w:tr>
        <w:trPr>
          <w:cantSplit/>
        </w:trPr>
        <w:tc>
          <w:tcPr>
            <w:tcW w:w="745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Comércio varejista de artigos recreativos e esportivos</w:t>
            </w:r>
          </w:p>
        </w:tc>
        <w:tc>
          <w:tcPr>
            <w:tcW w:w="229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59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5198"/>
        <w:gridCol w:w="2599"/>
        <w:gridCol w:w="1949"/>
      </w:tblGrid>
      <w:tr>
        <w:trPr>
          <w:tblHeader/>
        </w:trPr>
        <w:tc>
          <w:tcPr>
            <w:tcW w:w="519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Porte</w:t>
            </w:r>
          </w:p>
        </w:tc>
        <w:tc>
          <w:tcPr>
            <w:tcW w:w="2599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Grandes geradores</w:t>
            </w:r>
          </w:p>
        </w:tc>
        <w:tc>
          <w:tcPr>
            <w:tcW w:w="1949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%</w:t>
            </w:r>
          </w:p>
        </w:tc>
      </w:tr>
      <w:tr>
        <w:trPr>
          <w:cantSplit/>
        </w:trPr>
        <w:tc>
          <w:tcPr>
            <w:tcW w:w="519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EPP</w:t>
            </w:r>
          </w:p>
        </w:tc>
        <w:tc>
          <w:tcPr>
            <w:tcW w:w="259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995</w:t>
            </w:r>
          </w:p>
        </w:tc>
        <w:tc>
          <w:tcPr>
            <w:tcW w:w="194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70,0%</w:t>
            </w:r>
          </w:p>
        </w:tc>
      </w:tr>
      <w:tr>
        <w:trPr>
          <w:cantSplit/>
        </w:trPr>
        <w:tc>
          <w:tcPr>
            <w:tcW w:w="519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ME</w:t>
            </w:r>
          </w:p>
        </w:tc>
        <w:tc>
          <w:tcPr>
            <w:tcW w:w="259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343</w:t>
            </w:r>
          </w:p>
        </w:tc>
        <w:tc>
          <w:tcPr>
            <w:tcW w:w="194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24,1%</w:t>
            </w:r>
          </w:p>
        </w:tc>
      </w:tr>
      <w:tr>
        <w:trPr>
          <w:cantSplit/>
        </w:trPr>
        <w:tc>
          <w:tcPr>
            <w:tcW w:w="519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Outros</w:t>
            </w:r>
          </w:p>
        </w:tc>
        <w:tc>
          <w:tcPr>
            <w:tcW w:w="259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79</w:t>
            </w:r>
          </w:p>
        </w:tc>
        <w:tc>
          <w:tcPr>
            <w:tcW w:w="194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5,6%</w:t>
            </w:r>
          </w:p>
        </w:tc>
      </w:tr>
      <w:tr>
        <w:trPr>
          <w:cantSplit/>
        </w:trPr>
        <w:tc>
          <w:tcPr>
            <w:tcW w:w="519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N. Informado</w:t>
            </w:r>
          </w:p>
        </w:tc>
        <w:tc>
          <w:tcPr>
            <w:tcW w:w="259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</w:t>
            </w:r>
          </w:p>
        </w:tc>
        <w:tc>
          <w:tcPr>
            <w:tcW w:w="1949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0,4%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Completam o setor 9 empresas de coleta, tratamento de resíduos e esgotamento sanitário.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0" w:name="_Toc0010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5.1 Limitações do método de Poletto</w:t>
      </w:r>
      <w:bookmarkEnd w:id="910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Sem área construída nem número de funcionários.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A classificação usa apenas a atividade, o que gera falsos positivos. O caso mais evidente, o dos microempreendedores individuais, foi retirado do mapa.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Mesmo tratamento para escalas diferentes.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Um supermercado e um pequeno comércio de alimentos na mesma subclasse recebem a mesma classificação, apesar da diferença real no volume de resíduos.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Recomenda-se que essas limitações acompanhem qualquer uso do mapa para dimensionar a geração de resíduos.</w:t>
      </w:r>
    </w:p>
    <w:p>
      <w:pPr>
        <w:pBdr/>
        <w:spacing/>
        <w:ind/>
        <w:rPr>
          <w:lang w:val="pt-BR" w:eastAsia="pt-BR" w:bidi="ar-SA"/>
          <w:lang w:val="pt-BR" w:eastAsia="pt-BR" w:bidi="ar-SA"/>
        </w:rPr>
      </w:pPr>
      <w:r>
        <w:br w:type="page" w:clear="all"/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11" w:name="_Toc0011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6. Agropecuária e mudança de uso da terra</w:t>
      </w:r>
      <w:bookmarkEnd w:id="911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4873"/>
        <w:gridCol w:w="2436"/>
        <w:gridCol w:w="2437"/>
      </w:tblGrid>
      <w:tr>
        <w:trPr>
          <w:tblHeader/>
        </w:trPr>
        <w:tc>
          <w:tcPr>
            <w:tcW w:w="487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Uso em 2024</w:t>
            </w:r>
          </w:p>
        </w:tc>
        <w:tc>
          <w:tcPr>
            <w:tcW w:w="243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Área</w:t>
            </w:r>
          </w:p>
        </w:tc>
        <w:tc>
          <w:tcPr>
            <w:tcW w:w="243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% do município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Pastagem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110,5 km²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21,6%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Agricultura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90,1 km²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17,6%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Silvicultura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23,8 km²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4,6%</w:t>
            </w:r>
          </w:p>
        </w:tc>
      </w:tr>
      <w:tr>
        <w:trPr>
          <w:cantSplit/>
        </w:trPr>
        <w:tc>
          <w:tcPr>
            <w:tcW w:w="4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Mosaico de usos</w:t>
            </w:r>
          </w:p>
        </w:tc>
        <w:tc>
          <w:tcPr>
            <w:tcW w:w="243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143,5 km²</w:t>
            </w:r>
          </w:p>
        </w:tc>
        <w:tc>
          <w:tcPr>
            <w:tcW w:w="243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28,0%</w:t>
            </w:r>
          </w:p>
        </w:tc>
      </w:tr>
      <w:tr>
        <w:trPr>
          <w:cantSplit/>
        </w:trPr>
        <w:tc>
          <w:tcPr>
            <w:tcW w:w="4873" w:type="dxa"/>
            <w:shd w:val="clear" w:color="auto" w:fill="fff3b0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  <w:lang w:val="pt-BR" w:eastAsia="pt-BR" w:bidi="ar-SA"/>
              </w:rPr>
              <w:t xml:space="preserve">Total agropecuário</w:t>
            </w:r>
          </w:p>
        </w:tc>
        <w:tc>
          <w:tcPr>
            <w:tcW w:w="2436" w:type="dxa"/>
            <w:shd w:val="clear" w:color="auto" w:fill="fff3b0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  <w:lang w:val="pt-BR" w:eastAsia="pt-BR" w:bidi="ar-SA"/>
              </w:rPr>
              <w:t xml:space="preserve">367,9 km²</w:t>
            </w:r>
          </w:p>
        </w:tc>
        <w:tc>
          <w:tcPr>
            <w:tcW w:w="2437" w:type="dxa"/>
            <w:shd w:val="clear" w:color="auto" w:fill="fff3b0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17"/>
                <w:szCs w:val="17"/>
                <w:lang w:val="pt-BR" w:eastAsia="pt-BR" w:bidi="ar-SA"/>
              </w:rPr>
              <w:t xml:space="preserve">71,8%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O uso agropecuário ocupa 72% do território municipal.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A pastagem, com 110,5 km², é a principal fonte potencial do setor, pela emissão de metano da fermentação entérica dos rebanhos. O mosaico de usos, que mistura pasto e lavoura em pequenas propriedades, é a maior classe em área.</w:t>
      </w: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6961"/>
        <w:gridCol w:w="2785"/>
      </w:tblGrid>
      <w:tr>
        <w:trPr>
          <w:tblHeader/>
        </w:trPr>
        <w:tc>
          <w:tcPr>
            <w:tcW w:w="6961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Mudança entre 1985 e 2024</w:t>
            </w:r>
          </w:p>
        </w:tc>
        <w:tc>
          <w:tcPr>
            <w:tcW w:w="2785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Área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Supressão de vegetação nativa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41,4 km²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Regeneração de vegetação nativa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29,7 km²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Saldo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-11,6 km²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6961"/>
        <w:gridCol w:w="2785"/>
      </w:tblGrid>
      <w:tr>
        <w:trPr>
          <w:tblHeader/>
        </w:trPr>
        <w:tc>
          <w:tcPr>
            <w:tcW w:w="6961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Destino da vegetação suprimida</w:t>
            </w:r>
          </w:p>
        </w:tc>
        <w:tc>
          <w:tcPr>
            <w:tcW w:w="2785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Área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Mosaico de usos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16,8 km²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Silvicultura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8,9 km²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Pastagem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8,0 km²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Agricultura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5,3 km²</w:t>
            </w:r>
          </w:p>
        </w:tc>
      </w:tr>
      <w:tr>
        <w:trPr>
          <w:cantSplit/>
        </w:trPr>
        <w:tc>
          <w:tcPr>
            <w:tcW w:w="6961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Área urbanizada</w:t>
            </w:r>
          </w:p>
        </w:tc>
        <w:tc>
          <w:tcPr>
            <w:tcW w:w="2785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2,3 km²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Entre 1985 e 2024, </w:t>
      </w: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41,4 km² de vegetação nativa foram convertidos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em outros usos, e 29,7 km² de áreas antes ocupadas voltaram a ser vegetação. O saldo é uma perda de 11,6 km²: a vegetação nativa passou de 94,2 para 82,8 km². A supressão foi sobretudo para mosaico de usos, silvicultura e pastagem; a expansão urbana responde por pequena parte.</w:t>
      </w:r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20"/>
          <w:szCs w:val="20"/>
          <w:lang w:val="pt-BR" w:eastAsia="pt-BR" w:bidi="ar-SA"/>
        </w:rPr>
        <w:t xml:space="preserve">Leitura para o Plano Diretor:</w:t>
      </w: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 a supressão libera o carbono estocado na vegetação, e a regeneração o retira da atmosfera. As áreas de regeneração indicam onde a recomposição já acontece e podem orientar a priorização de corredores ecológicos e de áreas de proteção.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12" w:name="_Toc0012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7. Diagnóstico</w:t>
      </w:r>
      <w:bookmarkEnd w:id="912"/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3" w:name="_Toc0013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7.1 Fontes industriais dispersas na cidade</w:t>
      </w:r>
      <w:bookmarkEnd w:id="913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As poucas indústrias com processos emissores estão espalhadas pela área urbanizada, e não agrupadas em áreas industriais junto às rodovias. O quadro indica potencial de conflito com o uso residencial e reforça a necessidade de cruzar as fontes com o zoneamento vigente.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4" w:name="_Toc0014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7.2 Tráfego pesado atravessando a malha urbana</w:t>
      </w:r>
      <w:bookmarkEnd w:id="914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As bases de transportadoras estão quase todas dentro da área urbanizada e, em sua maioria, distantes das rodovias. O deslocamento dos caminhões até as rodovias passa por vias urbanas, somando emissões e conflitos de circulação.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5" w:name="_Toc0015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7.3 Resíduos ligados ao comércio e aos serviços</w:t>
      </w:r>
      <w:bookmarkEnd w:id="915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A geração expressiva de resíduos acompanha o comércio de alimentos e os serviços de alimentação, distribuídos por toda a área urbana. A destinação desses resíduos, especialmente a fração orgânica, é o ponto de controle das emissões do setor.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6" w:name="_Toc0016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7.4 Perda líquida de vegetação nativa</w:t>
      </w:r>
      <w:bookmarkEnd w:id="916"/>
    </w:p>
    <w:p>
      <w:pPr>
        <w:pBdr/>
        <w:spacing w:after="130" w:before="0" w:line="288" w:lineRule="auto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20"/>
          <w:szCs w:val="20"/>
          <w:lang w:val="pt-BR" w:eastAsia="pt-BR" w:bidi="ar-SA"/>
        </w:rPr>
        <w:t xml:space="preserve">O território rural concentra as fontes de maior escala em área: pastagem, mosaico de usos e a supressão de vegetação nativa, que superou a regeneração no período.</w:t>
      </w: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7" w:name="_Toc0017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7.5 Implicações para a revisão</w:t>
      </w:r>
      <w:bookmarkEnd w:id="917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Zoneamento.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Cruzar as fontes industriais com o zoneamento vigente para identificar atividades fora das zonas previstas e orientar a localização de novas instalações.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Rotas de carga.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Usar a localização das bases de frota para definir rotas preferenciais de caminhões e áreas logísticas junto às rodovias.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Resíduos orgânicos.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Priorizar diretrizes de coleta seletiva e tratamento da fração orgânica junto aos grandes geradores do comércio e da alimentação.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Vegetação.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Proteger as áreas de regeneração e conter a supressão de vegetação nativa na área rural.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b/>
          <w:bCs/>
          <w:sz w:val="19"/>
          <w:szCs w:val="19"/>
          <w:lang w:val="pt-BR" w:eastAsia="pt-BR" w:bidi="ar-SA"/>
        </w:rPr>
        <w:t xml:space="preserve">Monitoramento. </w:t>
      </w: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Criar rotina municipal de atualização das fontes, já que a estimativa de emissões do SEEG é anual e não espacializada.</w:t>
      </w: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18" w:name="_Toc0018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8. Produtos entregues</w:t>
      </w:r>
      <w:bookmarkEnd w:id="918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3078"/>
        <w:gridCol w:w="6668"/>
      </w:tblGrid>
      <w:tr>
        <w:trPr>
          <w:tblHeader/>
        </w:trPr>
        <w:tc>
          <w:tcPr>
            <w:tcW w:w="307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Produto</w:t>
            </w:r>
          </w:p>
        </w:tc>
        <w:tc>
          <w:tcPr>
            <w:tcW w:w="6668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Descrição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Mapa30_Fontes_GEE.gpkg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GeoPackage em EPSG:31983 com projeto QGIS embutido e estilo padrão em cada camada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Arquivos .qml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Estilos individuais por camada, com a mesma simbologia do visualizador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Mapa30_Fontes_GEE.qgs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Projeto QGIS avulso, alternativo ao embutido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Visualizador WebGIS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Mapa interativo com seleção de setores, filtro de precisão da localização, popups e exportação em JPEG e PDF</w:t>
            </w:r>
          </w:p>
        </w:tc>
      </w:tr>
      <w:tr>
        <w:trPr>
          <w:cantSplit/>
        </w:trPr>
        <w:tc>
          <w:tcPr>
            <w:tcW w:w="307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Este relatório</w:t>
            </w:r>
          </w:p>
        </w:tc>
        <w:tc>
          <w:tcPr>
            <w:tcW w:w="6668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Documento técnico de diagnóstico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20"/>
        <w:pBdr/>
        <w:spacing w:after="105" w:before="250"/>
        <w:ind/>
        <w:rPr>
          <w:lang w:val="pt-BR" w:eastAsia="pt-BR" w:bidi="ar-SA"/>
          <w:lang w:val="pt-BR" w:eastAsia="pt-BR" w:bidi="ar-SA"/>
        </w:rPr>
      </w:pPr>
      <w:bookmarkStart w:id="919" w:name="_Toc0019"/>
      <w:r>
        <w:rPr>
          <w:rFonts w:ascii="Calibri" w:hAnsi="Calibri" w:eastAsia="Calibri" w:cs="Calibri"/>
          <w:b/>
          <w:bCs/>
          <w:color w:val="0175bc"/>
          <w:sz w:val="23"/>
          <w:szCs w:val="23"/>
          <w:lang w:val="pt-BR" w:eastAsia="pt-BR" w:bidi="ar-SA"/>
        </w:rPr>
        <w:t xml:space="preserve">8.1 Camadas</w:t>
      </w:r>
      <w:bookmarkEnd w:id="919"/>
    </w:p>
    <w:tbl>
      <w:tblPr>
        <w:tblW w:w="9746" w:type="dxa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dddddd" w:sz="2" w:space="0"/>
          <w:insideV w:val="single" w:color="dddddd" w:sz="2" w:space="0"/>
        </w:tblBorders>
        <w:tblLook w:val="04A0" w:firstRow="1" w:lastRow="0" w:firstColumn="1" w:lastColumn="0" w:noHBand="0" w:noVBand="1"/>
      </w:tblPr>
      <w:tblGrid>
        <w:gridCol w:w="2873"/>
        <w:gridCol w:w="1026"/>
        <w:gridCol w:w="5847"/>
      </w:tblGrid>
      <w:tr>
        <w:trPr>
          <w:tblHeader/>
        </w:trPr>
        <w:tc>
          <w:tcPr>
            <w:tcW w:w="2873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Camada</w:t>
            </w:r>
          </w:p>
        </w:tc>
        <w:tc>
          <w:tcPr>
            <w:tcW w:w="1026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Feições</w:t>
            </w:r>
          </w:p>
        </w:tc>
        <w:tc>
          <w:tcPr>
            <w:tcW w:w="5847" w:type="dxa"/>
            <w:shd w:val="clear" w:color="auto" w:fill="01305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center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  <w:lang w:val="pt-BR" w:eastAsia="pt-BR" w:bidi="ar-SA"/>
              </w:rPr>
              <w:t xml:space="preserve">Conteúdo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fontes_energia_processos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30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Indústrias com processos emissores (exceto MEI), com porte, CNAE e precisão da localização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fontes_transporte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102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Postos de combustível e bases de transportadoras e de empresas de ônibus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fontes_residuos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1.431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Grandes geradores de resíduos, coleta, tratamento e esgotamento (exceto MEI)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vias_estruturais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1.752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Rodovias, arteriais, coletoras e estradas municipais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uso_agropecuario_2024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4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Pastagem, agricultura, silvicultura e mosaico de usos em 2024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mudanca_uso_1985_2024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Supressão e regeneração de vegetação nativa entre 1985 e 2024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empresas_espacializadas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24.018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Todas as empresas espacializadas, inclusive MEI, com a precisão de cada localização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area_urbanizada_2024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Área urbanizada em 2024 (MapBiomas)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limite_municipal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1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Limite do município</w:t>
            </w:r>
          </w:p>
        </w:tc>
      </w:tr>
      <w:tr>
        <w:trPr>
          <w:cantSplit/>
        </w:trPr>
        <w:tc>
          <w:tcPr>
            <w:tcW w:w="2873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empresa_facil_situacao (tabela)</w:t>
            </w:r>
          </w:p>
        </w:tc>
        <w:tc>
          <w:tcPr>
            <w:tcW w:w="1026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jc w:val="right"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30.737</w:t>
            </w:r>
          </w:p>
        </w:tc>
        <w:tc>
          <w:tcPr>
            <w:tcW w:w="5847" w:type="dxa"/>
            <w:noWrap w:val="false"/>
            <w:tcMar>
              <w:top w:w="58" w:type="dxa"/>
              <w:left w:w="88" w:type="dxa"/>
              <w:bottom w:w="58" w:type="dxa"/>
              <w:right w:w="88" w:type="dxa"/>
            </w:tcMar>
            <w:textDirection w:val="lrTb"/>
          </w:tcPr>
          <w:p>
            <w:pPr>
              <w:pBdr/>
              <w:spacing w:after="0" w:line="226" w:lineRule="auto"/>
              <w:ind/>
              <w:rPr>
                <w:lang w:val="pt-BR" w:eastAsia="pt-BR" w:bidi="ar-SA"/>
                <w:lang w:val="pt-BR" w:eastAsia="pt-BR" w:bidi="ar-SA"/>
              </w:rPr>
            </w:pPr>
            <w:r>
              <w:rPr>
                <w:rFonts w:ascii="Calibri" w:hAnsi="Calibri" w:eastAsia="Calibri" w:cs="Calibri"/>
                <w:color w:val="000000"/>
                <w:sz w:val="17"/>
                <w:szCs w:val="17"/>
                <w:lang w:val="pt-BR" w:eastAsia="pt-BR" w:bidi="ar-SA"/>
              </w:rPr>
              <w:t xml:space="preserve">Situação de cada registro do Empresa Fácil na espacialização</w:t>
            </w:r>
          </w:p>
        </w:tc>
      </w:tr>
    </w:tbl>
    <w:p>
      <w:pPr>
        <w:pBdr/>
        <w:spacing w:after="60"/>
        <w:ind/>
        <w:rPr>
          <w:lang w:val="pt-BR" w:eastAsia="pt-BR" w:bidi="ar-SA"/>
          <w:lang w:val="pt-BR" w:eastAsia="pt-BR" w:bidi="ar-SA"/>
        </w:rPr>
      </w:pPr>
    </w:p>
    <w:p>
      <w:pPr>
        <w:pStyle w:val="719"/>
        <w:pBdr>
          <w:bottom w:val="single" w:color="ffef00" w:sz="12" w:space="6"/>
        </w:pBdr>
        <w:spacing w:after="165" w:before="340"/>
        <w:ind/>
        <w:rPr>
          <w:lang w:val="pt-BR" w:eastAsia="pt-BR" w:bidi="ar-SA"/>
          <w:lang w:val="pt-BR" w:eastAsia="pt-BR" w:bidi="ar-SA"/>
        </w:rPr>
      </w:pPr>
      <w:bookmarkStart w:id="920" w:name="_Toc0020"/>
      <w:r>
        <w:rPr>
          <w:rFonts w:ascii="Calibri" w:hAnsi="Calibri" w:eastAsia="Calibri" w:cs="Calibri"/>
          <w:b/>
          <w:bCs/>
          <w:color w:val="01305a"/>
          <w:sz w:val="28"/>
          <w:szCs w:val="28"/>
          <w:lang w:val="pt-BR" w:eastAsia="pt-BR" w:bidi="ar-SA"/>
        </w:rPr>
        <w:t xml:space="preserve">9. Limitações</w:t>
      </w:r>
      <w:bookmarkEnd w:id="920"/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O pareamento por CEP e número é uma solução de contorno diante da ausência da inscrição imobiliária no Empresa Fácil, e é a principal fonte de imprecisão espacial. A precisão de cada ponto está registrada na camada.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Os pontos representam fontes potenciais, definidas pela atividade econômica. O mapa não mede nem estima emissões por estabelecimento.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A classificação de grandes geradores pelo método de Poletto não considera área construída nem número de funcionários.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O transporte é representado por bases e vias; não há dados de volume de tráfego.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Aterro sanitário, estações de tratamento de esgoto públicas e o zoneamento vigente ainda não integram a base do mapa.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A estimativa de emissões do SEEG é municipal e agregada, sem distribuição no território.</w:t>
      </w:r>
    </w:p>
    <w:p>
      <w:pPr>
        <w:pStyle w:val="726"/>
        <w:numPr>
          <w:ilvl w:val="0"/>
          <w:numId w:val="2"/>
        </w:numPr>
        <w:pBdr/>
        <w:spacing w:after="70"/>
        <w:ind/>
        <w:rPr>
          <w:lang w:val="pt-BR" w:eastAsia="pt-BR" w:bidi="ar-SA"/>
          <w:lang w:val="pt-BR" w:eastAsia="pt-BR" w:bidi="ar-SA"/>
        </w:rPr>
      </w:pPr>
      <w:r>
        <w:rPr>
          <w:rFonts w:ascii="Calibri" w:hAnsi="Calibri" w:eastAsia="Calibri" w:cs="Calibri"/>
          <w:sz w:val="19"/>
          <w:szCs w:val="19"/>
          <w:lang w:val="pt-BR" w:eastAsia="pt-BR" w:bidi="ar-SA"/>
        </w:rPr>
        <w:t xml:space="preserve">A classificação do MapBiomas é automatizada, com pixel de cerca de 30 m.</w:t>
      </w:r>
    </w:p>
    <w:sectPr>
      <w:footerReference w:type="default" r:id="rId9"/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lang w:val="pt-BR" w:eastAsia="pt-BR" w:bidi="ar-SA"/>
        <w:lang w:val="pt-BR" w:eastAsia="pt-BR" w:bidi="ar-SA"/>
      </w:rPr>
    </w:pPr>
    <w:r>
      <w:rPr>
        <w:rFonts w:ascii="Calibri" w:hAnsi="Calibri" w:eastAsia="Calibri" w:cs="Calibri"/>
        <w:color w:val="888888"/>
        <w:sz w:val="15"/>
        <w:szCs w:val="15"/>
        <w:lang w:val="pt-BR" w:eastAsia="pt-BR" w:bidi="ar-SA"/>
      </w:rPr>
      <w:t xml:space="preserve">Fontes de Emissão de GEE · Mapa 30  ·  </w:t>
    </w:r>
    <w:r>
      <w:rPr>
        <w:rFonts w:ascii="Calibri" w:hAnsi="Calibri" w:eastAsia="Calibri" w:cs="Calibri"/>
        <w:color w:val="888888"/>
        <w:sz w:val="15"/>
        <w:szCs w:val="15"/>
        <w:lang w:val="pt-BR" w:eastAsia="pt-BR" w:bidi="ar-SA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bullet"/>
      <w:isLgl w:val="false"/>
      <w:suff w:val="tab"/>
      <w:lvlText w:val="●"/>
      <w:lvlJc w:val="left"/>
      <w:pPr>
        <w:pBdr/>
        <w:spacing/>
        <w:ind w:hanging="360" w:left="720"/>
      </w:pPr>
      <w:rPr/>
    </w:lvl>
    <w:lvl w:ilvl="1">
      <w:start w:val="1"/>
      <w:numFmt w:val="bullet"/>
      <w:isLgl w:val="false"/>
      <w:suff w:val="tab"/>
      <w:lvlText w:val="○"/>
      <w:lvlJc w:val="left"/>
      <w:pPr>
        <w:pBdr/>
        <w:spacing/>
        <w:ind w:hanging="360" w:left="1440"/>
      </w:pPr>
      <w:rPr/>
    </w:lvl>
    <w:lvl w:ilvl="2">
      <w:start w:val="1"/>
      <w:numFmt w:val="bullet"/>
      <w:isLgl w:val="false"/>
      <w:suff w:val="tab"/>
      <w:lvlText w:val="■"/>
      <w:lvlJc w:val="left"/>
      <w:pPr>
        <w:pBdr/>
        <w:spacing/>
        <w:ind w:hanging="360" w:left="2160"/>
      </w:pPr>
      <w:rPr/>
    </w:lvl>
    <w:lvl w:ilvl="3">
      <w:start w:val="1"/>
      <w:numFmt w:val="bullet"/>
      <w:isLgl w:val="false"/>
      <w:suff w:val="tab"/>
      <w:lvlText w:val="●"/>
      <w:lvlJc w:val="left"/>
      <w:pPr>
        <w:pBdr/>
        <w:spacing/>
        <w:ind w:hanging="360" w:left="2880"/>
      </w:pPr>
      <w:rPr/>
    </w:lvl>
    <w:lvl w:ilvl="4">
      <w:start w:val="1"/>
      <w:numFmt w:val="bullet"/>
      <w:isLgl w:val="false"/>
      <w:suff w:val="tab"/>
      <w:lvlText w:val="○"/>
      <w:lvlJc w:val="left"/>
      <w:pPr>
        <w:pBdr/>
        <w:spacing/>
        <w:ind w:hanging="360" w:left="3600"/>
      </w:pPr>
      <w:rPr/>
    </w:lvl>
    <w:lvl w:ilvl="5">
      <w:start w:val="1"/>
      <w:numFmt w:val="bullet"/>
      <w:isLgl w:val="false"/>
      <w:suff w:val="tab"/>
      <w:lvlText w:val="■"/>
      <w:lvlJc w:val="left"/>
      <w:pPr>
        <w:pBdr/>
        <w:spacing/>
        <w:ind w:hanging="360" w:left="4320"/>
      </w:pPr>
      <w:rPr/>
    </w:lvl>
    <w:lvl w:ilvl="6">
      <w:start w:val="1"/>
      <w:numFmt w:val="bullet"/>
      <w:isLgl w:val="false"/>
      <w:suff w:val="tab"/>
      <w:lvlText w:val="●"/>
      <w:lvlJc w:val="left"/>
      <w:pPr>
        <w:pBdr/>
        <w:spacing/>
        <w:ind w:hanging="360" w:left="5040"/>
      </w:pPr>
      <w:rPr/>
    </w:lvl>
    <w:lvl w:ilvl="7">
      <w:start w:val="1"/>
      <w:numFmt w:val="bullet"/>
      <w:isLgl w:val="false"/>
      <w:suff w:val="tab"/>
      <w:lvlText w:val="●"/>
      <w:lvlJc w:val="left"/>
      <w:pPr>
        <w:pBdr/>
        <w:spacing/>
        <w:ind w:hanging="360" w:left="5760"/>
      </w:pPr>
      <w:rPr/>
    </w:lvl>
    <w:lvl w:ilvl="8">
      <w:start w:val="1"/>
      <w:numFmt w:val="bullet"/>
      <w:isLgl w:val="false"/>
      <w:suff w:val="tab"/>
      <w:lvlText w:val="●"/>
      <w:lvlJc w:val="left"/>
      <w:pPr>
        <w:pBdr/>
        <w:spacing/>
        <w:ind w:hanging="360" w:left="6480"/>
      </w:pPr>
      <w:rPr/>
    </w:lvl>
  </w:abstractNum>
  <w:abstractNum w:abstractNumId="1">
    <w:lvl w:ilvl="0">
      <w:start w:val="1"/>
      <w:numFmt w:val="bullet"/>
      <w:isLgl w:val="false"/>
      <w:suff w:val="tab"/>
      <w:lvlText w:val="•"/>
      <w:lvlJc w:val="left"/>
      <w:pPr>
        <w:pBdr/>
        <w:spacing/>
        <w:ind w:hanging="200" w:left="400"/>
      </w:pPr>
      <w:rPr/>
    </w:lvl>
    <w:lvl w:ilvl="1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2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3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4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5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6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7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  <w:lvl w:ilvl="8">
      <w:start w:val="0"/>
      <w:numFmt w:val="bullet"/>
      <w:isLgl w:val="false"/>
      <w:suff w:val="tab"/>
      <w:lvlText w:val=""/>
      <w:lvlJc w:val="left"/>
      <w:pPr>
        <w:pBdr/>
        <w:spacing/>
        <w:ind/>
      </w:pPr>
      <w:rPr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8">
    <w:name w:val="Title"/>
    <w:qFormat/>
    <w:pPr>
      <w:pBdr/>
      <w:spacing/>
      <w:ind/>
    </w:pPr>
    <w:rPr>
      <w:sz w:val="56"/>
      <w:szCs w:val="56"/>
    </w:rPr>
  </w:style>
  <w:style w:type="paragraph" w:styleId="71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2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2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2">
    <w:name w:val="Heading 4"/>
    <w:qFormat/>
    <w:pPr>
      <w:pBdr/>
      <w:spacing/>
      <w:ind/>
    </w:pPr>
    <w:rPr>
      <w:i/>
      <w:iCs/>
      <w:color w:val="2e74b5"/>
    </w:rPr>
  </w:style>
  <w:style w:type="paragraph" w:styleId="723">
    <w:name w:val="Heading 5"/>
    <w:qFormat/>
    <w:pPr>
      <w:pBdr/>
      <w:spacing/>
      <w:ind/>
    </w:pPr>
    <w:rPr>
      <w:color w:val="2e74b5"/>
    </w:rPr>
  </w:style>
  <w:style w:type="paragraph" w:styleId="724">
    <w:name w:val="Heading 6"/>
    <w:qFormat/>
    <w:pPr>
      <w:pBdr/>
      <w:spacing/>
      <w:ind/>
    </w:pPr>
    <w:rPr>
      <w:color w:val="1f4d78"/>
    </w:rPr>
  </w:style>
  <w:style w:type="paragraph" w:styleId="725">
    <w:name w:val="Strong"/>
    <w:qFormat/>
    <w:pPr>
      <w:pBdr/>
      <w:spacing/>
      <w:ind/>
    </w:pPr>
    <w:rPr>
      <w:b/>
      <w:bCs/>
    </w:rPr>
  </w:style>
  <w:style w:type="paragraph" w:styleId="726">
    <w:name w:val="List Paragraph"/>
    <w:qFormat/>
    <w:pPr>
      <w:pBdr/>
      <w:spacing/>
      <w:ind/>
    </w:pPr>
  </w:style>
  <w:style w:type="character" w:styleId="72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foot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Foot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2">
    <w:name w:val="endnote text"/>
    <w:link w:val="7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3">
    <w:name w:val="Endnote Text Char"/>
    <w:link w:val="73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Fluxos Intermunicipais — Mapas 2 a 5 — Relatório e Diagnóstico</dc:title>
  <dc:creator>Divisão de Planejamento — Prefeitura de Bragança Paulista</dc:creator>
  <cp:revision>2</cp:revision>
  <dcterms:created xsi:type="dcterms:W3CDTF">2026-08-19T21:54:24Z</dcterms:created>
  <dcterms:modified xsi:type="dcterms:W3CDTF">2026-08-19T23:08:09Z</dcterms:modified>
</cp:coreProperties>
</file>