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0"/>
        <w:ind/>
        <w:rPr>
          <w:lang w:val="pt-BR"/>
        </w:rPr>
      </w:pPr>
      <w:r>
        <w:rPr>
          <w:rFonts w:ascii="Calibri" w:hAnsi="Calibri" w:eastAsia="Calibri" w:cs="Calibri"/>
          <w:sz w:val="20"/>
          <w:szCs w:val="20"/>
          <w:lang w:val="pt-BR" w:bidi="pt-BR"/>
        </w:rPr>
      </w:r>
      <w:r>
        <w:rPr>
          <w:lang w:val="pt-BR"/>
        </w:rPr>
      </w:r>
    </w:p>
    <w:p>
      <w:pPr>
        <w:pBdr/>
        <w:spacing w:after="60"/>
        <w:ind/>
        <w:jc w:val="center"/>
        <w:rPr/>
      </w:pPr>
      <w:r>
        <w:rPr>
          <w:rFonts w:ascii="Calibri" w:hAnsi="Calibri" w:eastAsia="Calibri" w:cs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  <w:r/>
    </w:p>
    <w:p>
      <w:pPr>
        <w:pBdr/>
        <w:spacing w:after="180"/>
        <w:ind/>
        <w:jc w:val="center"/>
        <w:rPr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Leitura Técnica Socioterritorial</w:t>
      </w:r>
      <w:r/>
    </w:p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999999"/>
          <w:spacing w:val="80"/>
          <w:sz w:val="28"/>
          <w:szCs w:val="28"/>
        </w:rPr>
        <w:t xml:space="preserve">MAPAS 1 E 6</w:t>
      </w:r>
      <w:r/>
    </w:p>
    <w:p>
      <w:pPr>
        <w:pBdr/>
        <w:spacing w:after="140"/>
        <w:ind/>
        <w:jc w:val="center"/>
        <w:rPr/>
      </w:pPr>
      <w:r>
        <w:rPr>
          <w:rFonts w:ascii="Calibri" w:hAnsi="Calibri" w:eastAsia="Calibri" w:cs="Calibri"/>
          <w:b/>
          <w:bCs/>
          <w:color w:val="01305a"/>
          <w:sz w:val="44"/>
          <w:szCs w:val="44"/>
        </w:rPr>
        <w:t xml:space="preserve">Estrutura Regional e Evolução da Ocupação</w:t>
      </w:r>
      <w:r/>
    </w:p>
    <w:p>
      <w:pPr>
        <w:pBdr>
          <w:top w:val="single" w:color="ffef00" w:sz="18" w:space="14"/>
        </w:pBdr>
        <w:spacing w:after="540"/>
        <w:ind/>
        <w:jc w:val="center"/>
        <w:rPr/>
      </w:pPr>
      <w:r>
        <w:rPr>
          <w:rFonts w:ascii="Calibri" w:hAnsi="Calibri" w:eastAsia="Calibri" w:cs="Calibri"/>
          <w:color w:val="555555"/>
          <w:sz w:val="21"/>
          <w:szCs w:val="21"/>
        </w:rPr>
        <w:t xml:space="preserve">Mancha urbana, rede regional e expansão, 1985 a 2024</w:t>
      </w:r>
      <w:r/>
    </w:p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Divisão de Planejamento</w:t>
      </w:r>
      <w:r/>
    </w:p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Secretaria Municipal de Planejamento</w:t>
      </w:r>
      <w:r/>
    </w:p>
    <w:p>
      <w:pPr>
        <w:pBdr/>
        <w:spacing/>
        <w:ind/>
        <w:jc w:val="center"/>
        <w:rPr/>
      </w:pPr>
      <w:r>
        <w:rPr>
          <w:rFonts w:ascii="Calibri" w:hAnsi="Calibri" w:eastAsia="Calibri" w:cs="Calibri"/>
          <w:i/>
          <w:iCs/>
          <w:color w:val="777777"/>
          <w:sz w:val="17"/>
          <w:szCs w:val="17"/>
        </w:rPr>
        <w:t xml:space="preserve">Setembro de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ffef00" w:sz="12" w:space="6"/>
        </w:pBdr>
        <w:spacing w:after="165" w:before="340"/>
        <w:ind/>
        <w:rPr/>
      </w:pPr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Sumário</w:t>
      </w:r>
      <w:r/>
    </w:p>
    <w:sdt>
      <w:sdtPr>
        <w:alias w:val="Sumário"/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"1-2"</w:instrText>
            <w:fldChar w:fldCharType="separate"/>
          </w:r>
          <w:r/>
        </w:p>
        <w:p>
          <w:pPr>
            <w:pStyle w:val="752"/>
            <w:pBdr/>
            <w:tabs>
              <w:tab w:val="right" w:leader="dot" w:pos="9740"/>
            </w:tabs>
            <w:spacing w:after="40" w:before="120"/>
            <w:ind/>
            <w:rPr/>
          </w:pPr>
          <w:r/>
          <w:hyperlink w:tooltip="#_Toc0001" w:anchor="_Toc0001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1. O que este mapa mostra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3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02" w:anchor="_Toc0002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1.1 Como ler o mapa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3</w:t>
            </w:r>
          </w:hyperlink>
          <w:r/>
          <w:r/>
        </w:p>
        <w:p>
          <w:pPr>
            <w:pStyle w:val="752"/>
            <w:pBdr/>
            <w:tabs>
              <w:tab w:val="right" w:leader="dot" w:pos="9740"/>
            </w:tabs>
            <w:spacing w:after="40" w:before="120"/>
            <w:ind/>
            <w:rPr/>
          </w:pPr>
          <w:r/>
          <w:hyperlink w:tooltip="#_Toc0003" w:anchor="_Toc0003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2. Fontes e método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3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04" w:anchor="_Toc0004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2.1 Procedimentos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4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05" w:anchor="_Toc0005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2.2 Como se lê a idade do tecido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4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06" w:anchor="_Toc0006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2.3 Recorte adotado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4</w:t>
            </w:r>
          </w:hyperlink>
          <w:r/>
          <w:r/>
        </w:p>
        <w:p>
          <w:pPr>
            <w:pStyle w:val="752"/>
            <w:pBdr/>
            <w:tabs>
              <w:tab w:val="right" w:leader="dot" w:pos="9740"/>
            </w:tabs>
            <w:spacing w:after="40" w:before="120"/>
            <w:ind/>
            <w:rPr/>
          </w:pPr>
          <w:r/>
          <w:hyperlink w:tooltip="#_Toc0007" w:anchor="_Toc0007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3. Bragança na Região Imediata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5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08" w:anchor="_Toc0008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3.1 Crescimento por município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5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09" w:anchor="_Toc0009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3.2 Bragança e Atibaia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5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0" w:anchor="_Toc0010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3.3 A dispersão é um padrão regional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5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1" w:anchor="_Toc0011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3.4 Hierarquia urbana e forma de crescimento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6</w:t>
            </w:r>
          </w:hyperlink>
          <w:r/>
          <w:r/>
        </w:p>
        <w:p>
          <w:pPr>
            <w:pStyle w:val="752"/>
            <w:pBdr/>
            <w:tabs>
              <w:tab w:val="right" w:leader="dot" w:pos="9740"/>
            </w:tabs>
            <w:spacing w:after="40" w:before="120"/>
            <w:ind/>
            <w:rPr/>
          </w:pPr>
          <w:r/>
          <w:hyperlink w:tooltip="#_Toc0012" w:anchor="_Toc0012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4. Evolução da ocupação em Bragança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7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3" w:anchor="_Toc0013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4.1 Acréscimo por período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7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4" w:anchor="_Toc0014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4.2 Ritmo de crescimento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7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5" w:anchor="_Toc0015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4.3 A forma do crescimento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7</w:t>
            </w:r>
          </w:hyperlink>
          <w:r/>
          <w:r/>
        </w:p>
        <w:p>
          <w:pPr>
            <w:pStyle w:val="752"/>
            <w:pBdr/>
            <w:tabs>
              <w:tab w:val="right" w:leader="dot" w:pos="9740"/>
            </w:tabs>
            <w:spacing w:after="40" w:before="120"/>
            <w:ind/>
            <w:rPr/>
          </w:pPr>
          <w:r/>
          <w:hyperlink w:tooltip="#_Toc0016" w:anchor="_Toc0016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5. Diagnóstico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8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7" w:anchor="_Toc0017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5.1 Dispersão como padrão dominante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8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8" w:anchor="_Toc0018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5.2 Desaceleração recente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8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19" w:anchor="_Toc0019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5.3 Território ainda pouco urbanizado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8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20" w:anchor="_Toc0020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5.4 Implicações para a revisão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8</w:t>
            </w:r>
          </w:hyperlink>
          <w:r/>
          <w:r/>
        </w:p>
        <w:p>
          <w:pPr>
            <w:pStyle w:val="752"/>
            <w:pBdr/>
            <w:tabs>
              <w:tab w:val="right" w:leader="dot" w:pos="9740"/>
            </w:tabs>
            <w:spacing w:after="40" w:before="120"/>
            <w:ind/>
            <w:rPr/>
          </w:pPr>
          <w:r/>
          <w:hyperlink w:tooltip="#_Toc0021" w:anchor="_Toc0021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6. Produtos entregues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10</w:t>
            </w:r>
          </w:hyperlink>
          <w:r/>
          <w:r/>
        </w:p>
        <w:p>
          <w:pPr>
            <w:pStyle w:val="753"/>
            <w:pBdr/>
            <w:tabs>
              <w:tab w:val="right" w:leader="dot" w:pos="9740"/>
            </w:tabs>
            <w:spacing w:after="30" w:before="0"/>
            <w:ind/>
            <w:rPr/>
          </w:pPr>
          <w:r/>
          <w:hyperlink w:tooltip="#_Toc0022" w:anchor="_Toc0022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6.1 Camadas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 xml:space="preserve">10</w:t>
            </w:r>
          </w:hyperlink>
          <w:r/>
          <w:r/>
        </w:p>
        <w:p>
          <w:pPr>
            <w:pStyle w:val="752"/>
            <w:pBdr/>
            <w:tabs>
              <w:tab w:val="right" w:leader="dot" w:pos="9740"/>
            </w:tabs>
            <w:spacing w:after="40" w:before="120"/>
            <w:ind/>
            <w:rPr/>
          </w:pPr>
          <w:r/>
          <w:hyperlink w:tooltip="#_Toc0023" w:anchor="_Toc0023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7. Limitações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</w:rPr>
              <w:t xml:space="preserve">10</w:t>
            </w:r>
          </w:hyperlink>
          <w:r/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765"/>
        <w:pBdr>
          <w:bottom w:val="single" w:color="ffef00" w:sz="12" w:space="6"/>
        </w:pBdr>
        <w:spacing w:after="165" w:before="340"/>
        <w:ind/>
        <w:rPr/>
      </w:pPr>
      <w:r/>
      <w:bookmarkStart w:id="901" w:name="_Toc0001"/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1. O que este mapa mostra</w:t>
      </w:r>
      <w:bookmarkEnd w:id="901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Este documento acompanha um mapa interativo que reúne dois mapas do cronograma da Leitura Técnica: o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mapa 1, Estrutura Regional e Mancha Urbana</w:t>
      </w:r>
      <w:r>
        <w:rPr>
          <w:rFonts w:ascii="Calibri" w:hAnsi="Calibri" w:eastAsia="Calibri" w:cs="Calibri"/>
          <w:sz w:val="20"/>
          <w:szCs w:val="20"/>
        </w:rPr>
        <w:t xml:space="preserve">, e o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mapa 6, Evolução da Ocupação no Território</w:t>
      </w:r>
      <w:r>
        <w:rPr>
          <w:rFonts w:ascii="Calibri" w:hAnsi="Calibri" w:eastAsia="Calibri" w:cs="Calibri"/>
          <w:sz w:val="20"/>
          <w:szCs w:val="20"/>
        </w:rPr>
        <w:t xml:space="preserve">. Os dois tratam do crescimento urbano, com a mesma fonte e o mesmo método, e diferem apenas na escala. Por isso foram reunidos em uma única peça, com um seletor que alterna entre a região e o município.</w:t>
      </w:r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escala regional é a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Região Geográfica Imediata de Bragança Paulista</w:t>
      </w:r>
      <w:r>
        <w:rPr>
          <w:rFonts w:ascii="Calibri" w:hAnsi="Calibri" w:eastAsia="Calibri" w:cs="Calibri"/>
          <w:sz w:val="20"/>
          <w:szCs w:val="20"/>
        </w:rPr>
        <w:t xml:space="preserve">, definida pelo IBGE: 11 municípios, 3.216 km² e 494 mil habitantes em 2022. A pergunta que orienta o trabalho é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onde e de que forma a ocupação urbana avançou entre 1985 e 2024</w:t>
      </w:r>
      <w:r>
        <w:rPr>
          <w:rFonts w:ascii="Calibri" w:hAnsi="Calibri" w:eastAsia="Calibri" w:cs="Calibri"/>
          <w:sz w:val="20"/>
          <w:szCs w:val="20"/>
        </w:rPr>
        <w:t xml:space="preserve">. A resposta mostra que o crescimento não se deu apenas pela borda das cidades existentes, mas também — e cada vez mais — por fragmentos soltos no território.</w:t>
      </w:r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1440"/>
        <w:gridCol w:w="1661"/>
        <w:gridCol w:w="6645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Escala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66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Mapa do cronograma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4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O que revela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Região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66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4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A mancha urbana dos 11 municípios da Região Imediata, a hierarquia urbana das sedes e as rodovias. Permite comparar ritmos e formas de crescimento e situar Bragança no conjunto.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Município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66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6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4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Bragança em detalhe, com cada fragmento do tecido urbano colorido pelo período em que surgiu, sobre o sistema viário municipal.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Nas duas escalas há dois modos de leitura: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Período</w:t>
      </w:r>
      <w:r>
        <w:rPr>
          <w:rFonts w:ascii="Calibri" w:hAnsi="Calibri" w:eastAsia="Calibri" w:cs="Calibri"/>
          <w:sz w:val="20"/>
          <w:szCs w:val="20"/>
        </w:rPr>
        <w:t xml:space="preserve">, em que cada área recebe a cor do período em que passou a ser urbana, e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Mancha</w:t>
      </w:r>
      <w:r>
        <w:rPr>
          <w:rFonts w:ascii="Calibri" w:hAnsi="Calibri" w:eastAsia="Calibri" w:cs="Calibri"/>
          <w:sz w:val="20"/>
          <w:szCs w:val="20"/>
        </w:rPr>
        <w:t xml:space="preserve">, que mostra a área urbanizada no ano escolhido num controle deslizante.</w:t>
      </w:r>
      <w:r/>
    </w:p>
    <w:p>
      <w:pPr>
        <w:pStyle w:val="766"/>
        <w:pBdr/>
        <w:spacing w:after="105" w:before="250"/>
        <w:ind/>
        <w:rPr/>
      </w:pPr>
      <w:r/>
      <w:bookmarkStart w:id="902" w:name="_Toc0002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1.1 Como ler o mapa</w:t>
      </w:r>
      <w:bookmarkEnd w:id="902"/>
      <w:r/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Cores da mancha. </w:t>
      </w:r>
      <w:r>
        <w:rPr>
          <w:rFonts w:ascii="Calibri" w:hAnsi="Calibri" w:eastAsia="Calibri" w:cs="Calibri"/>
          <w:sz w:val="19"/>
          <w:szCs w:val="19"/>
        </w:rPr>
        <w:t xml:space="preserve">Do bege ao vermelho, na ordem do tempo. O bege é o tecido que já era urbano em 1985; o vermelho mais vivo, o que surgiu entre 2021 e 2024. Cada área aparece uma única vez, </w:t>
      </w:r>
      <w:r>
        <w:rPr>
          <w:rFonts w:ascii="Calibri" w:hAnsi="Calibri" w:eastAsia="Calibri" w:cs="Calibri"/>
          <w:sz w:val="19"/>
          <w:szCs w:val="19"/>
        </w:rPr>
        <w:t xml:space="preserve">no </w:t>
      </w:r>
      <w:r>
        <w:rPr>
          <w:rFonts w:ascii="Calibri" w:hAnsi="Calibri" w:eastAsia="Calibri" w:cs="Calibri"/>
          <w:sz w:val="19"/>
          <w:szCs w:val="19"/>
        </w:rPr>
        <w:t xml:space="preserve">período em que surgiu.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Idade do tecido. </w:t>
      </w:r>
      <w:r>
        <w:rPr>
          <w:rFonts w:ascii="Calibri" w:hAnsi="Calibri" w:eastAsia="Calibri" w:cs="Calibri"/>
          <w:sz w:val="19"/>
          <w:szCs w:val="19"/>
        </w:rPr>
        <w:t xml:space="preserve">Aparece ao clicar na mancha, em faixas calculadas em relação a 2024, último recorte. O tecido anterior a 1985 aparece como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39 anos ou mais</w:t>
      </w:r>
      <w:r>
        <w:rPr>
          <w:rFonts w:ascii="Calibri" w:hAnsi="Calibri" w:eastAsia="Calibri" w:cs="Calibri"/>
          <w:sz w:val="19"/>
          <w:szCs w:val="19"/>
        </w:rPr>
        <w:t xml:space="preserve">. Ver seção 2.2.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Sedes municipais. </w:t>
      </w:r>
      <w:r>
        <w:rPr>
          <w:rFonts w:ascii="Calibri" w:hAnsi="Calibri" w:eastAsia="Calibri" w:cs="Calibri"/>
          <w:sz w:val="19"/>
          <w:szCs w:val="19"/>
        </w:rPr>
        <w:t xml:space="preserve">Na escala regional, cada sede aparece com o nome e um marcador pela hierarquia urbana do IBGE: círculo amarelo com borda fina preta para Centro Sub-Regional A, branco com borda fina preta para Centro Sub-Regional B e preto para Centro Local, em tamanhos decrescentes.</w:t>
      </w:r>
      <w:r>
        <w:rPr>
          <w:rFonts w:ascii="Calibri" w:hAnsi="Calibri" w:eastAsia="Calibri" w:cs="Calibri"/>
          <w:sz w:val="19"/>
          <w:szCs w:val="19"/>
        </w:rPr>
        <w:t xml:space="preserve"/>
      </w:r>
      <w:r>
        <w:rPr>
          <w:rFonts w:ascii="Calibri" w:hAnsi="Calibri" w:eastAsia="Calibri" w:cs="Calibri"/>
          <w:sz w:val="19"/>
          <w:szCs w:val="19"/>
        </w:rPr>
        <w:t xml:space="preserve"/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Limites. </w:t>
      </w:r>
      <w:r>
        <w:rPr>
          <w:rFonts w:ascii="Calibri" w:hAnsi="Calibri" w:eastAsia="Calibri" w:cs="Calibri"/>
          <w:sz w:val="19"/>
          <w:szCs w:val="19"/>
        </w:rPr>
        <w:t xml:space="preserve">Divisas municipais em linha branca de traço e ponto; o limite de Bragança Paulista em amarelo, sempre sobreposto às demais linhas; a Região Imediata como uma faixa branca translúcida no contorno externo.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Painel direito — região. </w:t>
      </w:r>
      <w:r>
        <w:rPr>
          <w:rFonts w:ascii="Calibri" w:hAnsi="Calibri" w:eastAsia="Calibri" w:cs="Calibri"/>
          <w:sz w:val="19"/>
          <w:szCs w:val="19"/>
        </w:rPr>
        <w:t xml:space="preserve">Comparativo entre os 11 municípios: área urbanizada, crescimento, ritmo recente, densidade, concentração no núcleo, fragmentos descontínuos e território urbanizado, com a posição de Bragança em cada um.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Painel direito — município. </w:t>
      </w:r>
      <w:r>
        <w:rPr>
          <w:rFonts w:ascii="Calibri" w:hAnsi="Calibri" w:eastAsia="Calibri" w:cs="Calibri"/>
          <w:sz w:val="19"/>
          <w:szCs w:val="19"/>
        </w:rPr>
        <w:t xml:space="preserve">Área urbanizada de Bragança em cada recorte, ritmo de crescimento por intervalo, fragmentação do tecido e síntese municipal. Clicar na mancha mostra o período e a idade daquela área.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Popups. </w:t>
      </w:r>
      <w:r>
        <w:rPr>
          <w:rFonts w:ascii="Calibri" w:hAnsi="Calibri" w:eastAsia="Calibri" w:cs="Calibri"/>
          <w:sz w:val="19"/>
          <w:szCs w:val="19"/>
        </w:rPr>
        <w:t xml:space="preserve">Clicar na mancha ou num município abre o seu perfil: área urbanizada em cada ano, crescimento, fragmentos descontínuos, concentração no núcleo e densidade.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Legibilidade. </w:t>
      </w:r>
      <w:r>
        <w:rPr>
          <w:rFonts w:ascii="Calibri" w:hAnsi="Calibri" w:eastAsia="Calibri" w:cs="Calibri"/>
          <w:sz w:val="19"/>
          <w:szCs w:val="19"/>
        </w:rPr>
        <w:t xml:space="preserve">Os textos do painel e dos popups usam tons neutros ou amarelo; as cores dos períodos ficam restritas às amostras e às barras.</w:t>
      </w:r>
      <w:r/>
    </w:p>
    <w:p>
      <w:pPr>
        <w:pStyle w:val="765"/>
        <w:pBdr>
          <w:bottom w:val="single" w:color="ffef00" w:sz="12" w:space="6"/>
        </w:pBdr>
        <w:spacing w:after="165" w:before="340"/>
        <w:ind/>
        <w:rPr/>
      </w:pPr>
      <w:r/>
      <w:bookmarkStart w:id="903" w:name="_Toc0003"/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2. Fontes e método</w:t>
      </w:r>
      <w:bookmarkEnd w:id="903"/>
      <w:r/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  <w:tblPrChange w:id="0" w:author="imandrade" w:date="2026-09-30T17:09:42Z" oouserid="imandrade">
          <w:tblPr>
            <w:tblW w:w="9746" w:type="dxa"/>
            <w:tbl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  <w:insideH w:val="single" w:color="dddddd" w:sz="2" w:space="0"/>
              <w:insideV w:val="single" w:color="dddddd" w:sz="2" w:space="0"/>
            </w:tblBorders>
          </w:tblPr>
        </w:tblPrChange>
      </w:tblPr>
      <w:tblGrid>
        <w:gridCol w:w="2924"/>
        <w:gridCol w:w="5360"/>
        <w:gridCol w:w="1462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Fonte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O que fornece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Referência</w:t>
            </w:r>
            <w:r/>
          </w:p>
        </w:tc>
      </w:tr>
      <w:tr>
        <w:trPr>
          <w:cantSplit/>
          <w:trHeight w:val="646"/>
          <w:trPrChange w:id="1" w:author="imandrade" w:date="2026-09-30T17:09:42Z" oouserid="imandrade">
            <w:trPr>
              <w:cantSplit/>
            </w:trPr>
          </w:trPrChange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MapBiomas — Coleção 9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Cobertura e uso da terra; classe 24, Área Urbanizada, pixel de cerca de 30 m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1985 a 2024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IBGE — Divisão Regional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Região Geográfica Imediata de Bragança Paulista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2017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IBGE — REGIC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Hierarquia urbana das sedes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2018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IBGE — Censo Demográfico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População total e urbana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2022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IBGE — Malha Municipal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Limites municipais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2022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DER-SP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Malha rodoviária estadual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Base do projeto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92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Prefeitura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536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Eixo de logradouro (sistema viário municipal)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Base municipal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66"/>
        <w:pBdr/>
        <w:spacing w:after="105" w:before="250"/>
        <w:ind/>
        <w:rPr/>
      </w:pPr>
      <w:r/>
      <w:bookmarkStart w:id="904" w:name="_Toc0004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2.1 Procedimentos</w:t>
      </w:r>
      <w:bookmarkEnd w:id="904"/>
      <w:r/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Os rasters anuais do MapBiomas foram recortados pelos limites municipais, e os pixels da classe 24 foram isolados em nove recortes: 1985, 1990, 1995, 2000, 2005, 2010, 2015, 2020 e 2024.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A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área urbanizada de cada ano</w:t>
      </w:r>
      <w:r>
        <w:rPr>
          <w:rFonts w:ascii="Calibri" w:hAnsi="Calibri" w:eastAsia="Calibri" w:cs="Calibri"/>
          <w:sz w:val="19"/>
          <w:szCs w:val="19"/>
        </w:rPr>
        <w:t xml:space="preserve"> é a soma dos pixels urbanos naquele recorte. É o número usado em todas as tabelas de área.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O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período de urbanização</w:t>
      </w:r>
      <w:r>
        <w:rPr>
          <w:rFonts w:ascii="Calibri" w:hAnsi="Calibri" w:eastAsia="Calibri" w:cs="Calibri"/>
          <w:sz w:val="19"/>
          <w:szCs w:val="19"/>
        </w:rPr>
        <w:t xml:space="preserve"> de cada pixel é o primeiro recorte em que ele aparece como urbano. Os pixels foram convertidos em polígonos por período e município; pixels isolados (menos de 0,09 ha) foram descartados por serem sujeitos a ruído de classificação.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Mancha principal (núcleo)</w:t>
      </w:r>
      <w:r>
        <w:rPr>
          <w:rFonts w:ascii="Calibri" w:hAnsi="Calibri" w:eastAsia="Calibri" w:cs="Calibri"/>
          <w:sz w:val="19"/>
          <w:szCs w:val="19"/>
        </w:rPr>
        <w:t xml:space="preserve"> é, a cada ano, a maior porção contínua de área urbanizada do município.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Fragmentos descontínuos</w:t>
      </w:r>
      <w:r>
        <w:rPr>
          <w:rFonts w:ascii="Calibri" w:hAnsi="Calibri" w:eastAsia="Calibri" w:cs="Calibri"/>
          <w:sz w:val="19"/>
          <w:szCs w:val="19"/>
        </w:rPr>
        <w:t xml:space="preserve"> são as demais porções, separadas dela. A contagem já exclui o núcleo. Áreas que se tocam pela diagonal são consideradas contínuas, segundo a regra de oito vizinhos adotada em métricas de paisagem.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A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concentração no núcleo</w:t>
      </w:r>
      <w:r>
        <w:rPr>
          <w:rFonts w:ascii="Calibri" w:hAnsi="Calibri" w:eastAsia="Calibri" w:cs="Calibri"/>
          <w:sz w:val="19"/>
          <w:szCs w:val="19"/>
        </w:rPr>
        <w:t xml:space="preserve"> é a parcela da área urbanizada que está na mancha principal; a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área fora do núcleo</w:t>
      </w:r>
      <w:r>
        <w:rPr>
          <w:rFonts w:ascii="Calibri" w:hAnsi="Calibri" w:eastAsia="Calibri" w:cs="Calibri"/>
          <w:sz w:val="19"/>
          <w:szCs w:val="19"/>
        </w:rPr>
        <w:t xml:space="preserve"> é a soma dos fragmentos descontínuos.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A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densidade da mancha</w:t>
      </w:r>
      <w:r>
        <w:rPr>
          <w:rFonts w:ascii="Calibri" w:hAnsi="Calibri" w:eastAsia="Calibri" w:cs="Calibri"/>
          <w:sz w:val="19"/>
          <w:szCs w:val="19"/>
        </w:rPr>
        <w:t xml:space="preserve"> é a população urbana do Censo 2022 dividida pela área urbanizada de 2024.</w:t>
      </w:r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Por que a soma dos períodos não fecha exatamente com 2024.</w:t>
      </w:r>
      <w:r>
        <w:rPr>
          <w:rFonts w:ascii="Calibri" w:hAnsi="Calibri" w:eastAsia="Calibri" w:cs="Calibri"/>
          <w:sz w:val="20"/>
          <w:szCs w:val="20"/>
        </w:rPr>
        <w:t xml:space="preserve"> Uma pequena parte do território de Bragança, 0,37 km², aparece como urbanizada em algum recorte e deixa de aparecer depois — por demolição, reveget</w:t>
      </w:r>
      <w:r>
        <w:rPr>
          <w:rFonts w:ascii="Calibri" w:hAnsi="Calibri" w:eastAsia="Calibri" w:cs="Calibri"/>
          <w:sz w:val="20"/>
          <w:szCs w:val="20"/>
        </w:rPr>
        <w:t xml:space="preserve">ação ou correção da própria classificação. Como o período registra o primeiro ano em que a área surgiu, essas porções continuam contadas nele. Por isso a soma das áreas por período (49,21 km²) fica ligeiramente acima da área urbanizada de 2024 (48,84 km²).</w:t>
      </w:r>
      <w:r/>
    </w:p>
    <w:p>
      <w:pPr>
        <w:pStyle w:val="766"/>
        <w:pBdr/>
        <w:spacing w:after="105" w:before="250"/>
        <w:ind/>
        <w:rPr/>
      </w:pPr>
      <w:r/>
      <w:bookmarkStart w:id="905" w:name="_Toc0005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2.2 Como se lê a idade do tecido</w:t>
      </w:r>
      <w:bookmarkEnd w:id="905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Como os recortes são quinquenais, não é possível saber o ano exato em que cada área foi urbanizada — apenas o intervalo. Por isso a idade é expressa em faixas, e não em um número único.</w:t>
      </w:r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436"/>
        <w:gridCol w:w="3655"/>
        <w:gridCol w:w="3655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Período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Surgiu entre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Idade em 2024</w:t>
            </w:r>
            <w:r/>
          </w:p>
        </w:tc>
      </w:tr>
      <w:tr>
        <w:trPr>
          <w:cantSplit/>
        </w:trPr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Até 1985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antes de 1985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39 anos ou mais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1986–1990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1986 e 1990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34 a 38 anos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1991–1995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1991 e 1995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29 a 33 anos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1996–2000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1996 e 2000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24 a 28 anos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2001–2005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2001 e 2005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 a 23 anos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2006–2010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2006 e 2010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14 a 18 anos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2011–2015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2011 e 2015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 a 13 anos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2016–2020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2016 e 2020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 a 8 anos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3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2021–2024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2021 e 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até 3 anos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O tecido indicado como 1985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tem 39 anos ou mais.</w:t>
      </w:r>
      <w:r>
        <w:rPr>
          <w:rFonts w:ascii="Calibri" w:hAnsi="Calibri" w:eastAsia="Calibri" w:cs="Calibri"/>
          <w:sz w:val="20"/>
          <w:szCs w:val="20"/>
        </w:rPr>
        <w:t xml:space="preserve"> A </w:t>
      </w:r>
      <w:r>
        <w:rPr>
          <w:rFonts w:ascii="Calibri" w:hAnsi="Calibri" w:eastAsia="Calibri" w:cs="Calibri"/>
          <w:sz w:val="20"/>
          <w:szCs w:val="20"/>
        </w:rPr>
        <w:t xml:space="preserve">série do MapBiomas começa em 1985, então tudo o que já era urbano naquele ano cai na mesma classe — do centro histórico, cujo núcleo remonta ao século XVIII, às expansões dos anos 1970. Esse conjunto soma 12,67 km², pouco mais de um quarto da mancha atual.</w:t>
      </w:r>
      <w:r/>
    </w:p>
    <w:p>
      <w:pPr>
        <w:pStyle w:val="766"/>
        <w:pBdr/>
        <w:spacing w:after="105" w:before="250"/>
        <w:ind/>
        <w:rPr/>
      </w:pPr>
      <w:r/>
      <w:bookmarkStart w:id="906" w:name="_Toc0006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2.3 Recorte adotado</w:t>
      </w:r>
      <w:bookmarkEnd w:id="906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escala regional corresponde exclusivamente à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Região Geográfica Imediata de Bragança Paulista</w:t>
      </w:r>
      <w:r>
        <w:rPr>
          <w:rFonts w:ascii="Calibri" w:hAnsi="Calibri" w:eastAsia="Calibri" w:cs="Calibri"/>
          <w:sz w:val="20"/>
          <w:szCs w:val="20"/>
        </w:rPr>
        <w:t xml:space="preserve">, do IBGE: Atibaia, Bom Jesus dos Perdões, Bragança Paulista, Joanópolis, Nazaré Paulista, Pedra Bela, Pinhalzinho, Piracaia, Socorro, Tuiuti e Vargem. Todos têm cobertura completa do MapBiomas na base do projeto.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65"/>
        <w:pBdr>
          <w:bottom w:val="single" w:color="ffef00" w:sz="12" w:space="6"/>
        </w:pBdr>
        <w:spacing w:after="165" w:before="340"/>
        <w:ind/>
        <w:rPr/>
      </w:pPr>
      <w:r/>
      <w:bookmarkStart w:id="907" w:name="_Toc0007"/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3. Bragança na Região Imediata</w:t>
      </w:r>
      <w:bookmarkEnd w:id="907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Nos 11 municípios, a área urbanizada passou de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36,3 para 160,3 km²</w:t>
      </w:r>
      <w:r>
        <w:rPr>
          <w:rFonts w:ascii="Calibri" w:hAnsi="Calibri" w:eastAsia="Calibri" w:cs="Calibri"/>
          <w:sz w:val="20"/>
          <w:szCs w:val="20"/>
        </w:rPr>
        <w:t xml:space="preserve"> entre 1985 e 2024 — crescimento de 342%, acima do de Bragança (286%). Bragança e Atibaia concentram 71% da área urbanizada da região. Os outros nove municípios, porém, foram os que mais cresceram em termos relativos: de 8,3 para 46,7 km²,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5,6 vezes a mancha de 1985</w:t>
      </w:r>
      <w:r>
        <w:rPr>
          <w:rFonts w:ascii="Calibri" w:hAnsi="Calibri" w:eastAsia="Calibri" w:cs="Calibri"/>
          <w:sz w:val="20"/>
          <w:szCs w:val="20"/>
        </w:rPr>
        <w:t xml:space="preserve">.</w:t>
      </w:r>
      <w:r/>
    </w:p>
    <w:p>
      <w:pPr>
        <w:pStyle w:val="766"/>
        <w:pBdr/>
        <w:spacing w:after="105" w:before="250"/>
        <w:ind/>
        <w:rPr/>
      </w:pPr>
      <w:r/>
      <w:bookmarkStart w:id="908" w:name="_Toc0008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3.1 Crescimento por município</w:t>
      </w:r>
      <w:bookmarkEnd w:id="908"/>
      <w:r/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368"/>
        <w:gridCol w:w="1184"/>
        <w:gridCol w:w="1184"/>
        <w:gridCol w:w="1184"/>
        <w:gridCol w:w="1093"/>
        <w:gridCol w:w="1457"/>
        <w:gridCol w:w="1276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Área 1985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Área 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Acréscimo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Crescimento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Ritmo 2015–2024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Território urbanizado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Atibaia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15,34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64,83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49,49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+323%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1,27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13,6%</w:t>
            </w:r>
            <w:r/>
          </w:p>
        </w:tc>
      </w:tr>
      <w:tr>
        <w:trPr>
          <w:cantSplit/>
        </w:trPr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Bragança Paulista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12,67 km²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48,84 km²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36,17 km²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+286%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0,95 km²/ano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9,5%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Bom Jesus dos Perdões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1,68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9,06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7,38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+439%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0,20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8,4%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Piracaia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1,62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8,75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7,14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+442%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0,21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2,3%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Socorro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2,27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7,91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5,64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+249%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0,16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1,8%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Pinhalzinho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0,47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5,07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4,60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+974%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0,20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3,3%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Nazaré Paulista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1,03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5,43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4,40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+425%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0,16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1,7%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Vargem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0,28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4,13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3,86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+1.403%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0,13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2,9%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Joanópolis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0,60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3,34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2,74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+460%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0,12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0,9%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Tuiuti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0,23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1,55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1,32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+567%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0,04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1,2%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Pedra Bela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0,13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1,43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18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1,30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9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+1.015%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5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0,08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7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0,9%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Em área, Bragança é a segunda da região, atrás de Atibaia. A participação de Bragança na área urba</w:t>
      </w:r>
      <w:r>
        <w:rPr>
          <w:rFonts w:ascii="Calibri" w:hAnsi="Calibri" w:eastAsia="Calibri" w:cs="Calibri"/>
          <w:sz w:val="20"/>
          <w:szCs w:val="20"/>
        </w:rPr>
        <w:t xml:space="preserve">nizada regional caiu de 34,9% para 30,5%, embora o município reúna 35,8% da população da Região Imediata. Os percentuais muito altos dos municípios pequenos refletem bases de partida mínimas: Vargem e Pedra Bela tinham menos de 0,3 km² urbanizados em 1985.</w:t>
      </w:r>
      <w:r/>
    </w:p>
    <w:p>
      <w:pPr>
        <w:pStyle w:val="766"/>
        <w:pBdr/>
        <w:spacing w:after="105" w:before="250"/>
        <w:ind/>
        <w:rPr/>
      </w:pPr>
      <w:r/>
      <w:bookmarkStart w:id="909" w:name="_Toc0009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3.2 Bragança e Atibaia</w:t>
      </w:r>
      <w:bookmarkEnd w:id="909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comparação com Atibaia, o outro grande centro da Região Imediata, é a mais reveladora do recorte.</w:t>
      </w:r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4013"/>
        <w:gridCol w:w="2866"/>
        <w:gridCol w:w="2867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Bragança Paulista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Atibaia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População 2022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176.811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158.647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Área urbanizada 1985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12,67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15,34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Área urbanizada 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48,84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64,83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Crescimento 1985–2024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+286%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+323%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Território urbanizado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9,5%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13,6%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Fragmentos descontínuos 1985 → 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 → 143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58 → 180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Concentração no núcleo 1985 → 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84,4% → 60,1%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69,5% → 49,4%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Área fora do núcleo 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19,50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32,80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401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Densidade da mancha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3.365 hab/km²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8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2.194 hab/km²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Com população menor,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Atibaia ocupa um terço a mais de área urbanizada</w:t>
      </w:r>
      <w:r>
        <w:rPr>
          <w:rFonts w:ascii="Calibri" w:hAnsi="Calibri" w:eastAsia="Calibri" w:cs="Calibri"/>
          <w:sz w:val="20"/>
          <w:szCs w:val="20"/>
        </w:rPr>
        <w:t xml:space="preserve">, e sua mancha é bem mais rarefeita: 2.194 habitantes por km² urbanizado, con</w:t>
      </w:r>
      <w:r>
        <w:rPr>
          <w:rFonts w:ascii="Calibri" w:hAnsi="Calibri" w:eastAsia="Calibri" w:cs="Calibri"/>
          <w:sz w:val="20"/>
          <w:szCs w:val="20"/>
        </w:rPr>
        <w:t xml:space="preserve">tra 3.365 em Bragança. Atibaia tem hoje menos da metade da mancha no núcleo e 32,8 km² em fragmentos descontínuos. Bragança segue o mesmo caminho, a partir de uma cidade mais compacta — o que, para a revisão, é tanto um alerta quanto uma margem de manobra.</w:t>
      </w:r>
      <w:r/>
    </w:p>
    <w:p>
      <w:pPr>
        <w:pStyle w:val="766"/>
        <w:pBdr/>
        <w:spacing w:after="105" w:before="250"/>
        <w:ind/>
        <w:rPr/>
      </w:pPr>
      <w:r/>
      <w:bookmarkStart w:id="910" w:name="_Toc0010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3.3 A dispersão é um padrão regional</w:t>
      </w:r>
      <w:bookmarkEnd w:id="910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Na Região Imediata, os fragmentos descontínuos passaram de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104 para 535</w:t>
      </w:r>
      <w:r>
        <w:rPr>
          <w:rFonts w:ascii="Calibri" w:hAnsi="Calibri" w:eastAsia="Calibri" w:cs="Calibri"/>
          <w:sz w:val="20"/>
          <w:szCs w:val="20"/>
        </w:rPr>
        <w:t xml:space="preserve">, e a área urbanizada fora dos núcleos, de 8,0 para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72,6 km²</w:t>
      </w:r>
      <w:r>
        <w:rPr>
          <w:rFonts w:ascii="Calibri" w:hAnsi="Calibri" w:eastAsia="Calibri" w:cs="Calibri"/>
          <w:sz w:val="20"/>
          <w:szCs w:val="20"/>
        </w:rPr>
        <w:t xml:space="preserve"> — 45% de toda a mancha regional em 2024. A queda de concentração foi mais acentuada justamente nos municípios pequenos.</w:t>
      </w:r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304"/>
        <w:gridCol w:w="1063"/>
        <w:gridCol w:w="1063"/>
        <w:gridCol w:w="1063"/>
        <w:gridCol w:w="1506"/>
        <w:gridCol w:w="1329"/>
        <w:gridCol w:w="1418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Município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Núcleo 1985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Núcleo 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Variação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Fragmentos descontínuos 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Fora do núcleo 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Densidade da mancha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Pinhalzinho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92,0%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35,6%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-56,4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3,27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1.804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Tuiuti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100,0%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47,9%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-52,1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0,81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2.063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Piracaia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90,7%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52,9%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-37,8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4,12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2.447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Vargem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99,4%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62,3%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-37,1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17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1,56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1.637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Joanópolis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99,7%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63,2%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-36,5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17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1,23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2.782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Pedra Bela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70,5%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36,4%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-34,1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13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0,91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1.242</w:t>
            </w:r>
            <w:r/>
          </w:p>
        </w:tc>
      </w:tr>
      <w:tr>
        <w:trPr>
          <w:cantSplit/>
        </w:trPr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Bragança Paulista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84,4%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60,1%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-24,3 p.p.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143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19,50 km²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3.365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Atibaia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69,5%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49,4%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-20,1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180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32,80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2.194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Nazaré Paulista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51,3%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33,5%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-17,8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29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3,61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1.681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Socorro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90,6%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76,8%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-13,8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28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1,83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3.114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04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Bom Jesus dos Perdões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74,3%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67,0%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6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-7,3 p.p.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50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32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3,00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1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2.244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Pinhalzinho, Tuiu</w:t>
      </w:r>
      <w:r>
        <w:rPr>
          <w:rFonts w:ascii="Calibri" w:hAnsi="Calibri" w:eastAsia="Calibri" w:cs="Calibri"/>
          <w:sz w:val="20"/>
          <w:szCs w:val="20"/>
        </w:rPr>
        <w:t xml:space="preserve">ti, Piracaia, Vargem e Joanópolis tinham praticamente toda a mancha num único núcleo em 1985; hoje têm entre um terço e dois terços. É o padrão típico de chácaras de recreio e condomínios afastados da sede, e explica também as menores densidades da região.</w:t>
      </w:r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Leitura para o Plano Diretor:</w:t>
      </w:r>
      <w:r>
        <w:rPr>
          <w:rFonts w:ascii="Calibri" w:hAnsi="Calibri" w:eastAsia="Calibri" w:cs="Calibri"/>
          <w:sz w:val="20"/>
          <w:szCs w:val="20"/>
        </w:rPr>
        <w:t xml:space="preserve"> Bragança perdeu 24,3 pontos de concentração, queda maior que a de Atibaia. A dispersão, porém, é um processo compartilhado com</w:t>
      </w:r>
      <w:r>
        <w:rPr>
          <w:rFonts w:ascii="Calibri" w:hAnsi="Calibri" w:eastAsia="Calibri" w:cs="Calibri"/>
          <w:sz w:val="20"/>
          <w:szCs w:val="20"/>
        </w:rPr>
        <w:t xml:space="preserve"> toda a Região Imediata, alimentado pela demanda por segunda residência e chácaras. Conter esse processo apenas no território de Bragança tem efeito limitado se os municípios vizinhos seguirem abrindo frentes de ocupação — o tema pede articulação regional.</w:t>
      </w:r>
      <w:r/>
    </w:p>
    <w:p>
      <w:pPr>
        <w:pStyle w:val="766"/>
        <w:pBdr/>
        <w:spacing w:after="105" w:before="250"/>
        <w:ind/>
        <w:rPr/>
      </w:pPr>
      <w:r/>
      <w:bookmarkStart w:id="911" w:name="_Toc0011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3.4 Hierarquia urbana e forma de crescimento</w:t>
      </w:r>
      <w:bookmarkEnd w:id="911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Na hierarquia urbana do IBGE, Bragança é o único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Centro Sub-Regional A</w:t>
      </w:r>
      <w:r>
        <w:rPr>
          <w:rFonts w:ascii="Calibri" w:hAnsi="Calibri" w:eastAsia="Calibri" w:cs="Calibri"/>
          <w:sz w:val="20"/>
          <w:szCs w:val="20"/>
        </w:rPr>
        <w:t xml:space="preserve"> da Região Imediata; Atibaia e Bom Jesus dos Perdões sã</w:t>
      </w:r>
      <w:r>
        <w:rPr>
          <w:rFonts w:ascii="Calibri" w:hAnsi="Calibri" w:eastAsia="Calibri" w:cs="Calibri"/>
          <w:sz w:val="20"/>
          <w:szCs w:val="20"/>
        </w:rPr>
        <w:t xml:space="preserve">o Centros Sub-Regionais B, e os outros oito municípios, Centros Locais. O mapa mostra que a posição na rede não se traduz diretamente em mancha: Atibaia, um degrau abaixo, tem a maior área urbanizada da região, e Bragança, no topo, tem a mancha mais densa.</w:t>
      </w:r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667"/>
        <w:gridCol w:w="1231"/>
        <w:gridCol w:w="1847"/>
        <w:gridCol w:w="1949"/>
        <w:gridCol w:w="2052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6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Hierarquia urbana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3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Municípios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Área urbanizada 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Crescimento 1985–2024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05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 mancha principal (2024)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6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Centro Sub-Regional 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3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48,8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+286%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05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60,1%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6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Centro Sub-Regional B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3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73,9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+334%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05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51,6%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6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Centro Local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23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37,6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+468%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05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53,9%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Os oito Centros Locais foram os que mais cresceram em termos relativos. Neles e nos Centros Sub-Regionais </w:t>
      </w:r>
      <w:r>
        <w:rPr>
          <w:rFonts w:ascii="Calibri" w:hAnsi="Calibri" w:eastAsia="Calibri" w:cs="Calibri"/>
          <w:sz w:val="20"/>
          <w:szCs w:val="20"/>
        </w:rPr>
        <w:t xml:space="preserve">B, só pouco mais da metade da área urbanizada está na mancha principal; em Bragança, 60%. A dispersão atravessa toda a hierarquia, inclusive onde há pouca estrutura de serviços para acompanhá-la — o que reforça a necessidade de tratá-la como tema regional.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65"/>
        <w:pBdr>
          <w:bottom w:val="single" w:color="ffef00" w:sz="12" w:space="6"/>
        </w:pBdr>
        <w:spacing w:after="165" w:before="340"/>
        <w:ind/>
        <w:rPr/>
      </w:pPr>
      <w:r/>
      <w:bookmarkStart w:id="912" w:name="_Toc0012"/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4. Evolução da ocupação em Bragança</w:t>
      </w:r>
      <w:bookmarkEnd w:id="912"/>
      <w:r/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6091"/>
        <w:gridCol w:w="3655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Valor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Área urbanizada em 1985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12,67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Área urbanizada em 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48,84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Crescimento no período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+286%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Média anual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0,93 km²/ano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Território municipal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512,5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Urbanizado em 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9,5% do território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091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População urbana (Censo 2022)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655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93,0%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Em 39 anos a mancha urbana quase quadruplicou, de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12,67 para 48,84 km²</w:t>
      </w:r>
      <w:r>
        <w:rPr>
          <w:rFonts w:ascii="Calibri" w:hAnsi="Calibri" w:eastAsia="Calibri" w:cs="Calibri"/>
          <w:sz w:val="20"/>
          <w:szCs w:val="20"/>
        </w:rPr>
        <w:t xml:space="preserve">. Ainda assim ocupa menos de um décimo do território: Bragança segue predominantemente rural em extensão, embora 93% da população viva em área urbana.</w:t>
      </w:r>
      <w:r/>
    </w:p>
    <w:p>
      <w:pPr>
        <w:pStyle w:val="766"/>
        <w:pBdr/>
        <w:spacing w:after="105" w:before="250"/>
        <w:ind/>
        <w:rPr/>
      </w:pPr>
      <w:r/>
      <w:bookmarkStart w:id="913" w:name="_Toc0013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4.1 Acréscimo por período</w:t>
      </w:r>
      <w:bookmarkEnd w:id="913"/>
      <w:r/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267"/>
        <w:gridCol w:w="2720"/>
        <w:gridCol w:w="2267"/>
        <w:gridCol w:w="2492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Período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Idade em 2024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Área que surgiu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% da mancha de 2024</w:t>
            </w:r>
            <w:r/>
          </w:p>
        </w:tc>
      </w:tr>
      <w:tr>
        <w:trPr>
          <w:cantSplit/>
        </w:trPr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Até 1985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39 anos ou mais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12,66 km²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25,9%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1986–1990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34 a 38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2,87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5,9%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1991–1995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29 a 33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3,40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7,0%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1996–2000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24 a 28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5,92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12,1%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2001–2005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 a 23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3,05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6,2%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2006–2010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14 a 18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4,56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9,3%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2011–2015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 a 13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7,32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15,0%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2016–2020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 a 8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5,12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10,5%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2021–2024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7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até 3 anos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267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3,07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9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6,3%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 tecido anterior a 1985 responde por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25,9% da mancha atual</w:t>
      </w:r>
      <w:r>
        <w:rPr>
          <w:rFonts w:ascii="Calibri" w:hAnsi="Calibri" w:eastAsia="Calibri" w:cs="Calibri"/>
          <w:sz w:val="20"/>
          <w:szCs w:val="20"/>
        </w:rPr>
        <w:t xml:space="preserve">. Os outros três quartos foram urbanizados nas quatro décadas seguintes.</w:t>
      </w:r>
      <w:r/>
    </w:p>
    <w:p>
      <w:pPr>
        <w:pStyle w:val="766"/>
        <w:pBdr/>
        <w:spacing w:after="105" w:before="250"/>
        <w:ind/>
        <w:rPr/>
      </w:pPr>
      <w:r/>
      <w:bookmarkStart w:id="914" w:name="_Toc0014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4.2 Ritmo de crescimento</w:t>
      </w:r>
      <w:bookmarkEnd w:id="914"/>
      <w:r/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320"/>
        <w:gridCol w:w="2553"/>
        <w:gridCol w:w="2553"/>
        <w:gridCol w:w="2320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Intervalo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Acréscimo líquido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Ritmo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Variação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1985–1990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2,93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0,59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+23,1%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1990–1995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3,47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0,69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+22,3%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1995–2000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5,99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1,20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+31,4%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2000–2005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3,17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0,63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+12,6%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2005–2010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4,63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0,93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+16,4%</w:t>
            </w:r>
            <w:r/>
          </w:p>
        </w:tc>
      </w:tr>
      <w:tr>
        <w:trPr>
          <w:cantSplit/>
        </w:trPr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2010–2015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7,46 km²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1,49 km²/ano</w:t>
            </w:r>
            <w:r/>
          </w:p>
        </w:tc>
        <w:tc>
          <w:tcPr>
            <w:shd w:val="clear" w:color="auto" w:fill="fff3b0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</w:rPr>
              <w:t xml:space="preserve">+22,7%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2015–2020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5,22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1,04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+12,9%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2020–2024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3,31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55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0,83 km²/ano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32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+7,3%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Dois picos se destacam:</w:t>
      </w:r>
      <w:r>
        <w:rPr>
          <w:rFonts w:ascii="Calibri" w:hAnsi="Calibri" w:eastAsia="Calibri" w:cs="Calibri"/>
          <w:sz w:val="20"/>
          <w:szCs w:val="20"/>
        </w:rPr>
        <w:t xml:space="preserve"> 1995–2000, com 1,20 km² por an</w:t>
      </w:r>
      <w:r>
        <w:rPr>
          <w:rFonts w:ascii="Calibri" w:hAnsi="Calibri" w:eastAsia="Calibri" w:cs="Calibri"/>
          <w:sz w:val="20"/>
          <w:szCs w:val="20"/>
        </w:rPr>
        <w:t xml:space="preserve">o, e 2010–2015, com 1,49 km² por ano — o maior da série. O último intervalo desacelerou para 0,83 km² por ano. O acréscimo líquido é a diferença entre as áreas de dois recortes; difere levemente da área por período pelos pixels reclassificados (seção 2.1).</w:t>
      </w:r>
      <w:r/>
    </w:p>
    <w:p>
      <w:pPr>
        <w:pStyle w:val="766"/>
        <w:pBdr/>
        <w:spacing w:after="105" w:before="250"/>
        <w:ind/>
        <w:rPr/>
      </w:pPr>
      <w:r/>
      <w:bookmarkStart w:id="915" w:name="_Toc0015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4.3 A forma do crescimento</w:t>
      </w:r>
      <w:bookmarkEnd w:id="915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 dado mais relevante não é quanto a cidade cresceu, e sim como.</w:t>
      </w:r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1083"/>
        <w:gridCol w:w="1733"/>
        <w:gridCol w:w="1733"/>
        <w:gridCol w:w="1408"/>
        <w:gridCol w:w="1949"/>
        <w:gridCol w:w="1840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Ano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Área urbanizada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Mancha principal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% no núcleo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Fragmentos descontínuos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Área fora do núcleo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1985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12,67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10,69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84,4%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1,98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15,59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12,93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82,9%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2,66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1995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19,07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14,62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76,7%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27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4,45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25,05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20,91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83,5%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53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4,14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2005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28,22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23,15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82,0%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58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5,07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32,85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25,10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76,4%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78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7,74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2015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40,31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27,77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68,9%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106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12,53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2020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45,53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28,78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63,2%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132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16,74 km²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8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2024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48,84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733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29,34 km²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40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60,1%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949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143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840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19,50 km²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Os fragmentos descontínuos passaram de 20 para 143</w:t>
      </w:r>
      <w:r>
        <w:rPr>
          <w:rFonts w:ascii="Calibri" w:hAnsi="Calibri" w:eastAsia="Calibri" w:cs="Calibri"/>
          <w:sz w:val="20"/>
          <w:szCs w:val="20"/>
        </w:rPr>
        <w:t xml:space="preserve">, e a área fora da mancha principal, de 1,98 para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19,50 km²</w:t>
      </w:r>
      <w:r>
        <w:rPr>
          <w:rFonts w:ascii="Calibri" w:hAnsi="Calibri" w:eastAsia="Calibri" w:cs="Calibri"/>
          <w:sz w:val="20"/>
          <w:szCs w:val="20"/>
        </w:rPr>
        <w:t xml:space="preserve"> — qua</w:t>
      </w:r>
      <w:r>
        <w:rPr>
          <w:rFonts w:ascii="Calibri" w:hAnsi="Calibri" w:eastAsia="Calibri" w:cs="Calibri"/>
          <w:sz w:val="20"/>
          <w:szCs w:val="20"/>
        </w:rPr>
        <w:t xml:space="preserve">se dez vezes mais. A concentração no núcleo oscilou entre 77% e 84% até 2005 e caiu de forma contínua a partir daí: 76% em 2010, 69% em 2015 e 60% em 2024. A mancha principal quase triplicou de tamanho, mas a área que surge fora dela cresceu mais depressa.</w:t>
      </w:r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 leitura é robusta.</w:t>
      </w:r>
      <w:r>
        <w:rPr>
          <w:rFonts w:ascii="Calibri" w:hAnsi="Calibri" w:eastAsia="Calibri" w:cs="Calibri"/>
          <w:sz w:val="20"/>
          <w:szCs w:val="20"/>
        </w:rPr>
        <w:t xml:space="preserve"> Mesmo exigindo um afastamento de mais de 30 metros — um pixel — para considerar uma porção separada da mancha principal, os fragmentos descontínuos passam de 14 para 105 no período. A tendência é a mesma.</w:t>
      </w:r>
      <w:r/>
    </w:p>
    <w:p>
      <w:pPr>
        <w:pStyle w:val="765"/>
        <w:pBdr>
          <w:bottom w:val="single" w:color="ffef00" w:sz="12" w:space="6"/>
        </w:pBdr>
        <w:spacing w:after="165" w:before="340"/>
        <w:ind/>
        <w:rPr/>
      </w:pPr>
      <w:r/>
      <w:bookmarkStart w:id="916" w:name="_Toc0016"/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5. Diagnóstico</w:t>
      </w:r>
      <w:bookmarkEnd w:id="916"/>
      <w:r/>
      <w:r/>
    </w:p>
    <w:p>
      <w:pPr>
        <w:pStyle w:val="766"/>
        <w:pBdr/>
        <w:spacing w:after="105" w:before="250"/>
        <w:ind/>
        <w:rPr/>
      </w:pPr>
      <w:r/>
      <w:bookmarkStart w:id="917" w:name="_Toc0017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5.1 Dispersão como padrão dominante</w:t>
      </w:r>
      <w:bookmarkEnd w:id="917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queda de 24 pontos na concentração do núcleo, com 143 fragmentos descontínuos e 19,5 km² urbanizados fora da mancha principal, caracteriza espraiamento. O padrão tem custo direto: extensão de redes de água, esgoto e energia para poucos dom</w:t>
      </w:r>
      <w:r>
        <w:rPr>
          <w:rFonts w:ascii="Calibri" w:hAnsi="Calibri" w:eastAsia="Calibri" w:cs="Calibri"/>
          <w:sz w:val="20"/>
          <w:szCs w:val="20"/>
        </w:rPr>
        <w:t xml:space="preserve">icílios, rotas mais longas de coleta e transporte escolar e dificuldade de viabilizar equipamentos com escala mínima de atendimento. A escala regional mostra que o processo é compartilhado com toda a Região Imediata, e mais intenso nos municípios pequenos.</w:t>
      </w:r>
      <w:r/>
    </w:p>
    <w:p>
      <w:pPr>
        <w:pStyle w:val="766"/>
        <w:pBdr/>
        <w:spacing w:after="105" w:before="250"/>
        <w:ind/>
        <w:rPr/>
      </w:pPr>
      <w:r/>
      <w:bookmarkStart w:id="918" w:name="_Toc0018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5.2 Desaceleração recente</w:t>
      </w:r>
      <w:bookmarkEnd w:id="918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 ritmo caiu de 1,49 km² por ano entre 2010 e 2015 para 0,83 entre 2020 e 2024. A queda pode indicar esgotamento da demanda, restrição de oferta de novos parcelamentos ou efeito de políticas de contenção.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Distinguir entre essas hipóteses exige o cruzamento com as datas de aprovação dos loteamentos</w:t>
      </w:r>
      <w:r>
        <w:rPr>
          <w:rFonts w:ascii="Calibri" w:hAnsi="Calibri" w:eastAsia="Calibri" w:cs="Calibri"/>
          <w:sz w:val="20"/>
          <w:szCs w:val="20"/>
        </w:rPr>
        <w:t xml:space="preserve">, ainda não disponíveis.</w:t>
      </w:r>
      <w:r/>
    </w:p>
    <w:p>
      <w:pPr>
        <w:pStyle w:val="766"/>
        <w:pBdr/>
        <w:spacing w:after="105" w:before="250"/>
        <w:ind/>
        <w:rPr/>
      </w:pPr>
      <w:r/>
      <w:bookmarkStart w:id="919" w:name="_Toc0019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5.3 Território ainda pouco urbanizado</w:t>
      </w:r>
      <w:bookmarkEnd w:id="919"/>
      <w:r/>
      <w:r/>
    </w:p>
    <w:p>
      <w:pPr>
        <w:pBdr/>
        <w:spacing w:after="130" w:before="0" w:line="288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Com 9,5% do território urbanizado, há margem física ampla para expansão. </w:t>
      </w:r>
      <w:r>
        <w:rPr>
          <w:rFonts w:ascii="Calibri" w:hAnsi="Calibri" w:eastAsia="Calibri" w:cs="Calibri"/>
          <w:sz w:val="20"/>
          <w:szCs w:val="20"/>
          <w:highlight w:val="yellow"/>
        </w:rPr>
        <w:t xml:space="preserve">Mas o cada</w:t>
      </w:r>
      <w:r>
        <w:rPr>
          <w:rFonts w:ascii="Calibri" w:hAnsi="Calibri" w:eastAsia="Calibri" w:cs="Calibri"/>
          <w:sz w:val="20"/>
          <w:szCs w:val="20"/>
          <w:highlight w:val="yellow"/>
        </w:rPr>
        <w:t xml:space="preserve">stro imobiliário registra 26.553 lotes vazios dentro da área já parcelada</w:t>
      </w:r>
      <w:r>
        <w:rPr>
          <w:rFonts w:ascii="Calibri" w:hAnsi="Calibri" w:eastAsia="Calibri" w:cs="Calibri"/>
          <w:sz w:val="20"/>
          <w:szCs w:val="20"/>
          <w:highlight w:val="red"/>
        </w:rPr>
        <w:t xml:space="preserve"> REVER</w:t>
      </w:r>
      <w:r>
        <w:rPr>
          <w:rFonts w:ascii="Calibri" w:hAnsi="Calibri" w:eastAsia="Calibri" w:cs="Calibri"/>
          <w:sz w:val="20"/>
          <w:szCs w:val="20"/>
        </w:rPr>
        <w:t xml:space="preserve">. A combinação sugere que o problema não é falta de espaço, e sim ocupação rarefeita do espaço já aberto — ainda que a densidade da mancha de Bragança seja a maior da Região Imediata.</w:t>
      </w:r>
      <w:r/>
    </w:p>
    <w:p>
      <w:pPr>
        <w:pStyle w:val="766"/>
        <w:pBdr/>
        <w:spacing w:after="105" w:before="250"/>
        <w:ind/>
        <w:rPr/>
      </w:pPr>
      <w:r/>
      <w:bookmarkStart w:id="920" w:name="_Toc0020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5.4 Implicações para a revisão</w:t>
      </w:r>
      <w:bookmarkEnd w:id="920"/>
      <w:r/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Perímetro urbano. </w:t>
      </w:r>
      <w:r>
        <w:rPr>
          <w:rFonts w:ascii="Calibri" w:hAnsi="Calibri" w:eastAsia="Calibri" w:cs="Calibri"/>
          <w:sz w:val="19"/>
          <w:szCs w:val="19"/>
        </w:rPr>
        <w:t xml:space="preserve">A comparação entre a mancha de 2024 e o perímetro urbano legal deve identificar tanto áreas urbanizadas fora do perímetro quanto áreas dentro dele que seguem rurais.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Contenção da dispersão. </w:t>
      </w:r>
      <w:r>
        <w:rPr>
          <w:rFonts w:ascii="Calibri" w:hAnsi="Calibri" w:eastAsia="Calibri" w:cs="Calibri"/>
          <w:sz w:val="19"/>
          <w:szCs w:val="19"/>
        </w:rPr>
        <w:t xml:space="preserve">Os fragmentos descontínuos surgidos após 2005, quando a concentração começou a cair, devem ser confrontados com a legislação de parcelamento vigente à época, para verificar regularidade e orientar os instrumentos de contenção.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Indução do aproveitamento. </w:t>
      </w:r>
      <w:r>
        <w:rPr>
          <w:rFonts w:ascii="Calibri" w:hAnsi="Calibri" w:eastAsia="Calibri" w:cs="Calibri"/>
          <w:sz w:val="19"/>
          <w:szCs w:val="19"/>
        </w:rPr>
        <w:t xml:space="preserve">O espraiamento com lotes vazios no interior da mancha consolidada é o quadro que justifica parcelamento compulsório, IPTU progressivo e outorga onerosa.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Articulação regional. </w:t>
      </w:r>
      <w:r>
        <w:rPr>
          <w:rFonts w:ascii="Calibri" w:hAnsi="Calibri" w:eastAsia="Calibri" w:cs="Calibri"/>
          <w:sz w:val="19"/>
          <w:szCs w:val="19"/>
        </w:rPr>
        <w:t xml:space="preserve">Como a dispersão é compartilhada com os vizinhos da Região Imediata, sobretudo Atibaia e os municípios pequenos, parte da resposta depende de diretrizes comuns para chácaras e condomínios na área rural.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Custo do atendimento. </w:t>
      </w:r>
      <w:r>
        <w:rPr>
          <w:rFonts w:ascii="Calibri" w:hAnsi="Calibri" w:eastAsia="Calibri" w:cs="Calibri"/>
          <w:sz w:val="19"/>
          <w:szCs w:val="19"/>
        </w:rPr>
        <w:t xml:space="preserve">A dispersão deve pesar no dimensionamento de redes e serviços e no debate sobre novos parcelamentos afastados da malha consolidada.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Cruzamento pendente. </w:t>
      </w:r>
      <w:r>
        <w:rPr>
          <w:rFonts w:ascii="Calibri" w:hAnsi="Calibri" w:eastAsia="Calibri" w:cs="Calibri"/>
          <w:sz w:val="19"/>
          <w:szCs w:val="19"/>
        </w:rPr>
        <w:t xml:space="preserve">Com as datas de aprovação dos loteamentos será possível identificar parcelamentos aprovados e não ocupados e subdividir o tecido anterior a 1985.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65"/>
        <w:pBdr>
          <w:bottom w:val="single" w:color="ffef00" w:sz="12" w:space="6"/>
        </w:pBdr>
        <w:spacing w:after="165" w:before="340"/>
        <w:ind/>
        <w:rPr/>
      </w:pPr>
      <w:r/>
      <w:bookmarkStart w:id="921" w:name="_Toc0021"/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6. Produtos entregues</w:t>
      </w:r>
      <w:bookmarkEnd w:id="921"/>
      <w:r/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3078"/>
        <w:gridCol w:w="6668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07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07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Mapas01e06_Ocupacao.gpkg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GeoPackage em EPSG:31983 com projeto QGIS embutido, em dois grupos (mapa 1 e mapa 6), e estilo padrão gravado em cada camada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07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Arquivos .qml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Estilos individuais por camada, com a mesma paleta do visualizador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07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Mapas01e06_Ocupacao.qgs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Projeto QGIS avulso, alternativo ao embutido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07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Visualizador WebGIS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interativo com seletor de escala e de modo, controle de ano, filtro por período, comparativo regional, crescimento ano a ano, popups com gráficos e exportação em JPEG e PDF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307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Este relatório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66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Documento técnico de diagnóstico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66"/>
        <w:pBdr/>
        <w:spacing w:after="105" w:before="250"/>
        <w:ind/>
        <w:rPr/>
      </w:pPr>
      <w:r/>
      <w:bookmarkStart w:id="922" w:name="_Toc0022"/>
      <w:r>
        <w:rPr>
          <w:rFonts w:ascii="Calibri" w:hAnsi="Calibri" w:eastAsia="Calibri" w:cs="Calibri"/>
          <w:b/>
          <w:bCs/>
          <w:color w:val="0175bc"/>
          <w:sz w:val="23"/>
          <w:szCs w:val="23"/>
        </w:rPr>
        <w:t xml:space="preserve">6.1 Camadas</w:t>
      </w:r>
      <w:bookmarkEnd w:id="922"/>
      <w:r/>
      <w:r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462"/>
        <w:gridCol w:w="1026"/>
        <w:gridCol w:w="6258"/>
      </w:tblGrid>
      <w:tr>
        <w:trPr>
          <w:tblHeader/>
        </w:trPr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  <w:r/>
          </w:p>
        </w:tc>
        <w:tc>
          <w:tcPr>
            <w:shd w:val="clear" w:color="auto" w:fill="01305a"/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municipios_regiao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1 · 11 municípios da Região Imediata com área urbanizada por ano, crescimento, fragmentos descontínuos, núcleo, densidade e dados do REGIC e do Censo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sedes_municipais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1 · sedes municipais com a hierarquia urbana do REGIC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periodo_regional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9.164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1 · período de urbanização por município, com faixa de idade do tecido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limite_rgi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1 · Região Geográfica Imediata de Bragança Paulista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malha_rodoviaria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98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1 · rodovias do DER-SP por tipo de pista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periodo_urbanizacao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2.191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6 · período de urbanização de cada fragmento, com faixa de idade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mancha_por_ano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645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6 · área urbanizada em cada recorte, um polígono por porção contínua, com a mancha principal identificada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nucleo_principal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9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6 · mancha principal de cada ano, com participação no total e número de fragmentos descontínuos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sistema_viario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2.332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6 · eixo de logradouro municipal</w:t>
            </w:r>
            <w:r/>
          </w:p>
        </w:tc>
      </w:tr>
      <w:tr>
        <w:trPr>
          <w:cantSplit/>
        </w:trPr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2462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limite_municipal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1026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jc w:val="right"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1</w:t>
            </w:r>
            <w:r/>
          </w:p>
        </w:tc>
        <w:tc>
          <w:tcPr>
            <w:tcBorders/>
            <w:tcMar>
              <w:left w:w="88" w:type="dxa"/>
              <w:top w:w="58" w:type="dxa"/>
              <w:right w:w="88" w:type="dxa"/>
              <w:bottom w:w="58" w:type="dxa"/>
            </w:tcMar>
            <w:tcW w:w="6258" w:type="dxa"/>
            <w:textDirection w:val="lrTb"/>
            <w:noWrap w:val="false"/>
          </w:tcPr>
          <w:p>
            <w:pPr>
              <w:pBdr/>
              <w:spacing w:after="0" w:line="226" w:lineRule="auto"/>
              <w:ind/>
              <w:rPr/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</w:rPr>
              <w:t xml:space="preserve">Mapa 6 · limite do município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65"/>
        <w:pBdr>
          <w:bottom w:val="single" w:color="ffef00" w:sz="12" w:space="6"/>
        </w:pBdr>
        <w:spacing w:after="165" w:before="340"/>
        <w:ind/>
        <w:rPr/>
      </w:pPr>
      <w:r/>
      <w:bookmarkStart w:id="923" w:name="_Toc0023"/>
      <w:r>
        <w:rPr>
          <w:rFonts w:ascii="Calibri" w:hAnsi="Calibri" w:eastAsia="Calibri" w:cs="Calibri"/>
          <w:b/>
          <w:bCs/>
          <w:color w:val="01305a"/>
          <w:sz w:val="28"/>
          <w:szCs w:val="28"/>
        </w:rPr>
        <w:t xml:space="preserve">7. Limitações</w:t>
      </w:r>
      <w:bookmarkEnd w:id="923"/>
      <w:r/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A resolução de cerca de 30 m por pixel não capta ocupações isoladas nem distingue tipologia construtiva.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A classificação do MapBiomas é automatizada e pode confundir solo exposto, mineração e áreas industriais com superfície urbanizada.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Os recortes são quinquenais até 2020; por isso a idade do tecido é uma faixa, e não um ano exato.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O tecido anterior a 1985 forma uma classe única, de idade 39 anos ou mais, porque a série do MapBiomas começa naquele ano.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O mapa registra ocupação de fato, não aprovação formal. Loteamentos aprovados e não ocupados não aparecem.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A contagem de fragmentos descontínuos depende da resolução: vias e cursos d’água estreitos podem separar porções que, no terreno, funcionam como contínuas.</w:t>
      </w:r>
      <w:r/>
    </w:p>
    <w:p>
      <w:pPr>
        <w:pStyle w:val="772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19"/>
          <w:szCs w:val="19"/>
        </w:rPr>
        <w:t xml:space="preserve">Pixels isolados foram descartados por estarem sujeitos a ruído de classificação.</w:t>
      </w:r>
      <w:r/>
    </w:p>
    <w:sectPr>
      <w:footerReference w:type="default" r:id="rId9"/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888888"/>
        <w:sz w:val="15"/>
        <w:szCs w:val="15"/>
      </w:rPr>
      <w:t xml:space="preserve">Estrutura Regional e Evolução da Ocupação · Mapas 1 e 6  ·  </w:t>
    </w:r>
    <w:r>
      <w:rPr>
        <w:rFonts w:ascii="Calibri" w:hAnsi="Calibri" w:eastAsia="Calibri" w:cs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00" w:left="4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7" w:default="1">
    <w:name w:val="Normal"/>
    <w:qFormat/>
    <w:pPr>
      <w:pBdr/>
      <w:spacing/>
      <w:ind/>
    </w:pPr>
  </w:style>
  <w:style w:type="paragraph" w:styleId="718">
    <w:name w:val="Heading 7"/>
    <w:basedOn w:val="717"/>
    <w:next w:val="717"/>
    <w:link w:val="7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9">
    <w:name w:val="Heading 8"/>
    <w:basedOn w:val="717"/>
    <w:next w:val="717"/>
    <w:link w:val="7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0">
    <w:name w:val="Heading 9"/>
    <w:basedOn w:val="717"/>
    <w:next w:val="717"/>
    <w:link w:val="7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1" w:default="1">
    <w:name w:val="Default Paragraph Font"/>
    <w:uiPriority w:val="1"/>
    <w:semiHidden/>
    <w:unhideWhenUsed/>
    <w:pPr>
      <w:pBdr/>
      <w:spacing/>
      <w:ind/>
    </w:pPr>
  </w:style>
  <w:style w:type="numbering" w:styleId="722" w:default="1">
    <w:name w:val="No List"/>
    <w:uiPriority w:val="99"/>
    <w:semiHidden/>
    <w:unhideWhenUsed/>
    <w:pPr>
      <w:pBdr/>
      <w:spacing/>
      <w:ind/>
    </w:pPr>
  </w:style>
  <w:style w:type="character" w:styleId="723">
    <w:name w:val="Heading 1 Char"/>
    <w:basedOn w:val="721"/>
    <w:link w:val="7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24">
    <w:name w:val="Heading 2 Char"/>
    <w:basedOn w:val="72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25">
    <w:name w:val="Heading 3 Char"/>
    <w:basedOn w:val="721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26">
    <w:name w:val="Heading 4 Char"/>
    <w:basedOn w:val="721"/>
    <w:link w:val="7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27">
    <w:name w:val="Heading 5 Char"/>
    <w:basedOn w:val="721"/>
    <w:link w:val="7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28">
    <w:name w:val="Heading 6 Char"/>
    <w:basedOn w:val="72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29">
    <w:name w:val="Heading 7 Char"/>
    <w:basedOn w:val="721"/>
    <w:link w:val="7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30">
    <w:name w:val="Heading 8 Char"/>
    <w:basedOn w:val="721"/>
    <w:link w:val="7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1">
    <w:name w:val="Heading 9 Char"/>
    <w:basedOn w:val="721"/>
    <w:link w:val="7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2">
    <w:name w:val="Title Char"/>
    <w:basedOn w:val="721"/>
    <w:link w:val="7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733">
    <w:name w:val="Subtitle"/>
    <w:basedOn w:val="717"/>
    <w:next w:val="717"/>
    <w:link w:val="7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34">
    <w:name w:val="Subtitle Char"/>
    <w:basedOn w:val="721"/>
    <w:link w:val="7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35">
    <w:name w:val="Quote"/>
    <w:basedOn w:val="717"/>
    <w:next w:val="717"/>
    <w:link w:val="7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6">
    <w:name w:val="Quote Char"/>
    <w:basedOn w:val="721"/>
    <w:link w:val="7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37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8">
    <w:name w:val="Intense Quote"/>
    <w:basedOn w:val="717"/>
    <w:next w:val="717"/>
    <w:link w:val="7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9">
    <w:name w:val="Intense Quote Char"/>
    <w:basedOn w:val="721"/>
    <w:link w:val="7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0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41">
    <w:name w:val="No Spacing"/>
    <w:basedOn w:val="717"/>
    <w:uiPriority w:val="1"/>
    <w:qFormat/>
    <w:pPr>
      <w:pBdr/>
      <w:spacing w:after="0" w:line="240" w:lineRule="auto"/>
      <w:ind/>
    </w:pPr>
  </w:style>
  <w:style w:type="character" w:styleId="742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43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74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4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46">
    <w:name w:val="Header"/>
    <w:basedOn w:val="717"/>
    <w:link w:val="7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47">
    <w:name w:val="Header Char"/>
    <w:basedOn w:val="721"/>
    <w:link w:val="746"/>
    <w:uiPriority w:val="99"/>
    <w:pPr>
      <w:pBdr/>
      <w:spacing/>
      <w:ind/>
    </w:pPr>
  </w:style>
  <w:style w:type="paragraph" w:styleId="748">
    <w:name w:val="Footer"/>
    <w:basedOn w:val="717"/>
    <w:link w:val="7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49">
    <w:name w:val="Footer Char"/>
    <w:basedOn w:val="721"/>
    <w:link w:val="748"/>
    <w:uiPriority w:val="99"/>
    <w:pPr>
      <w:pBdr/>
      <w:spacing/>
      <w:ind/>
    </w:pPr>
  </w:style>
  <w:style w:type="paragraph" w:styleId="750">
    <w:name w:val="Caption"/>
    <w:basedOn w:val="717"/>
    <w:next w:val="7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751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52">
    <w:name w:val="toc 1"/>
    <w:basedOn w:val="717"/>
    <w:next w:val="717"/>
    <w:uiPriority w:val="39"/>
    <w:unhideWhenUsed/>
    <w:pPr>
      <w:pBdr/>
      <w:spacing w:after="100"/>
      <w:ind/>
    </w:pPr>
  </w:style>
  <w:style w:type="paragraph" w:styleId="753">
    <w:name w:val="toc 2"/>
    <w:basedOn w:val="717"/>
    <w:next w:val="717"/>
    <w:uiPriority w:val="39"/>
    <w:unhideWhenUsed/>
    <w:pPr>
      <w:pBdr/>
      <w:spacing w:after="100"/>
      <w:ind w:left="220"/>
    </w:pPr>
  </w:style>
  <w:style w:type="paragraph" w:styleId="754">
    <w:name w:val="toc 3"/>
    <w:basedOn w:val="717"/>
    <w:next w:val="717"/>
    <w:uiPriority w:val="39"/>
    <w:unhideWhenUsed/>
    <w:pPr>
      <w:pBdr/>
      <w:spacing w:after="100"/>
      <w:ind w:left="440"/>
    </w:pPr>
  </w:style>
  <w:style w:type="paragraph" w:styleId="755">
    <w:name w:val="toc 4"/>
    <w:basedOn w:val="717"/>
    <w:next w:val="717"/>
    <w:uiPriority w:val="39"/>
    <w:unhideWhenUsed/>
    <w:pPr>
      <w:pBdr/>
      <w:spacing w:after="100"/>
      <w:ind w:left="660"/>
    </w:pPr>
  </w:style>
  <w:style w:type="paragraph" w:styleId="756">
    <w:name w:val="toc 5"/>
    <w:basedOn w:val="717"/>
    <w:next w:val="717"/>
    <w:uiPriority w:val="39"/>
    <w:unhideWhenUsed/>
    <w:pPr>
      <w:pBdr/>
      <w:spacing w:after="100"/>
      <w:ind w:left="880"/>
    </w:pPr>
  </w:style>
  <w:style w:type="paragraph" w:styleId="757">
    <w:name w:val="toc 6"/>
    <w:basedOn w:val="717"/>
    <w:next w:val="717"/>
    <w:uiPriority w:val="39"/>
    <w:unhideWhenUsed/>
    <w:pPr>
      <w:pBdr/>
      <w:spacing w:after="100"/>
      <w:ind w:left="1100"/>
    </w:pPr>
  </w:style>
  <w:style w:type="paragraph" w:styleId="758">
    <w:name w:val="toc 7"/>
    <w:basedOn w:val="717"/>
    <w:next w:val="717"/>
    <w:uiPriority w:val="39"/>
    <w:unhideWhenUsed/>
    <w:pPr>
      <w:pBdr/>
      <w:spacing w:after="100"/>
      <w:ind w:left="1320"/>
    </w:pPr>
  </w:style>
  <w:style w:type="paragraph" w:styleId="759">
    <w:name w:val="toc 8"/>
    <w:basedOn w:val="717"/>
    <w:next w:val="717"/>
    <w:uiPriority w:val="39"/>
    <w:unhideWhenUsed/>
    <w:pPr>
      <w:pBdr/>
      <w:spacing w:after="100"/>
      <w:ind w:left="1540"/>
    </w:pPr>
  </w:style>
  <w:style w:type="paragraph" w:styleId="760">
    <w:name w:val="toc 9"/>
    <w:basedOn w:val="717"/>
    <w:next w:val="717"/>
    <w:uiPriority w:val="39"/>
    <w:unhideWhenUsed/>
    <w:pPr>
      <w:pBdr/>
      <w:spacing w:after="100"/>
      <w:ind w:left="1760"/>
    </w:pPr>
  </w:style>
  <w:style w:type="character" w:styleId="761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762">
    <w:name w:val="TOC Heading"/>
    <w:uiPriority w:val="39"/>
    <w:unhideWhenUsed/>
    <w:pPr>
      <w:pBdr/>
      <w:spacing/>
      <w:ind/>
    </w:pPr>
  </w:style>
  <w:style w:type="paragraph" w:styleId="763">
    <w:name w:val="table of figures"/>
    <w:basedOn w:val="717"/>
    <w:next w:val="717"/>
    <w:uiPriority w:val="99"/>
    <w:unhideWhenUsed/>
    <w:pPr>
      <w:pBdr/>
      <w:spacing w:after="0" w:afterAutospacing="0"/>
      <w:ind/>
    </w:pPr>
  </w:style>
  <w:style w:type="paragraph" w:styleId="764">
    <w:name w:val="Title"/>
    <w:qFormat/>
    <w:pPr>
      <w:pBdr/>
      <w:spacing/>
      <w:ind/>
    </w:pPr>
    <w:rPr>
      <w:sz w:val="56"/>
      <w:szCs w:val="56"/>
    </w:rPr>
  </w:style>
  <w:style w:type="paragraph" w:styleId="765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66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67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68">
    <w:name w:val="Heading 4"/>
    <w:qFormat/>
    <w:pPr>
      <w:pBdr/>
      <w:spacing/>
      <w:ind/>
    </w:pPr>
    <w:rPr>
      <w:i/>
      <w:iCs/>
      <w:color w:val="2e74b5"/>
    </w:rPr>
  </w:style>
  <w:style w:type="paragraph" w:styleId="769">
    <w:name w:val="Heading 5"/>
    <w:qFormat/>
    <w:pPr>
      <w:pBdr/>
      <w:spacing/>
      <w:ind/>
    </w:pPr>
    <w:rPr>
      <w:color w:val="2e74b5"/>
    </w:rPr>
  </w:style>
  <w:style w:type="paragraph" w:styleId="770">
    <w:name w:val="Heading 6"/>
    <w:qFormat/>
    <w:pPr>
      <w:pBdr/>
      <w:spacing/>
      <w:ind/>
    </w:pPr>
    <w:rPr>
      <w:color w:val="1f4d78"/>
    </w:rPr>
  </w:style>
  <w:style w:type="paragraph" w:styleId="771">
    <w:name w:val="Strong"/>
    <w:qFormat/>
    <w:pPr>
      <w:pBdr/>
      <w:spacing/>
      <w:ind/>
    </w:pPr>
    <w:rPr>
      <w:b/>
      <w:bCs/>
    </w:rPr>
  </w:style>
  <w:style w:type="paragraph" w:styleId="772">
    <w:name w:val="List Paragraph"/>
    <w:qFormat/>
    <w:pPr>
      <w:pBdr/>
      <w:spacing/>
      <w:ind/>
    </w:pPr>
  </w:style>
  <w:style w:type="character" w:styleId="77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7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5">
    <w:name w:val="footnote text"/>
    <w:link w:val="7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6">
    <w:name w:val="Footnote Text Char"/>
    <w:link w:val="77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8">
    <w:name w:val="endnote text"/>
    <w:link w:val="7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9">
    <w:name w:val="Endnote Text Char"/>
    <w:link w:val="778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Intermunicipais — Mapas 2 a 5 — Relatório e Diagnóstico</dc:title>
  <dc:creator>Divisão de Planejamento — Prefeitura de Bragança Paulista</dc:creator>
  <cp:revision>3</cp:revision>
  <dcterms:created xsi:type="dcterms:W3CDTF">2026-08-19T21:54:24Z</dcterms:created>
  <dcterms:modified xsi:type="dcterms:W3CDTF">2026-09-30T17:48:38Z</dcterms:modified>
</cp:coreProperties>
</file>