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MAPAS 2 A 5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Fluxos Intermunicipais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Saúde, educação, turismo e cultura, comércio e serviços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As ligações entre Bragança Paulista e os municípios do entorno, segundo a Região de Influência das Cidades do IBGE. São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192 ligações</w:t>
      </w:r>
      <w:r>
        <w:rPr>
          <w:rFonts w:ascii="Calibri" w:cs="Calibri" w:eastAsia="Calibri" w:hAnsi="Calibri"/>
          <w:sz w:val="20"/>
          <w:szCs w:val="20"/>
        </w:rPr>
        <w:t xml:space="preserve"> envolvendo 41 municípios, em quatro temas e nas duas direções.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o dado mede. </w:t>
      </w:r>
      <w:r>
        <w:rPr>
          <w:rFonts w:ascii="Calibri" w:cs="Calibri" w:eastAsia="Calibri" w:hAnsi="Calibri"/>
          <w:sz w:val="20"/>
          <w:szCs w:val="20"/>
        </w:rPr>
        <w:t xml:space="preserve">O REGIC pergunta aos gestores municipais para onde a população se desloca em busca de cada serviço. A resposta é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percentual das escolhas declaradas</w:t>
      </w:r>
      <w:r>
        <w:rPr>
          <w:rFonts w:ascii="Calibri" w:cs="Calibri" w:eastAsia="Calibri" w:hAnsi="Calibri"/>
          <w:sz w:val="20"/>
          <w:szCs w:val="20"/>
        </w:rPr>
        <w:t xml:space="preserve"> — não um volume de pessoas. Um município com 90% de dependência de Bragança em saúde envia nove décimos de sua procura para cá, independentemente de ter mil ou cem mil habitantes.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Essa distinção orienta toda a leitura. O mapa identifica a intensidade do vínculo, não a quantidade de deslocamentos.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do mapa</w:t>
            </w:r>
          </w:p>
        </w:tc>
        <w:tc>
          <w:tcPr>
            <w:tcW w:type="dxa" w:w="7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representa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Espessura da linha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Percentual de dependência: quanto mais grossa, maior a proporção das escolhas daquele município dirigidas a Bragança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Cor da linha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Verde para quem procura Bragança; laranja para onde os bragantinos buscam serviços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Círculo na sede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Centralidade do município no tema e na direção ativos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Perímetro municipal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Referência territorial, realçado ao percorrer o ranking na legenda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Fonte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REGIC 2018, Questionário de Ligações entre Municípios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Recorte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 municípios, dos quais 11 integram a Região Imediata de Bragança Paulista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Temas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Saúde; Educação; Turismo e cultura; Comércio e serviços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Direções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Procuram Bragança; Bragança busca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Sistema de referência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SIRGAS 2000 / UTM 23S (EPSG:31983)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Duas correções aplicadas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Índice de população equivalente removido. </w:t>
      </w:r>
      <w:r>
        <w:rPr>
          <w:rFonts w:ascii="Calibri" w:cs="Calibri" w:eastAsia="Calibri" w:hAnsi="Calibri"/>
          <w:sz w:val="20"/>
          <w:szCs w:val="20"/>
        </w:rPr>
        <w:t xml:space="preserve">A versão anterior oferecia uma escala alternativa de espessura, calculada multiplicando o percentual do REGIC pela população do município. O produto sugeria uma contagem de pessoas que o REGIC não mede: um valor de 80 mil era lido como oitenta mil deslocamentos, leitura que o dado não sustenta. A escala foi suprimida e a espessura passou a responder somente ao percentual.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Geometria reancorada. </w:t>
      </w:r>
      <w:r>
        <w:rPr>
          <w:rFonts w:ascii="Calibri" w:cs="Calibri" w:eastAsia="Calibri" w:hAnsi="Calibri"/>
          <w:sz w:val="20"/>
          <w:szCs w:val="20"/>
        </w:rPr>
        <w:t xml:space="preserve">Dezoito linhas — nove de São Paulo, oito de Campinas e uma de Jundiaí — traziam coordenadas de sede divergentes da camada de sedes, com desvio de até 17 quilômetros em relação ao círculo desenhado. As 192 linhas foram reancoradas nas sedes, que passam a ser a referência única.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O que o dado não permite afirmar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Não há volume: o REGIC registra proporção de escolhas, não número de deslocamentos.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Não há frequência: um município pode depender de Bragança em saúde de alta complexidade com poucos atendimentos por ano.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Não há reciprocidade automática: a ausência de ligação numa direção não significa que ela não exista, apenas que não foi declarada.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das ligações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1700"/>
        <w:gridCol w:w="1500"/>
        <w:gridCol w:w="14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Direção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Ligações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Média</w:t>
            </w:r>
          </w:p>
        </w:tc>
        <w:tc>
          <w:tcPr>
            <w:tcW w:type="dxa" w:w="14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Máximo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Procuram Bragança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34,8%</w:t>
            </w:r>
          </w:p>
        </w:tc>
        <w:tc>
          <w:tcPr>
            <w:tcW w:type="dxa" w:w="1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93,3%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Bragança busca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29,0%</w:t>
            </w:r>
          </w:p>
        </w:tc>
        <w:tc>
          <w:tcPr>
            <w:tcW w:type="dxa" w:w="1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assimetria é o primeiro achado. </w:t>
      </w:r>
      <w:r>
        <w:rPr>
          <w:rFonts w:ascii="Calibri" w:cs="Calibri" w:eastAsia="Calibri" w:hAnsi="Calibri"/>
          <w:sz w:val="20"/>
          <w:szCs w:val="20"/>
        </w:rPr>
        <w:t xml:space="preserve">36 municípios declaram procurar Bragança, enquanto os bragantinos buscam serviços em apenas 9. </w:t>
      </w:r>
      <w:r>
        <w:rPr>
          <w:rFonts w:ascii="Calibri" w:cs="Calibri" w:eastAsia="Calibri" w:hAnsi="Calibri"/>
          <w:sz w:val="20"/>
          <w:szCs w:val="20"/>
        </w:rPr>
        <w:t xml:space="preserve">A cidade recebe muito mais do que sai.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2000"/>
        <w:gridCol w:w="41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Apenas procuram Bragança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Dependem de Bragança sem que os bragantinos recorram a eles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Relação nos dois sentidos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Troca recíproca de serviços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Apenas recebem bragantinos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Centros maiores: Barretos, Campinas, Jundiaí, São Paulo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Os quatro municípios que só recebem bragantinos são exatamente os centros de hierarquia superior: São Paulo e Campinas como metrópoles, Jundiaí como capital regional e Barretos pela especialização em oncologia. </w:t>
      </w:r>
      <w:r>
        <w:rPr>
          <w:rFonts w:ascii="Calibri" w:cs="Calibri" w:eastAsia="Calibri" w:hAnsi="Calibri"/>
          <w:sz w:val="20"/>
          <w:szCs w:val="20"/>
        </w:rPr>
        <w:t xml:space="preserve">Bragança ocupa posição intermediária na rede — polariza o entorno imediato e se subordina aos grandes centros.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Por tema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700"/>
        <w:gridCol w:w="1400"/>
        <w:gridCol w:w="1500"/>
        <w:gridCol w:w="1700"/>
        <w:gridCol w:w="1700"/>
        <w:gridCol w:w="746"/>
      </w:tblGrid>
      <w:tr>
        <w:trPr>
          <w:tblHeader/>
        </w:trPr>
        <w:tc>
          <w:tcPr>
            <w:tcW w:type="dxa" w:w="2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Ligações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Procuram BP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BP busca</w:t>
            </w:r>
          </w:p>
        </w:tc>
        <w:tc>
          <w:tcPr>
            <w:tcW w:type="dxa" w:w="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Sub.</w:t>
            </w:r>
          </w:p>
        </w:tc>
      </w:tr>
      <w:tr>
        <w:tc>
          <w:tcPr>
            <w:tcW w:type="dxa" w:w="2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Turismo e cultura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Comércio e serviços</w:t>
            </w:r>
          </w:p>
        </w:tc>
        <w:tc>
          <w:tcPr>
            <w:tcW w:type="dxa" w:w="1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Educação tem o maior alcance: 31 municípios declaram procurar Bragança por ensino superior. </w:t>
      </w:r>
      <w:r>
        <w:rPr>
          <w:rFonts w:ascii="Calibri" w:cs="Calibri" w:eastAsia="Calibri" w:hAnsi="Calibri"/>
          <w:sz w:val="20"/>
          <w:szCs w:val="20"/>
        </w:rPr>
        <w:t xml:space="preserve">Comércio e serviços concentra mais ligações (57), mas em menos municípios (24) — sinal de que os subtemas se somam sobre os mesmos vizinhos.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3.2 Hierarquia REGIC dos municípios do recorte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1700"/>
        <w:gridCol w:w="36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3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Local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Base da rede — dependem de centros maiores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Sub-Regional B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Polos de alcance microrregional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classificação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Capital Regional C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Polos de alcance estadual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de Zona 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Metrópole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 e São Paulo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Grande Metrópole Nacional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 e seu entorno imediato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Sub-Regional 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Polos de alcance microrregional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Quem depende de Bragança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 dos 36 municípios</w:t>
      </w:r>
      <w:r>
        <w:rPr>
          <w:rFonts w:ascii="Calibri" w:cs="Calibri" w:eastAsia="Calibri" w:hAnsi="Calibri"/>
          <w:sz w:val="20"/>
          <w:szCs w:val="20"/>
        </w:rPr>
        <w:t xml:space="preserve"> que procuram Bragança têm dependência igual ou superior a 50% em ao menos um tema.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2000"/>
        <w:gridCol w:w="43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Maior dependência</w:t>
            </w:r>
          </w:p>
        </w:tc>
        <w:tc>
          <w:tcPr>
            <w:tcW w:type="dxa" w:w="4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93,3%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83,3%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81,7%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muito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73,3%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71,7%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alta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 alta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Pedra Bela encabeça a lista com 93,3%. </w:t>
      </w:r>
      <w:r>
        <w:rPr>
          <w:rFonts w:ascii="Calibri" w:cs="Calibri" w:eastAsia="Calibri" w:hAnsi="Calibri"/>
          <w:sz w:val="20"/>
          <w:szCs w:val="20"/>
        </w:rPr>
        <w:t xml:space="preserve">São municípios pequenos, de hierarquia Centro Local, cuja população concentra quase integralmente suas escolhas em Bragança. Para eles, a qualidade dos serviços bragantinos é determinante.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Saúde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71,7%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Educação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Turismo e cultura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esportivas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esportivas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culturais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esportivas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culturais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58,3%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culturais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4.4 Comércio e serviços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83,3%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81,7%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73,3%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Onde Bragança busca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Em 9 municípios, contra os 36 que a procuram. 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2000"/>
        <w:gridCol w:w="43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Maior percentual</w:t>
            </w:r>
          </w:p>
        </w:tc>
        <w:tc>
          <w:tcPr>
            <w:tcW w:type="dxa" w:w="4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Natureza do vínculo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Metrópole — serviços de alta complexidade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Metrópole — serviços de alta complexidade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Vizinho — troca recíproca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Barretos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Especialização em oncologia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Vizinho — troca recíproca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Jundiaí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11,7%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Capital regional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10,0%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Vizinho — troca recíproca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Jaguariúna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8,3%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Vizinho — troca recíproca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Amparo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3,3%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Vizinho — troca recíproca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Saúde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Barretos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Jundiaí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Amparo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3,3%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Baixa e média complexidade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5.2 Comércio e serviços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00"/>
        <w:gridCol w:w="1700"/>
        <w:gridCol w:w="4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Percentual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Subtema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Jornais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Calçados e vestuário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Calçados e vestuário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10,0%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Calçados e vestuário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1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6,7%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Polo regional com subordinação metropolitana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Bragança polariza 36 municípios e recorre a 9. </w:t>
      </w:r>
      <w:r>
        <w:rPr>
          <w:rFonts w:ascii="Calibri" w:cs="Calibri" w:eastAsia="Calibri" w:hAnsi="Calibri"/>
          <w:sz w:val="20"/>
          <w:szCs w:val="20"/>
        </w:rPr>
        <w:t xml:space="preserve">A assimetria caracteriza um polo regional consolidado para o entorno imediato, mas subordinado às metrópoles paulistas nos serviços de maior complexidade. A cidade é destino para os pequenos e origem para os grandes.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Dependência concentrada em municípios pequenos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municípios com dependência acima de 80% são Centros Locais de pequeno porte. Isso significa que decisões sobre a rede bragantina de saúde e educação têm efeito direto sobre populações que não dispõem de alternativa próxima — uma responsabilidade que extrapola o limite municipal.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Educação como maior vetor de atração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Com 31 municípios declarando procurar Bragança por ensino superior, a educação é o tema de maior alcance territorial. 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6.4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Dimensionamento de equipamentos. </w:t>
      </w:r>
      <w:r>
        <w:rPr>
          <w:rFonts w:ascii="Calibri" w:cs="Calibri" w:eastAsia="Calibri" w:hAnsi="Calibri"/>
          <w:sz w:val="19"/>
          <w:szCs w:val="19"/>
        </w:rPr>
        <w:t xml:space="preserve">A rede de saúde e educação atende população superior à residente. O planejamento de novos equipamentos deve considerar a demanda regional, não apenas a municipal.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Articulação intermunicipal. </w:t>
      </w:r>
      <w:r>
        <w:rPr>
          <w:rFonts w:ascii="Calibri" w:cs="Calibri" w:eastAsia="Calibri" w:hAnsi="Calibri"/>
          <w:sz w:val="19"/>
          <w:szCs w:val="19"/>
        </w:rPr>
        <w:t xml:space="preserve">Os municípios com dependência acima de 50% são candidatos naturais a consórcios e acordos de cooperação para custeio compartilhado.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Mobilidade regional. </w:t>
      </w:r>
      <w:r>
        <w:rPr>
          <w:rFonts w:ascii="Calibri" w:cs="Calibri" w:eastAsia="Calibri" w:hAnsi="Calibri"/>
          <w:sz w:val="19"/>
          <w:szCs w:val="19"/>
        </w:rPr>
        <w:t xml:space="preserve">As ligações mais intensas indicam os eixos que concentram deslocamentos pendulares e merecem atenção no planejamento viário e de transporte coletivo.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Centralidade urbana. </w:t>
      </w:r>
      <w:r>
        <w:rPr>
          <w:rFonts w:ascii="Calibri" w:cs="Calibri" w:eastAsia="Calibri" w:hAnsi="Calibri"/>
          <w:sz w:val="19"/>
          <w:szCs w:val="19"/>
        </w:rPr>
        <w:t xml:space="preserve">A função de polo regional reforça a necessidade de qualificar a área central e os eixos de acesso, por onde chega essa demanda externa.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Atualização do dado. </w:t>
      </w:r>
      <w:r>
        <w:rPr>
          <w:rFonts w:ascii="Calibri" w:cs="Calibri" w:eastAsia="Calibri" w:hAnsi="Calibri"/>
          <w:sz w:val="19"/>
          <w:szCs w:val="19"/>
        </w:rPr>
        <w:t xml:space="preserve">O REGIC 2018 é anterior à pandemia e à expansão do ensino a distância. A próxima edição deve ser incorporada quando publicada.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02a05_FLUXOS_INTERMUNICIPAIS.gpkg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com 7 camadas em EPSG:31983 e projeto QGIS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Estilos por tema, direção e hierarquia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dois painéis, seleção por tema, subtema e direção, cartão de hover e exportação em JPEG e PDF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5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fluxos_regic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Ligações com direção, tema, subtema e percentual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sintese_por_municipio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Resumo por município: tema principal e percentual em cada direção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sedes_municipais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Sedes com hierarquia REGIC e papel em relação a Bragança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municipios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Perímetros municipais com classificação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malha_rodoviaria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Eixos rodoviários de referência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concentracoes_urbanas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Concentrações urbanas do IBGE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limite_rgi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 da Região Imediata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REGIC mede proporção de escolhas declaradas, não volume de deslocamentos.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dados são de 2018, anteriores à pandemia e à expansão do ensino a distância.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resposta é do gestor municipal, não de levantamento domiciliar.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ausência de ligação numa direção indica não declaração, não necessariamente inexistência do fluxo.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Um município aparece uma vez por subtema; os rankings agregam pelo maior percentual do tema.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hierarquia REGIC descreve a posição na rede urbana nacional e não se confunde com porte populacional.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Fluxos Intermunicipais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Intermunicipais — Relatório e Diagnóstico</dc:title>
  <dc:creator>Divisão de Planejamento — Prefeitura de Bragança Paulista</dc:creator>
  <cp:lastModifiedBy>Un-named</cp:lastModifiedBy>
  <cp:revision>1</cp:revision>
  <dcterms:created xsi:type="dcterms:W3CDTF">2026-10-01T03:01:13.014Z</dcterms:created>
  <dcterms:modified xsi:type="dcterms:W3CDTF">2026-10-01T03:01:13.016Z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