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40"/>
        <w:jc w:val="center"/>
      </w:pPr>
      <w:r>
        <w:rPr>
          <w:rFonts w:ascii="Calibri" w:hAnsi="Calibri"/>
          <w:b/>
          <w:color w:val="0175BC"/>
          <w:sz w:val="22"/>
        </w:rPr>
        <w:t>REVISÃO DO PLANO DIRETOR · BRAGANÇA PAULISTA</w:t>
      </w:r>
    </w:p>
    <w:p>
      <w:pPr>
        <w:spacing w:after="520"/>
        <w:jc w:val="center"/>
      </w:pPr>
      <w:r>
        <w:rPr>
          <w:rFonts w:ascii="Calibri" w:hAnsi="Calibri"/>
          <w:color w:val="555555"/>
          <w:sz w:val="20"/>
        </w:rPr>
        <w:t>Leitura Técnica Socioterritorial</w:t>
      </w:r>
    </w:p>
    <w:p>
      <w:pPr>
        <w:spacing w:after="80"/>
        <w:jc w:val="center"/>
      </w:pPr>
      <w:r>
        <w:rPr>
          <w:rFonts w:ascii="Calibri" w:hAnsi="Calibri"/>
          <w:b/>
          <w:color w:val="999999"/>
          <w:sz w:val="28"/>
        </w:rPr>
        <w:t>QUEIMADAS</w:t>
      </w:r>
    </w:p>
    <w:p>
      <w:pPr>
        <w:spacing w:after="120"/>
        <w:jc w:val="center"/>
      </w:pPr>
      <w:r>
        <w:rPr>
          <w:rFonts w:ascii="Calibri" w:hAnsi="Calibri"/>
          <w:b/>
          <w:color w:val="01305A"/>
          <w:sz w:val="44"/>
        </w:rPr>
        <w:t>Focos de Incêndio</w:t>
      </w:r>
    </w:p>
    <w:p>
      <w:pPr>
        <w:spacing w:after="680"/>
        <w:jc w:val="center"/>
      </w:pPr>
      <w:r>
        <w:rPr>
          <w:rFonts w:ascii="Calibri" w:hAnsi="Calibri"/>
          <w:color w:val="555555"/>
          <w:sz w:val="21"/>
        </w:rPr>
        <w:t>Série INPE 2015–2025 · Recorrência territorial · Sazonalidade · Exposição da população</w:t>
      </w:r>
    </w:p>
    <w:p>
      <w:pPr>
        <w:spacing w:after="40"/>
        <w:jc w:val="center"/>
      </w:pPr>
      <w:r>
        <w:rPr>
          <w:rFonts w:ascii="Calibri" w:hAnsi="Calibri"/>
          <w:b/>
          <w:sz w:val="20"/>
        </w:rPr>
        <w:t>Divisão de Planejamento</w:t>
      </w:r>
    </w:p>
    <w:p>
      <w:pPr>
        <w:spacing w:after="400"/>
        <w:jc w:val="center"/>
      </w:pPr>
      <w:r>
        <w:rPr>
          <w:rFonts w:ascii="Calibri" w:hAnsi="Calibri"/>
          <w:color w:val="555555"/>
          <w:sz w:val="19"/>
        </w:rPr>
        <w:t>Secretaria Municipal de Planejamento</w:t>
      </w:r>
    </w:p>
    <w:p>
      <w:pPr>
        <w:jc w:val="center"/>
      </w:pPr>
      <w:r>
        <w:rPr>
          <w:rFonts w:ascii="Calibri" w:hAnsi="Calibri"/>
          <w:color w:val="777777"/>
          <w:sz w:val="17"/>
        </w:rPr>
        <w:t>Outubro de 2026</w:t>
      </w:r>
    </w:p>
    <w:p>
      <w:r>
        <w:br w:type="page"/>
      </w:r>
    </w:p>
    <w:p>
      <w:pPr>
        <w:pStyle w:val="Heading1"/>
      </w:pPr>
      <w:r>
        <w:t>1. O que este mapa mostra</w:t>
      </w:r>
    </w:p>
    <w:p>
      <w:pPr>
        <w:jc w:val="both"/>
      </w:pPr>
      <w:r>
        <w:rPr>
          <w:rFonts w:ascii="Calibri" w:hAnsi="Calibri"/>
        </w:rPr>
        <w:t>Este documento acompanha o mapa interativo Queimadas — Focos de Incêndio. A pergunta que orienta o trabalho não é quantas queimadas houve, mas onde o fogo volta: quais partes do território registram fogo com que frequência, e o que há nessas partes.</w:t>
      </w:r>
    </w:p>
    <w:p>
      <w:pPr>
        <w:jc w:val="both"/>
      </w:pPr>
      <w:r>
        <w:rPr>
          <w:rFonts w:ascii="Calibri" w:hAnsi="Calibri"/>
        </w:rPr>
        <w:t>A diferença importa. A contagem bruta de registros de satélite responde à primeira pergunta e engana na segunda, por dois motivos tratados neste relatório: o mesmo incêndio aparece várias vezes na série, e um número absoluto de focos não diz nada sem a área em que ocorreram.</w:t>
      </w:r>
    </w:p>
    <w:p>
      <w:pPr>
        <w:pStyle w:val="Heading2"/>
      </w:pPr>
      <w:r>
        <w:t>1.1 Como ler o mapa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Pontos.</w:t>
      </w:r>
      <w:r>
        <w:rPr>
          <w:rFonts w:ascii="Calibri" w:hAnsi="Calibri"/>
          <w:b w:val="0"/>
          <w:sz w:val="20"/>
        </w:rPr>
        <w:t xml:space="preserve"> Cada ponto é um foco de queimada. O tamanho é proporcional ao FRP (Fire Radiative Power), a potência radiativa medida pelo satélite. O anel tracejado marca detecção sem FRP no extrato do INPE — ausência de medida, não fogo fraco.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Chave focos distintos / detecções.</w:t>
      </w:r>
      <w:r>
        <w:rPr>
          <w:rFonts w:ascii="Calibri" w:hAnsi="Calibri"/>
          <w:b w:val="0"/>
          <w:sz w:val="20"/>
        </w:rPr>
        <w:t xml:space="preserve"> O mapa abre mostrando os 702 focos distintos. A chave permite ver as 1.537 detecções brutas, para conferência.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Superfície de recorrência.</w:t>
      </w:r>
      <w:r>
        <w:rPr>
          <w:rFonts w:ascii="Calibri" w:hAnsi="Calibri"/>
          <w:b w:val="0"/>
          <w:sz w:val="20"/>
        </w:rPr>
        <w:t xml:space="preserve"> As manchas em amarelo, laranja e vermelho são a densidade de focos por km² por ano, em cinco classes de intervalo de retorno. Não é um mapa de calor de tela: a geometria é fixa no território e não muda de forma com o zoom.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Filtros de ano e de mês.</w:t>
      </w:r>
      <w:r>
        <w:rPr>
          <w:rFonts w:ascii="Calibri" w:hAnsi="Calibri"/>
          <w:b w:val="0"/>
          <w:sz w:val="20"/>
        </w:rPr>
        <w:t xml:space="preserve"> Combinam-se. O mês atravessa a série, de modo que “agosto” com “todos os anos” mostra os onze agostos.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Leitura no painel.</w:t>
      </w:r>
      <w:r>
        <w:rPr>
          <w:rFonts w:ascii="Calibri" w:hAnsi="Calibri"/>
          <w:b w:val="0"/>
          <w:sz w:val="20"/>
        </w:rPr>
        <w:t xml:space="preserve"> O cursor sobre um foco, um bairro, uma bacia ou uma classe da superfície escreve a ficha no painel direito; o clique trava a leitura.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Análise do território.</w:t>
      </w:r>
      <w:r>
        <w:rPr>
          <w:rFonts w:ascii="Calibri" w:hAnsi="Calibri"/>
          <w:b w:val="0"/>
          <w:sz w:val="20"/>
        </w:rPr>
        <w:t xml:space="preserve"> O painel direito traz as taxas por situação do IBGE, macrozona, bacia e bairro, sempre sobre a série inteira.</w:t>
      </w:r>
    </w:p>
    <w:p>
      <w:pPr>
        <w:pStyle w:val="Heading1"/>
      </w:pPr>
      <w:r>
        <w:t>2. Fontes e método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1305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Fonte</w:t>
            </w:r>
          </w:p>
        </w:tc>
        <w:tc>
          <w:tcPr>
            <w:tcW w:type="dxa" w:w="5043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 que fornece</w:t>
            </w:r>
          </w:p>
        </w:tc>
      </w:tr>
      <w:tr>
        <w:tc>
          <w:tcPr>
            <w:tcW w:type="dxa" w:w="5043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INPE · Programa Queimadas (BDQueimadas)</w:t>
            </w:r>
          </w:p>
        </w:tc>
        <w:tc>
          <w:tcPr>
            <w:tcW w:type="dxa" w:w="5043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1.537 detecções de foco entre 2015 e 2025, de 16 satélites, com data, hora, satélite, bioma, dias sem chuva, precipitação, risco de fogo e FRP</w:t>
            </w:r>
          </w:p>
        </w:tc>
      </w:tr>
      <w:tr>
        <w:tc>
          <w:tcPr>
            <w:tcW w:type="dxa" w:w="5043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IBGE · Censo 2022 — malha de setores</w:t>
            </w:r>
          </w:p>
        </w:tc>
        <w:tc>
          <w:tcPr>
            <w:tcW w:type="dxa" w:w="5043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Situação urbana ou rural de cada setor censitário e a divisão em 60 bairros</w:t>
            </w:r>
          </w:p>
        </w:tc>
      </w:tr>
      <w:tr>
        <w:tc>
          <w:tcPr>
            <w:tcW w:type="dxa" w:w="5043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IBGE · Censo 2022 — agregados</w:t>
            </w:r>
          </w:p>
        </w:tc>
        <w:tc>
          <w:tcPr>
            <w:tcW w:type="dxa" w:w="5043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População residente por bairro, para o cálculo de exposição</w:t>
            </w:r>
          </w:p>
        </w:tc>
      </w:tr>
      <w:tr>
        <w:tc>
          <w:tcPr>
            <w:tcW w:type="dxa" w:w="5043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PMBP · Bacias hidrográficas</w:t>
            </w:r>
          </w:p>
        </w:tc>
        <w:tc>
          <w:tcPr>
            <w:tcW w:type="dxa" w:w="5043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Delimitação das 11 bacias do município</w:t>
            </w:r>
          </w:p>
        </w:tc>
      </w:tr>
      <w:tr>
        <w:tc>
          <w:tcPr>
            <w:tcW w:type="dxa" w:w="5043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PMBP · Macrozoneamento vigente</w:t>
            </w:r>
          </w:p>
        </w:tc>
        <w:tc>
          <w:tcPr>
            <w:tcW w:type="dxa" w:w="5043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Macrozona Urbana e Macrozona Rural do Plano Diretor em vigor</w:t>
            </w:r>
          </w:p>
        </w:tc>
      </w:tr>
    </w:tbl>
    <w:p>
      <w:pPr>
        <w:spacing w:after="40"/>
      </w:pPr>
    </w:p>
    <w:p>
      <w:pPr>
        <w:pStyle w:val="Heading2"/>
      </w:pPr>
      <w:r>
        <w:t>2.1 De detecção a foco: a remoção da duplicidade</w:t>
      </w:r>
    </w:p>
    <w:p>
      <w:pPr>
        <w:jc w:val="both"/>
      </w:pPr>
      <w:r>
        <w:rPr>
          <w:rFonts w:ascii="Calibri" w:hAnsi="Calibri"/>
        </w:rPr>
        <w:t>A série foi extraída com todos os focos captados por todos os satélites. Dezesseis sensores alimentam a base, e o mesmo incêndio é visto por vários deles em passagens diferentes ao longo do dia. Contar registros, portanto, é contar passagens de satélite, não incêndios.</w:t>
      </w:r>
    </w:p>
    <w:p>
      <w:pPr>
        <w:jc w:val="both"/>
      </w:pPr>
      <w:r>
        <w:rPr>
          <w:rFonts w:ascii="Calibri" w:hAnsi="Calibri"/>
        </w:rPr>
        <w:t>As detecções foram agrupadas por DBSCAN em SIRGAS 2000 / UTM 23S, com raio de 1.000 metros e janela de 24 horas — o tempo entra na distância pela escala de 1.000 m por 24 h. Cada grupo é um foco distinto.</w:t>
      </w:r>
    </w:p>
    <w:p>
      <w:pPr>
        <w:jc w:val="both"/>
      </w:pPr>
      <w:r>
        <w:rPr>
          <w:rFonts w:ascii="Calibri" w:hAnsi="Calibri"/>
        </w:rPr>
        <w:t>O raio não foi arbitrado. A distância mediana entre detecções vizinhas do mesmo dia é de 322 metros, e 83% dos vizinhos estão a menos de 1 km. Ampliando o raio de 375 m para 1 km, a contagem de focos cai 28%; de 1 km para 2 km, cai apenas 8%. O cotovelo da curva está em 1 km, que é também o tamanho do pixel MODIS, o mais grosseiro entre os sensores da série. Verificou-se ainda que não há encadeamento temporal: nenhum grupo dura mais de 1,2 dia.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1305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3362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Detecções</w:t>
            </w:r>
          </w:p>
        </w:tc>
        <w:tc>
          <w:tcPr>
            <w:tcW w:type="dxa" w:w="3362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Focos distintos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Total da série 2015–2025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1.537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702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Redução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—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54%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Registros que são foco único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438 (62%)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Maior agrupamento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46 detecções, 9 satélites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 foco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i/>
          <w:color w:val="555555"/>
          <w:sz w:val="17"/>
        </w:rPr>
        <w:t>O maior agrupamento é o incêndio de 20 e 21 de agosto de 2024. Sozinho, ele respondia pela mancha mais quente da versão anterior deste mapa.</w:t>
      </w:r>
    </w:p>
    <w:p>
      <w:pPr>
        <w:pStyle w:val="Heading2"/>
      </w:pPr>
      <w:r>
        <w:t>2.2 Superfície de recorrência</w:t>
      </w:r>
    </w:p>
    <w:p>
      <w:pPr>
        <w:jc w:val="both"/>
      </w:pPr>
      <w:r>
        <w:rPr>
          <w:rFonts w:ascii="Calibri" w:hAnsi="Calibri"/>
        </w:rPr>
        <w:t>Sobre os 702 focos distintos foi estimada uma superfície de densidade por núcleo quártico (biweight) com raio de 1.000 metros, em malha de 100 metros, normalizada para focos por km² por ano ao longo dos onze anos da série.</w:t>
      </w:r>
    </w:p>
    <w:p>
      <w:pPr>
        <w:jc w:val="both"/>
      </w:pPr>
      <w:r>
        <w:rPr>
          <w:rFonts w:ascii="Calibri" w:hAnsi="Calibri"/>
        </w:rPr>
        <w:t>O núcleo quártico vale exatamente zero fora do raio. A consequência é que nenhuma mancha nasce longe de fogo real: medido sobre a camada publicada, o ponto mais distante da superfície está a 789 metros de um foco, e nenhuma área pintada ultrapassa 1 km de distância. Uma primeira versão usava núcleo gaussiano, que não tem suporte compacto e por isso depositava densidade a qualquer distância — pintava 25,6 km² a mais de 1 km de qualquer foco e preenchia os vazios entre focos vizinhos. Foi substituída por esse motivo.</w:t>
      </w:r>
    </w:p>
    <w:p>
      <w:pPr>
        <w:jc w:val="both"/>
      </w:pPr>
      <w:r>
        <w:rPr>
          <w:rFonts w:ascii="Calibri" w:hAnsi="Calibri"/>
        </w:rPr>
        <w:t>As classes são intervalos de retorno em valores redondos, obtidos pelo inverso da densidade: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1305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Classe</w:t>
            </w:r>
          </w:p>
        </w:tc>
        <w:tc>
          <w:tcPr>
            <w:tcW w:type="dxa" w:w="2521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Intervalo esperado</w:t>
            </w:r>
          </w:p>
        </w:tc>
        <w:tc>
          <w:tcPr>
            <w:tcW w:type="dxa" w:w="2521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Densidade (foco/km²/ano)</w:t>
            </w:r>
          </w:p>
        </w:tc>
        <w:tc>
          <w:tcPr>
            <w:tcW w:type="dxa" w:w="2521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Área (km²)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Crítica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 a cada 2 anos ou menos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≥ 0,500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10,5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Muito alta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 a cada 2 a 3 anos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0,333 a 0,500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26,7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Alta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 a cada 3 a 5 anos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0,200 a 0,333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62,6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Moderada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 a cada 5 a 10 anos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0,100 a 0,200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118,9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Baixa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 a cada 10 a 20 anos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0,050 a 0,100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103,5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Sem classe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acima de 20 anos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&lt; 0,050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190,3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</w:rPr>
        <w:t>Abaixo de 0,050 nada é desenhado: um foco a cada 20 anos por km² está além do que onze anos de série sustentam. São 190,3 km², 37% do município, e nenhum dos 702 focos cai nessa faixa.</w:t>
      </w:r>
    </w:p>
    <w:p>
      <w:pPr>
        <w:spacing w:after="200"/>
      </w:pPr>
      <w:r>
        <w:rPr>
          <w:i/>
          <w:color w:val="555555"/>
          <w:sz w:val="17"/>
        </w:rPr>
        <w:t>Validação: contando os focos reais dentro de cada classe, a densidade observada é de 0,043, 0,134, 0,299, 0,534 e 0,961 foco/km²/ano, da classe Baixa à Crítica. Três classes caem dentro do próprio intervalo declarado; a Baixa fica 14% abaixo do piso e a Muito alta 7% acima do teto, efeito esperado da suavização na borda das manchas.</w:t>
      </w:r>
    </w:p>
    <w:p>
      <w:pPr>
        <w:pStyle w:val="Heading2"/>
      </w:pPr>
      <w:r>
        <w:t>2.3 Situação urbana e rural: por que pelo setor censitário</w:t>
      </w:r>
    </w:p>
    <w:p>
      <w:pPr>
        <w:jc w:val="both"/>
      </w:pPr>
      <w:r>
        <w:rPr>
          <w:rFonts w:ascii="Calibri" w:hAnsi="Calibri"/>
        </w:rPr>
        <w:t>A situação de cada foco vem do setor censitário em que ele caiu, não do bairro. A malha de setores não é exibida no mapa — serve apenas de unidade de atribuição.</w:t>
      </w:r>
    </w:p>
    <w:p>
      <w:pPr>
        <w:jc w:val="both"/>
      </w:pPr>
      <w:r>
        <w:rPr>
          <w:rFonts w:ascii="Calibri" w:hAnsi="Calibri"/>
        </w:rPr>
        <w:t>A escolha foi medida. Dos 60 bairros, 52 (87%) contêm setores urbanos e rurais ao mesmo tempo, de modo que o bairro é uma unidade mista para essa pergunta. Classificar o foco pelo bairro predominante erraria 94 dos 702 focos (13%) e subestimaria o fogo urbano em quase metade — apontaria 105 focos urbanos onde há 155.</w:t>
      </w:r>
    </w:p>
    <w:p>
      <w:pPr>
        <w:pStyle w:val="Heading1"/>
      </w:pPr>
      <w:r>
        <w:t>3. Diagnóstico</w:t>
      </w:r>
    </w:p>
    <w:p>
      <w:pPr>
        <w:pStyle w:val="Heading2"/>
      </w:pPr>
      <w:r>
        <w:t>3.1 A queimada não é um problema rural</w:t>
      </w:r>
    </w:p>
    <w:p>
      <w:pPr>
        <w:jc w:val="both"/>
      </w:pPr>
      <w:r>
        <w:rPr>
          <w:rFonts w:ascii="Calibri" w:hAnsi="Calibri"/>
        </w:rPr>
        <w:t>Em contagem bruta, 77,4% dos focos estão em setores rurais, o que sustentaria a leitura corrente de que queimada em Bragança é assunto de zona rural. Por área, a leitura se inverte.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1305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Situação do setor (IBGE 2022)</w:t>
            </w:r>
          </w:p>
        </w:tc>
        <w:tc>
          <w:tcPr>
            <w:tcW w:type="dxa" w:w="2521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Área (km²)</w:t>
            </w:r>
          </w:p>
        </w:tc>
        <w:tc>
          <w:tcPr>
            <w:tcW w:type="dxa" w:w="2521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Focos</w:t>
            </w:r>
          </w:p>
        </w:tc>
        <w:tc>
          <w:tcPr>
            <w:tcW w:type="dxa" w:w="2521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Foco/km²/ano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Área urbana de baixa densidade de edificações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19,8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61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0,280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Área urbana de alta densidade de edificações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32,7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50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0,139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Área rural, exclusive aglomerados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404,5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543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0,122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Núcleo urbano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48,1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44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0,083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Massa d’água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6,9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0,053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</w:rPr>
        <w:t>A área urbana de baixa densidade de edificações — a franja urbana, de lotes grandes e vazios frequentes — marca 0,280 foco/km²/ano. É o dobro da área rural (0,122) e o dobro da própria área urbana de alta densidade (0,139). São 19,8 km², 4% do município, com a maior taxa de fogo do território.</w:t>
      </w:r>
    </w:p>
    <w:p>
      <w:pPr>
        <w:jc w:val="both"/>
      </w:pPr>
      <w:r>
        <w:rPr>
          <w:rFonts w:ascii="Calibri" w:hAnsi="Calibri"/>
        </w:rPr>
        <w:t>A assinatura é compatível com limpeza de terreno e queima de lote vago, não com manejo agropecuário. É também a faixa do território em que o Plano Diretor tem instrumentos mais diretos — parcelamento, uso e ocupação, notificação para edificação ou utilização compulsória.</w:t>
      </w:r>
    </w:p>
    <w:p>
      <w:pPr>
        <w:pStyle w:val="Heading2"/>
      </w:pPr>
      <w:r>
        <w:t>3.2 A leitura pela norma vigente</w:t>
      </w:r>
    </w:p>
    <w:p>
      <w:pPr>
        <w:jc w:val="both"/>
      </w:pPr>
      <w:r>
        <w:rPr>
          <w:rFonts w:ascii="Calibri" w:hAnsi="Calibri"/>
        </w:rPr>
        <w:t>O mesmo cruzamento feito contra o macrozoneamento em vigor confirma o achado em termos da própria norma municipal: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1305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Macrozona</w:t>
            </w:r>
          </w:p>
        </w:tc>
        <w:tc>
          <w:tcPr>
            <w:tcW w:type="dxa" w:w="2017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Área (km²)</w:t>
            </w:r>
          </w:p>
        </w:tc>
        <w:tc>
          <w:tcPr>
            <w:tcW w:type="dxa" w:w="2017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Focos</w:t>
            </w:r>
          </w:p>
        </w:tc>
        <w:tc>
          <w:tcPr>
            <w:tcW w:type="dxa" w:w="2017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Foco/km²/ano</w:t>
            </w:r>
          </w:p>
        </w:tc>
        <w:tc>
          <w:tcPr>
            <w:tcW w:type="dxa" w:w="2017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% dos focos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Macrozona Urbana (MZU)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190,8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353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0,168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50,3%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Macrozona Rural (MZR)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321,0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343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0,097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48,9%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Fora das macrozonas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0,9%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</w:rPr>
        <w:t>A Macrozona Urbana ocupa 37% do território e concentra metade dos focos da série, com taxa 73% superior à da Macrozona Rural.</w:t>
      </w:r>
    </w:p>
    <w:p>
      <w:pPr>
        <w:pStyle w:val="Heading2"/>
      </w:pPr>
      <w:r>
        <w:t>3.3 Sazonalidade</w:t>
      </w:r>
    </w:p>
    <w:p>
      <w:pPr>
        <w:jc w:val="both"/>
      </w:pPr>
      <w:r>
        <w:rPr>
          <w:rFonts w:ascii="Calibri" w:hAnsi="Calibri"/>
        </w:rPr>
        <w:t>A distribuição ao longo do ano é fortemente concentrada. Dos 702 focos, 533 (76%) ocorrem entre junho e setembro — quatro meses, um terço do calendário.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1305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Mês</w:t>
            </w:r>
          </w:p>
        </w:tc>
        <w:tc>
          <w:tcPr>
            <w:tcW w:type="dxa" w:w="3362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Focos</w:t>
            </w:r>
          </w:p>
        </w:tc>
        <w:tc>
          <w:tcPr>
            <w:tcW w:type="dxa" w:w="3362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% da série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Janeiro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0,7%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Fevereiro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1,7%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Março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1,3%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Abril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34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4,8%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Maio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50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7,1%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Junho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49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7,0%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Julho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165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23,5%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Agosto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166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23,6%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Setembro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153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21,8%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Outubro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36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5,1%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Novembro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17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2,4%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Dezembro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0,9%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</w:rPr>
        <w:t>O horário mais frequente das detecções é 16h. A combinação de estiagem, baixa umidade e período da tarde define a janela operacional de fiscalização e de prontidão.</w:t>
      </w:r>
    </w:p>
    <w:p>
      <w:pPr>
        <w:pStyle w:val="Heading2"/>
      </w:pPr>
      <w:r>
        <w:t>3.4 Bacias hidrográficas</w:t>
      </w:r>
    </w:p>
    <w:p>
      <w:pPr>
        <w:jc w:val="both"/>
      </w:pPr>
      <w:r>
        <w:rPr>
          <w:rFonts w:ascii="Calibri" w:hAnsi="Calibri"/>
        </w:rPr>
        <w:t>A distribuição por bacia varia em quase quatro vezes entre a primeira e a última: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1305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Bacia</w:t>
            </w:r>
          </w:p>
        </w:tc>
        <w:tc>
          <w:tcPr>
            <w:tcW w:type="dxa" w:w="2017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Área (km²)</w:t>
            </w:r>
          </w:p>
        </w:tc>
        <w:tc>
          <w:tcPr>
            <w:tcW w:type="dxa" w:w="2017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Focos</w:t>
            </w:r>
          </w:p>
        </w:tc>
        <w:tc>
          <w:tcPr>
            <w:tcW w:type="dxa" w:w="2017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Foco/km²/ano</w:t>
            </w:r>
          </w:p>
        </w:tc>
        <w:tc>
          <w:tcPr>
            <w:tcW w:type="dxa" w:w="2017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% dos focos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do Lavapés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104,1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233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0,203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33,2%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Morro do Agudo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45,7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70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0,139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10,0%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do Barreiro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33,6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51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0,138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7,3%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da Água Comprida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37,4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56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0,136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8,0%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das Araras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71,3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96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0,122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13,7%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da Bocaina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41,8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44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0,096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6,3%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do Morro Grande da Boa Vista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35,5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36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0,092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5,1%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do Campo Novo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60,5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53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0,080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7,5%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do Biriçá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47,3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38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0,073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5,4%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do Menin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17,2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0,063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1,7%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das Sete Pontes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17,2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0,058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1,6%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</w:rPr>
        <w:t>A bacia do Lavapés responde sozinha por um terço dos focos da série. É também a bacia que drena a área urbana consolidada, o que reforça a leitura das seções anteriores.</w:t>
      </w:r>
    </w:p>
    <w:p>
      <w:pPr>
        <w:pStyle w:val="Heading2"/>
      </w:pPr>
      <w:r>
        <w:t>3.5 Bairros</w:t>
      </w:r>
    </w:p>
    <w:p>
      <w:pPr>
        <w:jc w:val="both"/>
      </w:pPr>
      <w:r>
        <w:rPr>
          <w:rFonts w:ascii="Calibri" w:hAnsi="Calibri"/>
        </w:rPr>
        <w:t>Dos 60 bairros da divisão do IBGE, três não registraram nenhum foco em onze anos: Aparecida, América e Matadouro. Os dez com maior recorrência: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1305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Bairro</w:t>
            </w:r>
          </w:p>
        </w:tc>
        <w:tc>
          <w:tcPr>
            <w:tcW w:type="dxa" w:w="2017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Área (km²)</w:t>
            </w:r>
          </w:p>
        </w:tc>
        <w:tc>
          <w:tcPr>
            <w:tcW w:type="dxa" w:w="2017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Focos</w:t>
            </w:r>
          </w:p>
        </w:tc>
        <w:tc>
          <w:tcPr>
            <w:tcW w:type="dxa" w:w="2017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Foco/km²/ano</w:t>
            </w:r>
          </w:p>
        </w:tc>
        <w:tc>
          <w:tcPr>
            <w:tcW w:type="dxa" w:w="2017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Situação predominante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Jardins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4,0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20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0,449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Urbana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Caetanos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6,7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32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0,436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Rural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Jaguari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7,0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33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0,429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Urbana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Brasil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1,9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0,341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Urbana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Estiva do Agudo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8,1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0,339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Rural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Bom Retiro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7,0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26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0,337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Rural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Sete Barras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5,8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21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0,330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Rural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Usina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5,8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0,316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Rural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São Lourenço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1,1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0,250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Urbana</w:t>
            </w:r>
          </w:p>
        </w:tc>
      </w:tr>
      <w:tr>
        <w:tc>
          <w:tcPr>
            <w:tcW w:type="dxa" w:w="2017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Uberaba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6,9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19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0,249</w:t>
            </w:r>
          </w:p>
        </w:tc>
        <w:tc>
          <w:tcPr>
            <w:tcW w:type="dxa" w:w="2017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Rural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i/>
          <w:color w:val="555555"/>
          <w:sz w:val="17"/>
        </w:rPr>
        <w:t>A média do município é de 0,125 foco/km²/ano. Os três primeiros bairros marcam mais do que o triplo dessa taxa.</w:t>
      </w:r>
    </w:p>
    <w:p>
      <w:pPr>
        <w:pStyle w:val="Heading2"/>
      </w:pPr>
      <w:r>
        <w:t>3.6 Tendência</w:t>
      </w:r>
    </w:p>
    <w:p>
      <w:pPr>
        <w:jc w:val="both"/>
      </w:pPr>
      <w:r>
        <w:rPr>
          <w:rFonts w:ascii="Calibri" w:hAnsi="Calibri"/>
        </w:rPr>
        <w:t>Comparando as duas metades da série, sempre em taxa anual para que os períodos sejam comparáveis, o município passou de 0,110 para 0,137 foco/km²/ano — alta de 25%.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1305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Bairro</w:t>
            </w:r>
          </w:p>
        </w:tc>
        <w:tc>
          <w:tcPr>
            <w:tcW w:type="dxa" w:w="2521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2015–2019</w:t>
            </w:r>
          </w:p>
        </w:tc>
        <w:tc>
          <w:tcPr>
            <w:tcW w:type="dxa" w:w="2521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2020–2025</w:t>
            </w:r>
          </w:p>
        </w:tc>
        <w:tc>
          <w:tcPr>
            <w:tcW w:type="dxa" w:w="2521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Variação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Araras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0,018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0,134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+644%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Jardins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0,247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0,617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+150%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Campinho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0,103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0,229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+122%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Fernão Dias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0,077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0,166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+116%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Pereiras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0,094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0,196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+109%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Cardosos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0,226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0,159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-30%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Couto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0,066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0,046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-30%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Guaripocaba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0,168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0,119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-29%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Biriçá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0,100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0,075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-25%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i/>
          <w:color w:val="555555"/>
          <w:sz w:val="17"/>
        </w:rPr>
        <w:t>Entram apenas bairros com 10 focos ou mais no conjunto da série, para não transformar variação de amostra pequena em tendência.</w:t>
      </w:r>
    </w:p>
    <w:p>
      <w:pPr>
        <w:pStyle w:val="Heading2"/>
      </w:pPr>
      <w:r>
        <w:t>3.7 Exposição da população</w:t>
      </w:r>
    </w:p>
    <w:p>
      <w:pPr>
        <w:jc w:val="both"/>
      </w:pPr>
      <w:r>
        <w:rPr>
          <w:rFonts w:ascii="Calibri" w:hAnsi="Calibri"/>
        </w:rPr>
        <w:t>A leitura por área responde onde o fogo é mais frequente. A leitura por população responde onde mais gente convive com ele — duas perguntas distintas, com respostas distintas.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1305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Bairro</w:t>
            </w:r>
          </w:p>
        </w:tc>
        <w:tc>
          <w:tcPr>
            <w:tcW w:type="dxa" w:w="2521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Moradores</w:t>
            </w:r>
          </w:p>
        </w:tc>
        <w:tc>
          <w:tcPr>
            <w:tcW w:type="dxa" w:w="2521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Focos</w:t>
            </w:r>
          </w:p>
        </w:tc>
        <w:tc>
          <w:tcPr>
            <w:tcW w:type="dxa" w:w="2521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Focos / 10 mil moradores / ano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Bocaina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343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24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63,6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Cardosos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504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35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01305A"/>
                <w:sz w:val="17"/>
              </w:rPr>
              <w:t>63,1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Estiva do Agudo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500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54,5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Morro do Agudo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706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34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43,8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Santa Cristina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333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41,0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Bacci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639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28,5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Sete Barras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743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21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25,7</w:t>
            </w:r>
          </w:p>
        </w:tc>
      </w:tr>
      <w:tr>
        <w:tc>
          <w:tcPr>
            <w:tcW w:type="dxa" w:w="2521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Biriçá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754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19</w:t>
            </w:r>
          </w:p>
        </w:tc>
        <w:tc>
          <w:tcPr>
            <w:tcW w:type="dxa" w:w="2521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22,9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i/>
          <w:color w:val="555555"/>
          <w:sz w:val="17"/>
        </w:rPr>
        <w:t>Entram apenas os 50 bairros com 300 moradores ou mais. Abaixo disso o divisor é pequeno demais e a taxa deixa de significar: um bairro de 162 habitantes chegava a 180 focos por 10 mil moradores por ano.</w:t>
      </w:r>
    </w:p>
    <w:p>
      <w:pPr>
        <w:pStyle w:val="Heading1"/>
      </w:pPr>
      <w:r>
        <w:t>4. Limites da leitura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A série detecta, não mede área queimada.</w:t>
      </w:r>
      <w:r>
        <w:rPr>
          <w:rFonts w:ascii="Calibri" w:hAnsi="Calibri"/>
          <w:b w:val="0"/>
          <w:sz w:val="20"/>
        </w:rPr>
        <w:t xml:space="preserve"> Um foco é um pixel em que o sensor identificou anomalia térmica. A superfície mede frequência de ocorrência, não extensão do fogo.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A cobertura de satélites mudou ao longo da série.</w:t>
      </w:r>
      <w:r>
        <w:rPr>
          <w:rFonts w:ascii="Calibri" w:hAnsi="Calibri"/>
          <w:b w:val="0"/>
          <w:sz w:val="20"/>
        </w:rPr>
        <w:t xml:space="preserve"> O VIIRS (NPP, NOAA-20, NOAA-21) responde por 1.272 das 1.537 detecções e tem resolução de 375 m, contra 1 km do MODIS. A alta de 25% entre as duas metades da série deve ser lida com essa ressalva: parte dela pode ser ganho de capacidade de detecção, não aumento de fogo.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32% das detecções não trazem FRP.</w:t>
      </w:r>
      <w:r>
        <w:rPr>
          <w:rFonts w:ascii="Calibri" w:hAnsi="Calibri"/>
          <w:b w:val="0"/>
          <w:sz w:val="20"/>
        </w:rPr>
        <w:t xml:space="preserve"> São 488 registros sem medida de potência radiativa no extrato do INPE, concentrados nos primeiros anos. A detecção é válida; falta a intensidade. No mapa esses focos recebem tamanho neutro e anel tracejado.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Um ano isolado não sustenta superfície.</w:t>
      </w:r>
      <w:r>
        <w:rPr>
          <w:rFonts w:ascii="Calibri" w:hAnsi="Calibri"/>
          <w:b w:val="0"/>
          <w:sz w:val="20"/>
        </w:rPr>
        <w:t xml:space="preserve"> Com 6 a 115 focos em 512 km², a densidade anual não é estimável. Por isso a superfície de recorrência cobre sempre os onze anos e não acompanha o filtro de ano.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A classificação por uso do solo não entra na análise.</w:t>
      </w:r>
      <w:r>
        <w:rPr>
          <w:rFonts w:ascii="Calibri" w:hAnsi="Calibri"/>
          <w:b w:val="0"/>
          <w:sz w:val="20"/>
        </w:rPr>
        <w:t xml:space="preserve"> O campo de cobertura presente nos dados vem de um recorte do MapBiomas restrito a áreas do CAR, produzido para outro estudo — comparar o que queima fora de qualquer cadastro, para averiguar parcelamento e limpeza de terreno irregulares. Permanece como atributo, não como classificação deste mapa.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As APPs não concentram queimadas.</w:t>
      </w:r>
      <w:r>
        <w:rPr>
          <w:rFonts w:ascii="Calibri" w:hAnsi="Calibri"/>
          <w:b w:val="0"/>
          <w:sz w:val="20"/>
        </w:rPr>
        <w:t xml:space="preserve"> A hipótese foi testada: na faixa de 30 metros de curso d’água a densidade é de 0,067 foco/km²/ano, metade da média municipal. Não há evidência de pressão de fogo sobre área de preservação permanente nesta série.</w:t>
      </w:r>
    </w:p>
    <w:p>
      <w:pPr>
        <w:pStyle w:val="Heading1"/>
      </w:pPr>
      <w:r>
        <w:t>5. Implicações para a revisão</w:t>
      </w:r>
    </w:p>
    <w:p>
      <w:pPr>
        <w:jc w:val="both"/>
      </w:pPr>
      <w:r>
        <w:rPr>
          <w:rFonts w:ascii="Calibri" w:hAnsi="Calibri"/>
        </w:rPr>
        <w:t>O diagnóstico não prescreve a norma, mas delimita onde ela tem o que dizer: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O fogo é predominantemente urbano em intensidade.</w:t>
      </w:r>
      <w:r>
        <w:rPr>
          <w:rFonts w:ascii="Calibri" w:hAnsi="Calibri"/>
          <w:b w:val="0"/>
          <w:sz w:val="20"/>
        </w:rPr>
        <w:t xml:space="preserve"> Metade dos focos está na Macrozona Urbana e a maior taxa do município está na franja de baixa densidade de edificações. Tratar queimada como tema exclusivamente rural na revisão deixaria de fora onde ela mais ocorre por área.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Há 10,5 km² em recorrência crítica</w:t>
      </w:r>
      <w:r>
        <w:rPr>
          <w:rFonts w:ascii="Calibri" w:hAnsi="Calibri"/>
          <w:b w:val="0"/>
          <w:sz w:val="20"/>
        </w:rPr>
        <w:t>, com um foco esperado a cada dois anos ou menos por km². É uma área pequena o bastante para ação territorializada e grande o bastante para justificar previsão normativa.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A sazonalidade é previsível.</w:t>
      </w:r>
      <w:r>
        <w:rPr>
          <w:rFonts w:ascii="Calibri" w:hAnsi="Calibri"/>
          <w:b w:val="0"/>
          <w:sz w:val="20"/>
        </w:rPr>
        <w:t xml:space="preserve"> Três em cada quatro focos em quatro meses, com pico em julho e agosto, permite planejar prontidão e campanha em janela definida.</w:t>
      </w:r>
    </w:p>
    <w:p>
      <w:pPr>
        <w:pStyle w:val="ListParagraph"/>
        <w:spacing w:after="80"/>
        <w:ind w:left="340"/>
      </w:pPr>
      <w:r>
        <w:rPr>
          <w:rFonts w:ascii="Calibri" w:hAnsi="Calibri"/>
          <w:b w:val="0"/>
          <w:sz w:val="20"/>
        </w:rPr>
      </w:r>
      <w:r>
        <w:rPr>
          <w:rFonts w:ascii="Calibri" w:hAnsi="Calibri"/>
          <w:b/>
          <w:sz w:val="20"/>
        </w:rPr>
        <w:t>A exposição não coincide com a frequência.</w:t>
      </w:r>
      <w:r>
        <w:rPr>
          <w:rFonts w:ascii="Calibri" w:hAnsi="Calibri"/>
          <w:b w:val="0"/>
          <w:sz w:val="20"/>
        </w:rPr>
        <w:t xml:space="preserve"> Bairros de população pequena e alta recorrência — Bocaina, Cardosos, Estiva do Agudo — concentram o risco por morador, e não aparecem no topo do ranking por área.</w:t>
      </w:r>
    </w:p>
    <w:p>
      <w:pPr>
        <w:pStyle w:val="Heading1"/>
      </w:pPr>
      <w:r>
        <w:t>6. Composição da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1305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5043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5043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queimadas/</w:t>
            </w:r>
          </w:p>
        </w:tc>
        <w:tc>
          <w:tcPr>
            <w:tcW w:type="dxa" w:w="5043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Mapa WebGIS completo, com dados e bibliotecas</w:t>
            </w:r>
          </w:p>
        </w:tc>
      </w:tr>
      <w:tr>
        <w:tc>
          <w:tcPr>
            <w:tcW w:type="dxa" w:w="5043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Queimadas_INPE_2015_2025.gpkg</w:t>
            </w:r>
          </w:p>
        </w:tc>
        <w:tc>
          <w:tcPr>
            <w:tcW w:type="dxa" w:w="5043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GeoPackage em SIRGAS 2000 / UTM 23S (EPSG:31983), seis camadas, com projeto QGIS embutido</w:t>
            </w:r>
          </w:p>
        </w:tc>
      </w:tr>
      <w:tr>
        <w:tc>
          <w:tcPr>
            <w:tcW w:type="dxa" w:w="5043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qml/</w:t>
            </w:r>
          </w:p>
        </w:tc>
        <w:tc>
          <w:tcPr>
            <w:tcW w:type="dxa" w:w="5043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Seis arquivos de simbologia, um por camada</w:t>
            </w:r>
          </w:p>
        </w:tc>
      </w:tr>
      <w:tr>
        <w:tc>
          <w:tcPr>
            <w:tcW w:type="dxa" w:w="5043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Queimadas_Relatorio_e_Diagnostico.docx</w:t>
            </w:r>
          </w:p>
        </w:tc>
        <w:tc>
          <w:tcPr>
            <w:tcW w:type="dxa" w:w="5043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Este documento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</w:rPr>
        <w:t>As camadas do GeoPackage: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1305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362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Feições</w:t>
            </w:r>
          </w:p>
        </w:tc>
        <w:tc>
          <w:tcPr>
            <w:tcW w:type="dxa" w:w="3362"/>
            <w:shd w:fill="01305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focos_deteccoes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1.537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Registros brutos do INPE, com o identificador do foco a que cada um pertence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focos_distintos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702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Um registro por incêndio, com número de detecções, satélites, FRP máximo e atributos territoriais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recorrencia_focos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Classes da superfície de densidade, com intervalo de retorno e área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bairros_ibge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60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Bairros do IBGE com focos, área, densidade, tendência, exposição e composição urbana e rural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bacias_hidrograficas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Bacias com focos, área e densidade</w:t>
            </w:r>
          </w:p>
        </w:tc>
      </w:tr>
      <w:tr>
        <w:tc>
          <w:tcPr>
            <w:tcW w:type="dxa" w:w="3362"/>
          </w:tcPr>
          <w:p>
            <w:pPr>
              <w:jc w:val="left"/>
            </w:pPr>
            <w:r/>
            <w:r>
              <w:rPr>
                <w:rFonts w:ascii="Calibri" w:hAnsi="Calibri"/>
                <w:sz w:val="17"/>
              </w:rPr>
              <w:t>limite_municipal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3362"/>
          </w:tcPr>
          <w:p>
            <w:pPr>
              <w:jc w:val="right"/>
            </w:pPr>
            <w:r/>
            <w:r>
              <w:rPr>
                <w:rFonts w:ascii="Calibri" w:hAnsi="Calibri"/>
                <w:sz w:val="17"/>
              </w:rPr>
              <w:t>Perímetro, 512,5 km²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i/>
          <w:color w:val="555555"/>
          <w:sz w:val="17"/>
        </w:rPr>
        <w:t>O projeto QGIS está gravado na tabela qgis_projects do próprio GeoPackage: abrir o arquivo no QGIS carrega as seis camadas já simbolizadas e ordenadas. Os QML servem para aplicar a mesma simbologia a cópias das camadas em outros projetos.</w:t>
      </w:r>
    </w:p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130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175B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175B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