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50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0175BC"/>
          <w:spacing w:val="50"/>
          <w:sz w:val="22"/>
          <w:szCs w:val="22"/>
        </w:rPr>
        <w:t xml:space="preserve">REVISÃO DO PLANO DIRETOR · BRAGANÇA PAULISTA</w:t>
      </w:r>
    </w:p>
    <w:p>
      <w:pPr>
        <w:spacing w:after="180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Leitura Técnica Socioterritorial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999999"/>
          <w:spacing w:val="80"/>
          <w:sz w:val="30"/>
          <w:szCs w:val="30"/>
        </w:rPr>
        <w:t xml:space="preserve">MAPA 10</w:t>
      </w:r>
    </w:p>
    <w:p>
      <w:pPr>
        <w:spacing w:after="140"/>
        <w:jc w:val="center"/>
      </w:pPr>
      <w:r>
        <w:rPr>
          <w:rFonts w:ascii="Calibri" w:cs="Calibri" w:eastAsia="Calibri" w:hAnsi="Calibri"/>
          <w:b/>
          <w:bCs/>
          <w:color w:val="01305A"/>
          <w:sz w:val="44"/>
          <w:szCs w:val="44"/>
        </w:rPr>
        <w:t xml:space="preserve">Densidade Demográfica</w:t>
      </w:r>
    </w:p>
    <w:p>
      <w:pPr>
        <w:pBdr>
          <w:top w:val="single" w:color="FFEF00" w:sz="18" w:space="14"/>
        </w:pBdr>
        <w:spacing w:after="54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Por setor censitário e por bairro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Divisão de Planejamento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Secretaria Municipal de Planejamento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777777"/>
          <w:sz w:val="17"/>
          <w:szCs w:val="17"/>
        </w:rPr>
        <w:t xml:space="preserve">Agosto de 2026</w:t>
      </w:r>
    </w:p>
    <w:p>
      <w:r>
        <w:br w:type="page"/>
      </w:r>
    </w:p>
    <w:p>
      <w:pPr>
        <w:pStyle w:val="Heading1"/>
        <w:pBdr>
          <w:bottom w:val="single" w:color="FFEF00" w:sz="12" w:space="6"/>
        </w:pBdr>
        <w:spacing w:after="165" w:before="340"/>
      </w:pPr>
      <w:r>
        <w:rPr>
          <w:rFonts w:ascii="Calibri" w:cs="Calibri" w:eastAsia="Calibri" w:hAnsi="Calibri"/>
          <w:b/>
          <w:bCs/>
          <w:color w:val="01305A"/>
          <w:sz w:val="28"/>
          <w:szCs w:val="28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FFEF00" w:sz="12" w:space="6"/>
        </w:pBdr>
        <w:spacing w:after="165" w:before="340"/>
      </w:pPr>
      <w:r>
        <w:rPr>
          <w:rFonts w:ascii="Calibri" w:cs="Calibri" w:eastAsia="Calibri" w:hAnsi="Calibri"/>
          <w:b/>
          <w:bCs/>
          <w:color w:val="01305A"/>
          <w:sz w:val="28"/>
          <w:szCs w:val="28"/>
        </w:rPr>
        <w:t xml:space="preserve">1. O que este mapa mostra</w:t>
      </w:r>
    </w:p>
    <w:p>
      <w:pPr>
        <w:spacing w:after="130" w:before="0" w:line="288"/>
      </w:pPr>
      <w:r>
        <w:rPr>
          <w:rFonts w:ascii="Calibri" w:cs="Calibri" w:eastAsia="Calibri" w:hAnsi="Calibri"/>
          <w:sz w:val="20"/>
          <w:szCs w:val="20"/>
        </w:rPr>
        <w:t xml:space="preserve">Densidade demográfica é quantos habitantes existem em cada quilômetro quadrado do território. É um dos indicadores mais diretos para o planejamento urbano: revela onde a cidade está adensada, onde há espaço ocioso e onde a infraestrutura precisa atender mais gente por metro de rede.</w:t>
      </w:r>
    </w:p>
    <w:p>
      <w:pPr>
        <w:spacing w:after="130" w:before="0" w:line="288"/>
      </w:pPr>
      <w:r>
        <w:rPr>
          <w:rFonts w:ascii="Calibri" w:cs="Calibri" w:eastAsia="Calibri" w:hAnsi="Calibri"/>
          <w:sz w:val="20"/>
          <w:szCs w:val="20"/>
        </w:rPr>
        <w:t xml:space="preserve">O mapa apresenta o dado em duas escalas, alternáveis no visualizador.</w:t>
      </w:r>
    </w:p>
    <w:tbl>
      <w:tblPr>
        <w:tblW w:type="dxa" w:w="974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2400"/>
        <w:gridCol w:w="7346"/>
      </w:tblGrid>
      <w:tr>
        <w:trPr>
          <w:tblHeader/>
        </w:trPr>
        <w:tc>
          <w:tcPr>
            <w:tcW w:type="dxa" w:w="2400"/>
            <w:shd w:fill="01305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Escala</w:t>
            </w:r>
          </w:p>
        </w:tc>
        <w:tc>
          <w:tcPr>
            <w:tcW w:type="dxa" w:w="7346"/>
            <w:shd w:fill="01305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 que revela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Bairro (60 unidades)</w:t>
            </w:r>
          </w:p>
        </w:tc>
        <w:tc>
          <w:tcPr>
            <w:tcW w:type="dxa" w:w="73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Visão geral da distribuição da população. Escala adequada para comparar regiões da cidade e orientar decisões de política territorial.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Setor censitário (449 unidades)</w:t>
            </w:r>
          </w:p>
        </w:tc>
        <w:tc>
          <w:tcPr>
            <w:tcW w:type="dxa" w:w="73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Unidade mínima de coleta do Censo. Revela variações internas aos bairros que a média esconde — quadras densas ao lado de vazios.</w:t>
            </w:r>
          </w:p>
        </w:tc>
      </w:tr>
    </w:tbl>
    <w:p>
      <w:pPr>
        <w:spacing w:after="130" w:before="0" w:line="288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Como o dado é calculado: </w:t>
      </w:r>
      <w:r>
        <w:rPr>
          <w:rFonts w:ascii="Calibri" w:cs="Calibri" w:eastAsia="Calibri" w:hAnsi="Calibri"/>
          <w:sz w:val="20"/>
          <w:szCs w:val="20"/>
        </w:rPr>
        <w:t xml:space="preserve">população residente dividida pela área total da unidade. A área total inclui porções não ocupadas — matas, chácaras, glebas vazias. Por isso um bairro extenso com ocupação concentrada aparece menos denso do que se percebe caminhando por ele.</w:t>
      </w:r>
    </w:p>
    <w:p>
      <w:pPr>
        <w:pStyle w:val="Heading1"/>
        <w:pBdr>
          <w:bottom w:val="single" w:color="FFEF00" w:sz="12" w:space="6"/>
        </w:pBdr>
        <w:spacing w:after="165" w:before="340"/>
      </w:pPr>
      <w:r>
        <w:rPr>
          <w:rFonts w:ascii="Calibri" w:cs="Calibri" w:eastAsia="Calibri" w:hAnsi="Calibri"/>
          <w:b/>
          <w:bCs/>
          <w:color w:val="01305A"/>
          <w:sz w:val="28"/>
          <w:szCs w:val="28"/>
        </w:rPr>
        <w:t xml:space="preserve">2. Fonte e método</w:t>
      </w:r>
    </w:p>
    <w:tbl>
      <w:tblPr>
        <w:tblW w:type="dxa" w:w="974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2700"/>
        <w:gridCol w:w="7046"/>
      </w:tblGrid>
      <w:tr>
        <w:trPr>
          <w:tblHeader/>
        </w:trPr>
        <w:tc>
          <w:tcPr>
            <w:tcW w:type="dxa" w:w="2700"/>
            <w:shd w:fill="01305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Item</w:t>
            </w:r>
          </w:p>
        </w:tc>
        <w:tc>
          <w:tcPr>
            <w:tcW w:type="dxa" w:w="7046"/>
            <w:shd w:fill="01305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Definição</w:t>
            </w:r>
          </w:p>
        </w:tc>
      </w:tr>
      <w:tr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Fonte</w:t>
            </w:r>
          </w:p>
        </w:tc>
        <w:tc>
          <w:tcPr>
            <w:tcW w:type="dxa" w:w="70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IBGE — Censo Demográfico 2022, agregados por setor censitário</w:t>
            </w:r>
          </w:p>
        </w:tc>
      </w:tr>
      <w:tr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Camada de referência</w:t>
            </w:r>
          </w:p>
        </w:tc>
        <w:tc>
          <w:tcPr>
            <w:tcW w:type="dxa" w:w="70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Prefeitura de Bragança Paulista — Eixo de logradouro cadastral, agosto de 2026</w:t>
            </w:r>
          </w:p>
        </w:tc>
      </w:tr>
      <w:tr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Variável de população</w:t>
            </w:r>
          </w:p>
        </w:tc>
        <w:tc>
          <w:tcPr>
            <w:tcW w:type="dxa" w:w="70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V0001 — população residente</w:t>
            </w:r>
          </w:p>
        </w:tc>
      </w:tr>
      <w:tr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Variável de área</w:t>
            </w:r>
          </w:p>
        </w:tc>
        <w:tc>
          <w:tcPr>
            <w:tcW w:type="dxa" w:w="70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AREA_KM2 — área oficial do setor, fornecida pelo IBGE</w:t>
            </w:r>
          </w:p>
        </w:tc>
      </w:tr>
      <w:tr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Bairros</w:t>
            </w:r>
          </w:p>
        </w:tc>
        <w:tc>
          <w:tcPr>
            <w:tcW w:type="dxa" w:w="70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Agregação dos setores pelo campo NM_BAIRRO do próprio IBGE</w:t>
            </w:r>
          </w:p>
        </w:tc>
      </w:tr>
      <w:tr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Sistema de referência</w:t>
            </w:r>
          </w:p>
        </w:tc>
        <w:tc>
          <w:tcPr>
            <w:tcW w:type="dxa" w:w="70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SIRGAS 2000 / UTM 23S (EPSG:31983)</w:t>
            </w:r>
          </w:p>
        </w:tc>
      </w:tr>
      <w:tr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Recorte</w:t>
            </w:r>
          </w:p>
        </w:tc>
        <w:tc>
          <w:tcPr>
            <w:tcW w:type="dxa" w:w="70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Município de Bragança Paulista</w:t>
            </w:r>
          </w:p>
        </w:tc>
      </w:tr>
    </w:tbl>
    <w:p>
      <w:pPr>
        <w:spacing w:after="130" w:before="0" w:line="288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Verificação. </w:t>
      </w:r>
      <w:r>
        <w:rPr>
          <w:rFonts w:ascii="Calibri" w:cs="Calibri" w:eastAsia="Calibri" w:hAnsi="Calibri"/>
          <w:sz w:val="20"/>
          <w:szCs w:val="20"/>
        </w:rPr>
        <w:t xml:space="preserve">A soma da população dos 449 setores resulta em 176.811 habitantes, valor idêntico ao divulgado pelo IBGE para o município. A área somada, 512,6 km², difere da área geométrica calculada em menos de 0,1%. Os 60 bairros cobrem integralmente o território, sem sobreposição ou lacuna.</w:t>
      </w:r>
    </w:p>
    <w:p>
      <w:pPr>
        <w:spacing w:after="130" w:before="0" w:line="288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Sobre a delimitação de bairros. </w:t>
      </w:r>
      <w:r>
        <w:rPr>
          <w:rFonts w:ascii="Calibri" w:cs="Calibri" w:eastAsia="Calibri" w:hAnsi="Calibri"/>
          <w:sz w:val="20"/>
          <w:szCs w:val="20"/>
        </w:rPr>
        <w:t xml:space="preserve">Os bairros aqui utilizados são os do recorte censitário do IBGE, não uma delimitação administrativa municipal. Isso garante compatibilidade perfeita com o dado populacional, já que cada setor pertence a um único bairro. Caso o município venha a adotar delimitação oficial distinta, a agregação pode ser refeita a partir dos mesmos setores.</w:t>
      </w:r>
    </w:p>
    <w:p>
      <w:pPr>
        <w:pStyle w:val="Heading1"/>
        <w:pBdr>
          <w:bottom w:val="single" w:color="FFEF00" w:sz="12" w:space="6"/>
        </w:pBdr>
        <w:spacing w:after="165" w:before="340"/>
      </w:pPr>
      <w:r>
        <w:rPr>
          <w:rFonts w:ascii="Calibri" w:cs="Calibri" w:eastAsia="Calibri" w:hAnsi="Calibri"/>
          <w:b/>
          <w:bCs/>
          <w:color w:val="01305A"/>
          <w:sz w:val="28"/>
          <w:szCs w:val="28"/>
        </w:rPr>
        <w:t xml:space="preserve">3. Retrato do município</w:t>
      </w:r>
    </w:p>
    <w:tbl>
      <w:tblPr>
        <w:tblW w:type="dxa" w:w="974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4400"/>
        <w:gridCol w:w="5346"/>
      </w:tblGrid>
      <w:tr>
        <w:trPr>
          <w:tblHeader/>
        </w:trPr>
        <w:tc>
          <w:tcPr>
            <w:tcW w:type="dxa" w:w="4400"/>
            <w:shd w:fill="01305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Indicador</w:t>
            </w:r>
          </w:p>
        </w:tc>
        <w:tc>
          <w:tcPr>
            <w:tcW w:type="dxa" w:w="5346"/>
            <w:shd w:fill="01305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População residente</w:t>
            </w:r>
          </w:p>
        </w:tc>
        <w:tc>
          <w:tcPr>
            <w:tcW w:type="dxa" w:w="53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176.811 habitantes</w:t>
            </w:r>
          </w:p>
        </w:tc>
      </w:tr>
      <w:tr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Área do município</w:t>
            </w:r>
          </w:p>
        </w:tc>
        <w:tc>
          <w:tcPr>
            <w:tcW w:type="dxa" w:w="53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512,6 km²</w:t>
            </w:r>
          </w:p>
        </w:tc>
      </w:tr>
      <w:tr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Densidade municipal</w:t>
            </w:r>
          </w:p>
        </w:tc>
        <w:tc>
          <w:tcPr>
            <w:tcW w:type="dxa" w:w="53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344,9 hab/km²</w:t>
            </w:r>
          </w:p>
        </w:tc>
      </w:tr>
      <w:tr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Densidade em área urbana</w:t>
            </w:r>
          </w:p>
        </w:tc>
        <w:tc>
          <w:tcPr>
            <w:tcW w:type="dxa" w:w="53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1.632 hab/km²</w:t>
            </w:r>
          </w:p>
        </w:tc>
      </w:tr>
      <w:tr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Densidade em área rural</w:t>
            </w:r>
          </w:p>
        </w:tc>
        <w:tc>
          <w:tcPr>
            <w:tcW w:type="dxa" w:w="53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31 hab/km²</w:t>
            </w:r>
          </w:p>
        </w:tc>
      </w:tr>
      <w:tr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Moradores por domicílio</w:t>
            </w:r>
          </w:p>
        </w:tc>
        <w:tc>
          <w:tcPr>
            <w:tcW w:type="dxa" w:w="53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2,79</w:t>
            </w:r>
          </w:p>
        </w:tc>
      </w:tr>
    </w:tbl>
    <w:p>
      <w:pPr>
        <w:spacing w:after="130" w:before="0" w:line="288"/>
      </w:pPr>
      <w:r>
        <w:rPr>
          <w:rFonts w:ascii="Calibri" w:cs="Calibri" w:eastAsia="Calibri" w:hAnsi="Calibri"/>
          <w:sz w:val="20"/>
          <w:szCs w:val="20"/>
        </w:rPr>
        <w:t xml:space="preserve">A densidade municipal de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344,9 hab/km²</w:t>
      </w:r>
      <w:r>
        <w:rPr>
          <w:rFonts w:ascii="Calibri" w:cs="Calibri" w:eastAsia="Calibri" w:hAnsi="Calibri"/>
          <w:sz w:val="20"/>
          <w:szCs w:val="20"/>
        </w:rPr>
        <w:t xml:space="preserve"> é uma média que não descreve bem a realidade de nenhuma parte do município. Ela resulta de dois territórios muito distintos somados na mesma conta.</w:t>
      </w:r>
    </w:p>
    <w:p>
      <w:pPr>
        <w:pStyle w:val="Heading2"/>
        <w:spacing w:after="105" w:before="250"/>
      </w:pPr>
      <w:r>
        <w:rPr>
          <w:rFonts w:ascii="Calibri" w:cs="Calibri" w:eastAsia="Calibri" w:hAnsi="Calibri"/>
          <w:b/>
          <w:bCs/>
          <w:color w:val="0175BC"/>
          <w:sz w:val="23"/>
          <w:szCs w:val="23"/>
        </w:rPr>
        <w:t xml:space="preserve">3.1 Dois territórios</w:t>
      </w:r>
    </w:p>
    <w:tbl>
      <w:tblPr>
        <w:tblW w:type="dxa" w:w="974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2400"/>
        <w:gridCol w:w="1700"/>
        <w:gridCol w:w="1700"/>
        <w:gridCol w:w="1700"/>
        <w:gridCol w:w="2246"/>
      </w:tblGrid>
      <w:tr>
        <w:trPr>
          <w:tblHeader/>
        </w:trPr>
        <w:tc>
          <w:tcPr>
            <w:tcW w:type="dxa" w:w="2400"/>
            <w:shd w:fill="01305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Situação</w:t>
            </w:r>
          </w:p>
        </w:tc>
        <w:tc>
          <w:tcPr>
            <w:tcW w:type="dxa" w:w="1700"/>
            <w:shd w:fill="01305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Setores</w:t>
            </w:r>
          </w:p>
        </w:tc>
        <w:tc>
          <w:tcPr>
            <w:tcW w:type="dxa" w:w="1700"/>
            <w:shd w:fill="01305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População</w:t>
            </w:r>
          </w:p>
        </w:tc>
        <w:tc>
          <w:tcPr>
            <w:tcW w:type="dxa" w:w="1700"/>
            <w:shd w:fill="01305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Área</w:t>
            </w:r>
          </w:p>
        </w:tc>
        <w:tc>
          <w:tcPr>
            <w:tcW w:type="dxa" w:w="2246"/>
            <w:shd w:fill="01305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Densidade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Urbana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376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164.358 (93,0%)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100,7 km² (19,6%)</w:t>
            </w:r>
          </w:p>
        </w:tc>
        <w:tc>
          <w:tcPr>
            <w:tcW w:type="dxa" w:w="22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1.632 hab/km²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Rural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72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12.453 (7,0%)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404,9 km² (80,4%)</w:t>
            </w:r>
          </w:p>
        </w:tc>
        <w:tc>
          <w:tcPr>
            <w:tcW w:type="dxa" w:w="22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31 hab/km²</w:t>
            </w:r>
          </w:p>
        </w:tc>
      </w:tr>
    </w:tbl>
    <w:p>
      <w:pPr>
        <w:spacing w:after="130" w:before="0" w:line="288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93% da população vive em 19,6% do território.</w:t>
      </w:r>
      <w:r>
        <w:rPr>
          <w:rFonts w:ascii="Calibri" w:cs="Calibri" w:eastAsia="Calibri" w:hAnsi="Calibri"/>
          <w:sz w:val="20"/>
          <w:szCs w:val="20"/>
        </w:rPr>
        <w:t xml:space="preserve"> A área urbana concentra 164.358 habitantes em 100,7 km², com densidade 53 vezes maior que a rural. Esse contraste é o dado estruturante do mapa.</w:t>
      </w:r>
    </w:p>
    <w:p>
      <w:pPr>
        <w:pStyle w:val="Heading1"/>
        <w:pBdr>
          <w:bottom w:val="single" w:color="FFEF00" w:sz="12" w:space="6"/>
        </w:pBdr>
        <w:spacing w:after="165" w:before="340"/>
      </w:pPr>
      <w:r>
        <w:rPr>
          <w:rFonts w:ascii="Calibri" w:cs="Calibri" w:eastAsia="Calibri" w:hAnsi="Calibri"/>
          <w:b/>
          <w:bCs/>
          <w:color w:val="01305A"/>
          <w:sz w:val="28"/>
          <w:szCs w:val="28"/>
        </w:rPr>
        <w:t xml:space="preserve">4. Densidade por bairro</w:t>
      </w:r>
    </w:p>
    <w:p>
      <w:pPr>
        <w:pStyle w:val="Heading2"/>
        <w:spacing w:after="105" w:before="250"/>
      </w:pPr>
      <w:r>
        <w:rPr>
          <w:rFonts w:ascii="Calibri" w:cs="Calibri" w:eastAsia="Calibri" w:hAnsi="Calibri"/>
          <w:b/>
          <w:bCs/>
          <w:color w:val="0175BC"/>
          <w:sz w:val="23"/>
          <w:szCs w:val="23"/>
        </w:rPr>
        <w:t xml:space="preserve">4.1 Distribuição por faixa</w:t>
      </w:r>
    </w:p>
    <w:tbl>
      <w:tblPr>
        <w:tblW w:type="dxa" w:w="974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2500"/>
        <w:gridCol w:w="1500"/>
        <w:gridCol w:w="2100"/>
        <w:gridCol w:w="1600"/>
        <w:gridCol w:w="2046"/>
      </w:tblGrid>
      <w:tr>
        <w:trPr>
          <w:tblHeader/>
        </w:trPr>
        <w:tc>
          <w:tcPr>
            <w:tcW w:type="dxa" w:w="2500"/>
            <w:shd w:fill="01305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Faixa (hab/km²)</w:t>
            </w:r>
          </w:p>
        </w:tc>
        <w:tc>
          <w:tcPr>
            <w:tcW w:type="dxa" w:w="1500"/>
            <w:shd w:fill="01305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Bairros</w:t>
            </w:r>
          </w:p>
        </w:tc>
        <w:tc>
          <w:tcPr>
            <w:tcW w:type="dxa" w:w="2100"/>
            <w:shd w:fill="01305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População</w:t>
            </w:r>
          </w:p>
        </w:tc>
        <w:tc>
          <w:tcPr>
            <w:tcW w:type="dxa" w:w="1600"/>
            <w:shd w:fill="01305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% da pop.</w:t>
            </w:r>
          </w:p>
        </w:tc>
        <w:tc>
          <w:tcPr>
            <w:tcW w:type="dxa" w:w="2046"/>
            <w:shd w:fill="01305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Leitura</w:t>
            </w:r>
          </w:p>
        </w:tc>
      </w:tr>
      <w:tr>
        <w:tc>
          <w:tcPr>
            <w:tcW w:type="dxa" w:w="2500"/>
            <w:shd w:fill="F7FC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Até 50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18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6.124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3,5%</w:t>
            </w:r>
          </w:p>
        </w:tc>
        <w:tc>
          <w:tcPr>
            <w:tcW w:type="dxa" w:w="20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Rural disperso</w:t>
            </w:r>
          </w:p>
        </w:tc>
      </w:tr>
      <w:tr>
        <w:tc>
          <w:tcPr>
            <w:tcW w:type="dxa" w:w="2500"/>
            <w:shd w:fill="CCEBC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50 a 200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21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20.093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11,4%</w:t>
            </w:r>
          </w:p>
        </w:tc>
        <w:tc>
          <w:tcPr>
            <w:tcW w:type="dxa" w:w="20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Rural e periurbano</w:t>
            </w:r>
          </w:p>
        </w:tc>
      </w:tr>
      <w:tr>
        <w:tc>
          <w:tcPr>
            <w:tcW w:type="dxa" w:w="2500"/>
            <w:shd w:fill="7BCCC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200 a 1.000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10.167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5,8%</w:t>
            </w:r>
          </w:p>
        </w:tc>
        <w:tc>
          <w:tcPr>
            <w:tcW w:type="dxa" w:w="20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Transição</w:t>
            </w:r>
          </w:p>
        </w:tc>
      </w:tr>
      <w:tr>
        <w:tc>
          <w:tcPr>
            <w:tcW w:type="dxa" w:w="2500"/>
            <w:shd w:fill="2B8CB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1.000 a 3.000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22.614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12,8%</w:t>
            </w:r>
          </w:p>
        </w:tc>
        <w:tc>
          <w:tcPr>
            <w:tcW w:type="dxa" w:w="20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Urbano consolidado</w:t>
            </w:r>
          </w:p>
        </w:tc>
      </w:tr>
      <w:tr>
        <w:tc>
          <w:tcPr>
            <w:tcW w:type="dxa" w:w="2500"/>
            <w:shd w:fill="0868A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3.000 a 5.000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60.384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34,2%</w:t>
            </w:r>
          </w:p>
        </w:tc>
        <w:tc>
          <w:tcPr>
            <w:tcW w:type="dxa" w:w="20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Urbano denso</w:t>
            </w:r>
          </w:p>
        </w:tc>
      </w:tr>
      <w:tr>
        <w:tc>
          <w:tcPr>
            <w:tcW w:type="dxa" w:w="2500"/>
            <w:shd w:fill="08408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Acima de 5.000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57.429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32,5%</w:t>
            </w:r>
          </w:p>
        </w:tc>
        <w:tc>
          <w:tcPr>
            <w:tcW w:type="dxa" w:w="20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Urbano muito denso</w:t>
            </w:r>
          </w:p>
        </w:tc>
      </w:tr>
    </w:tbl>
    <w:p>
      <w:pPr>
        <w:pStyle w:val="Heading2"/>
        <w:spacing w:after="105" w:before="250"/>
      </w:pPr>
      <w:r>
        <w:rPr>
          <w:rFonts w:ascii="Calibri" w:cs="Calibri" w:eastAsia="Calibri" w:hAnsi="Calibri"/>
          <w:b/>
          <w:bCs/>
          <w:color w:val="0175BC"/>
          <w:sz w:val="23"/>
          <w:szCs w:val="23"/>
        </w:rPr>
        <w:t xml:space="preserve">4.2 Os dez bairros mais densos</w:t>
      </w:r>
    </w:p>
    <w:tbl>
      <w:tblPr>
        <w:tblW w:type="dxa" w:w="974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2400"/>
        <w:gridCol w:w="1500"/>
        <w:gridCol w:w="1400"/>
        <w:gridCol w:w="1700"/>
        <w:gridCol w:w="2746"/>
      </w:tblGrid>
      <w:tr>
        <w:trPr>
          <w:tblHeader/>
        </w:trPr>
        <w:tc>
          <w:tcPr>
            <w:tcW w:type="dxa" w:w="2400"/>
            <w:shd w:fill="01305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Bairro</w:t>
            </w:r>
          </w:p>
        </w:tc>
        <w:tc>
          <w:tcPr>
            <w:tcW w:type="dxa" w:w="1500"/>
            <w:shd w:fill="01305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População</w:t>
            </w:r>
          </w:p>
        </w:tc>
        <w:tc>
          <w:tcPr>
            <w:tcW w:type="dxa" w:w="1400"/>
            <w:shd w:fill="01305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Área (km²)</w:t>
            </w:r>
          </w:p>
        </w:tc>
        <w:tc>
          <w:tcPr>
            <w:tcW w:type="dxa" w:w="1700"/>
            <w:shd w:fill="01305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Densidade</w:t>
            </w:r>
          </w:p>
        </w:tc>
        <w:tc>
          <w:tcPr>
            <w:tcW w:type="dxa" w:w="2746"/>
            <w:shd w:fill="01305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Setores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Santa Cruz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7.800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1,02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7.665</w:t>
            </w:r>
          </w:p>
        </w:tc>
        <w:tc>
          <w:tcPr>
            <w:tcW w:type="dxa" w:w="27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17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Cidade Nova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17.815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2,36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7.538</w:t>
            </w:r>
          </w:p>
        </w:tc>
        <w:tc>
          <w:tcPr>
            <w:tcW w:type="dxa" w:w="27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31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São Lourenço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7.593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1,09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6.963</w:t>
            </w:r>
          </w:p>
        </w:tc>
        <w:tc>
          <w:tcPr>
            <w:tcW w:type="dxa" w:w="27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15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Lavapés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6.513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1,10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5.899</w:t>
            </w:r>
          </w:p>
        </w:tc>
        <w:tc>
          <w:tcPr>
            <w:tcW w:type="dxa" w:w="27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16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Aparecida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8.192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1,58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5.177</w:t>
            </w:r>
          </w:p>
        </w:tc>
        <w:tc>
          <w:tcPr>
            <w:tcW w:type="dxa" w:w="27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18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Brasil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9.516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1,87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5.097</w:t>
            </w:r>
          </w:p>
        </w:tc>
        <w:tc>
          <w:tcPr>
            <w:tcW w:type="dxa" w:w="27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20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Matadouro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7.125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1,51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4.718</w:t>
            </w:r>
          </w:p>
        </w:tc>
        <w:tc>
          <w:tcPr>
            <w:tcW w:type="dxa" w:w="27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20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Bianchi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8.857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1,92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4.606</w:t>
            </w:r>
          </w:p>
        </w:tc>
        <w:tc>
          <w:tcPr>
            <w:tcW w:type="dxa" w:w="27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18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Jaguari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26.553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6,99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3.800</w:t>
            </w:r>
          </w:p>
        </w:tc>
        <w:tc>
          <w:tcPr>
            <w:tcW w:type="dxa" w:w="27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50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Centro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4.715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1,36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3.461</w:t>
            </w:r>
          </w:p>
        </w:tc>
        <w:tc>
          <w:tcPr>
            <w:tcW w:type="dxa" w:w="27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18</w:t>
            </w:r>
          </w:p>
        </w:tc>
      </w:tr>
    </w:tbl>
    <w:p>
      <w:pPr>
        <w:spacing w:after="130" w:before="0" w:line="288"/>
      </w:pPr>
      <w:r>
        <w:rPr>
          <w:rFonts w:ascii="Calibri" w:cs="Calibri" w:eastAsia="Calibri" w:hAnsi="Calibri"/>
          <w:sz w:val="20"/>
          <w:szCs w:val="20"/>
        </w:rPr>
        <w:t xml:space="preserve">Esses dez bairros reúnem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104.679 habitantes</w:t>
      </w:r>
      <w:r>
        <w:rPr>
          <w:rFonts w:ascii="Calibri" w:cs="Calibri" w:eastAsia="Calibri" w:hAnsi="Calibri"/>
          <w:sz w:val="20"/>
          <w:szCs w:val="20"/>
        </w:rPr>
        <w:t xml:space="preserve"> —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59,2% da população</w:t>
      </w:r>
      <w:r>
        <w:rPr>
          <w:rFonts w:ascii="Calibri" w:cs="Calibri" w:eastAsia="Calibri" w:hAnsi="Calibri"/>
          <w:sz w:val="20"/>
          <w:szCs w:val="20"/>
        </w:rPr>
        <w:t xml:space="preserve"> do município — em apenas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20,8 km²</w:t>
      </w:r>
      <w:r>
        <w:rPr>
          <w:rFonts w:ascii="Calibri" w:cs="Calibri" w:eastAsia="Calibri" w:hAnsi="Calibri"/>
          <w:sz w:val="20"/>
          <w:szCs w:val="20"/>
        </w:rPr>
        <w:t xml:space="preserve">, ou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4,1% do território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spacing w:after="130" w:before="0" w:line="288"/>
      </w:pPr>
      <w:r>
        <w:rPr>
          <w:rFonts w:ascii="Calibri" w:cs="Calibri" w:eastAsia="Calibri" w:hAnsi="Calibri"/>
          <w:sz w:val="20"/>
          <w:szCs w:val="20"/>
        </w:rPr>
        <w:t xml:space="preserve">Santa Cruz lidera com 7.665 hab/km², seguido de perto por Cidade Nova, que tem mais que o dobro da população em pouco mais que o dobro da área. São bairros de ocupação consolidada, próximos à área central.</w:t>
      </w:r>
    </w:p>
    <w:p>
      <w:pPr>
        <w:pStyle w:val="Heading2"/>
        <w:spacing w:after="105" w:before="250"/>
      </w:pPr>
      <w:r>
        <w:rPr>
          <w:rFonts w:ascii="Calibri" w:cs="Calibri" w:eastAsia="Calibri" w:hAnsi="Calibri"/>
          <w:b/>
          <w:bCs/>
          <w:color w:val="0175BC"/>
          <w:sz w:val="23"/>
          <w:szCs w:val="23"/>
        </w:rPr>
        <w:t xml:space="preserve">4.3 Perfil urbano e rural</w:t>
      </w:r>
    </w:p>
    <w:tbl>
      <w:tblPr>
        <w:tblW w:type="dxa" w:w="974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2900"/>
        <w:gridCol w:w="1600"/>
        <w:gridCol w:w="1900"/>
        <w:gridCol w:w="1700"/>
        <w:gridCol w:w="1646"/>
      </w:tblGrid>
      <w:tr>
        <w:trPr>
          <w:tblHeader/>
        </w:trPr>
        <w:tc>
          <w:tcPr>
            <w:tcW w:type="dxa" w:w="2900"/>
            <w:shd w:fill="01305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Perfil</w:t>
            </w:r>
          </w:p>
        </w:tc>
        <w:tc>
          <w:tcPr>
            <w:tcW w:type="dxa" w:w="1600"/>
            <w:shd w:fill="01305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Bairros</w:t>
            </w:r>
          </w:p>
        </w:tc>
        <w:tc>
          <w:tcPr>
            <w:tcW w:type="dxa" w:w="1900"/>
            <w:shd w:fill="01305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População</w:t>
            </w:r>
          </w:p>
        </w:tc>
        <w:tc>
          <w:tcPr>
            <w:tcW w:type="dxa" w:w="1700"/>
            <w:shd w:fill="01305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Área</w:t>
            </w:r>
          </w:p>
        </w:tc>
        <w:tc>
          <w:tcPr>
            <w:tcW w:type="dxa" w:w="1646"/>
            <w:shd w:fill="01305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% da área</w:t>
            </w:r>
          </w:p>
        </w:tc>
      </w:tr>
      <w:tr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Predominantemente urbano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45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169.377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297,5 km²</w:t>
            </w:r>
          </w:p>
        </w:tc>
        <w:tc>
          <w:tcPr>
            <w:tcW w:type="dxa" w:w="16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58,0%</w:t>
            </w:r>
          </w:p>
        </w:tc>
      </w:tr>
      <w:tr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Predominantemente rural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15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7.434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215,1 km²</w:t>
            </w:r>
          </w:p>
        </w:tc>
        <w:tc>
          <w:tcPr>
            <w:tcW w:type="dxa" w:w="16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42,0%</w:t>
            </w:r>
          </w:p>
        </w:tc>
      </w:tr>
    </w:tbl>
    <w:p>
      <w:pPr>
        <w:spacing w:after="130" w:before="0" w:line="288"/>
      </w:pPr>
      <w:r>
        <w:rPr>
          <w:rFonts w:ascii="Calibri" w:cs="Calibri" w:eastAsia="Calibri" w:hAnsi="Calibri"/>
          <w:sz w:val="20"/>
          <w:szCs w:val="20"/>
        </w:rPr>
        <w:t xml:space="preserve">Os 15 bairros de perfil rural ocupam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42,0% do território</w:t>
      </w:r>
      <w:r>
        <w:rPr>
          <w:rFonts w:ascii="Calibri" w:cs="Calibri" w:eastAsia="Calibri" w:hAnsi="Calibri"/>
          <w:sz w:val="20"/>
          <w:szCs w:val="20"/>
        </w:rPr>
        <w:t xml:space="preserve"> e abrigam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4,2% da população</w:t>
      </w:r>
      <w:r>
        <w:rPr>
          <w:rFonts w:ascii="Calibri" w:cs="Calibri" w:eastAsia="Calibri" w:hAnsi="Calibri"/>
          <w:sz w:val="20"/>
          <w:szCs w:val="20"/>
        </w:rPr>
        <w:t xml:space="preserve">. Couto, Mãe dos Homens e Bocaina têm densidades entre 10 e 14 hab/km² — patamar que caracteriza ocupação rural dispersa.</w:t>
      </w:r>
    </w:p>
    <w:p>
      <w:pPr>
        <w:pStyle w:val="Heading1"/>
        <w:pBdr>
          <w:bottom w:val="single" w:color="FFEF00" w:sz="12" w:space="6"/>
        </w:pBdr>
        <w:spacing w:after="165" w:before="340"/>
      </w:pPr>
      <w:r>
        <w:rPr>
          <w:rFonts w:ascii="Calibri" w:cs="Calibri" w:eastAsia="Calibri" w:hAnsi="Calibri"/>
          <w:b/>
          <w:bCs/>
          <w:color w:val="01305A"/>
          <w:sz w:val="28"/>
          <w:szCs w:val="28"/>
        </w:rPr>
        <w:t xml:space="preserve">5. Densidade por setor censitário</w:t>
      </w:r>
    </w:p>
    <w:p>
      <w:pPr>
        <w:pStyle w:val="Heading2"/>
        <w:spacing w:after="105" w:before="250"/>
      </w:pPr>
      <w:r>
        <w:rPr>
          <w:rFonts w:ascii="Calibri" w:cs="Calibri" w:eastAsia="Calibri" w:hAnsi="Calibri"/>
          <w:b/>
          <w:bCs/>
          <w:color w:val="0175BC"/>
          <w:sz w:val="23"/>
          <w:szCs w:val="23"/>
        </w:rPr>
        <w:t xml:space="preserve">5.1 Distribuição por faixa</w:t>
      </w:r>
    </w:p>
    <w:tbl>
      <w:tblPr>
        <w:tblW w:type="dxa" w:w="974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2500"/>
        <w:gridCol w:w="1500"/>
        <w:gridCol w:w="2100"/>
        <w:gridCol w:w="1600"/>
        <w:gridCol w:w="2046"/>
      </w:tblGrid>
      <w:tr>
        <w:trPr>
          <w:tblHeader/>
        </w:trPr>
        <w:tc>
          <w:tcPr>
            <w:tcW w:type="dxa" w:w="2500"/>
            <w:shd w:fill="01305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Faixa (hab/km²)</w:t>
            </w:r>
          </w:p>
        </w:tc>
        <w:tc>
          <w:tcPr>
            <w:tcW w:type="dxa" w:w="1500"/>
            <w:shd w:fill="01305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Setores</w:t>
            </w:r>
          </w:p>
        </w:tc>
        <w:tc>
          <w:tcPr>
            <w:tcW w:type="dxa" w:w="2100"/>
            <w:shd w:fill="01305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População</w:t>
            </w:r>
          </w:p>
        </w:tc>
        <w:tc>
          <w:tcPr>
            <w:tcW w:type="dxa" w:w="1600"/>
            <w:shd w:fill="01305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% da pop.</w:t>
            </w:r>
          </w:p>
        </w:tc>
        <w:tc>
          <w:tcPr>
            <w:tcW w:type="dxa" w:w="2046"/>
            <w:shd w:fill="01305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Leitura</w:t>
            </w:r>
          </w:p>
        </w:tc>
      </w:tr>
      <w:tr>
        <w:tc>
          <w:tcPr>
            <w:tcW w:type="dxa" w:w="2500"/>
            <w:shd w:fill="DDDDD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Sem população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11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0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0,0%</w:t>
            </w:r>
          </w:p>
        </w:tc>
        <w:tc>
          <w:tcPr>
            <w:tcW w:type="dxa" w:w="20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Sem residentes</w:t>
            </w:r>
          </w:p>
        </w:tc>
      </w:tr>
      <w:tr>
        <w:tc>
          <w:tcPr>
            <w:tcW w:type="dxa" w:w="2500"/>
            <w:shd w:fill="F7FC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Até 500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119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23.094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13,1%</w:t>
            </w:r>
          </w:p>
        </w:tc>
        <w:tc>
          <w:tcPr>
            <w:tcW w:type="dxa" w:w="20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Rural e glebas</w:t>
            </w:r>
          </w:p>
        </w:tc>
      </w:tr>
      <w:tr>
        <w:tc>
          <w:tcPr>
            <w:tcW w:type="dxa" w:w="2500"/>
            <w:shd w:fill="CCEBC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500 a 2.000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54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21.803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12,3%</w:t>
            </w:r>
          </w:p>
        </w:tc>
        <w:tc>
          <w:tcPr>
            <w:tcW w:type="dxa" w:w="20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Periurbano</w:t>
            </w:r>
          </w:p>
        </w:tc>
      </w:tr>
      <w:tr>
        <w:tc>
          <w:tcPr>
            <w:tcW w:type="dxa" w:w="2500"/>
            <w:shd w:fill="7BCCC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2.000 a 5.000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68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30.454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17,2%</w:t>
            </w:r>
          </w:p>
        </w:tc>
        <w:tc>
          <w:tcPr>
            <w:tcW w:type="dxa" w:w="20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Urbano de baixa densidade</w:t>
            </w:r>
          </w:p>
        </w:tc>
      </w:tr>
      <w:tr>
        <w:tc>
          <w:tcPr>
            <w:tcW w:type="dxa" w:w="2500"/>
            <w:shd w:fill="2B8CB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5.000 a 10.000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98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47.699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27,0%</w:t>
            </w:r>
          </w:p>
        </w:tc>
        <w:tc>
          <w:tcPr>
            <w:tcW w:type="dxa" w:w="20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Urbano médio</w:t>
            </w:r>
          </w:p>
        </w:tc>
      </w:tr>
      <w:tr>
        <w:tc>
          <w:tcPr>
            <w:tcW w:type="dxa" w:w="2500"/>
            <w:shd w:fill="0868A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10.000 a 20.000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85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45.763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25,9%</w:t>
            </w:r>
          </w:p>
        </w:tc>
        <w:tc>
          <w:tcPr>
            <w:tcW w:type="dxa" w:w="20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Urbano denso</w:t>
            </w:r>
          </w:p>
        </w:tc>
      </w:tr>
      <w:tr>
        <w:tc>
          <w:tcPr>
            <w:tcW w:type="dxa" w:w="2500"/>
            <w:shd w:fill="08408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Acima de 20.000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14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7.998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4,5%</w:t>
            </w:r>
          </w:p>
        </w:tc>
        <w:tc>
          <w:tcPr>
            <w:tcW w:type="dxa" w:w="20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Muito denso</w:t>
            </w:r>
          </w:p>
        </w:tc>
      </w:tr>
    </w:tbl>
    <w:p>
      <w:pPr>
        <w:spacing w:after="130" w:before="0" w:line="288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Onze setores não têm população residente</w:t>
      </w:r>
      <w:r>
        <w:rPr>
          <w:rFonts w:ascii="Calibri" w:cs="Calibri" w:eastAsia="Calibri" w:hAnsi="Calibri"/>
          <w:sz w:val="20"/>
          <w:szCs w:val="20"/>
        </w:rPr>
        <w:t xml:space="preserve">. São áreas industriais, institucionais ou glebas sem moradores. Aparecem no mapa em cinza, distintos das áreas de baixa densidade.</w:t>
      </w:r>
    </w:p>
    <w:p>
      <w:pPr>
        <w:spacing w:after="130" w:before="0" w:line="288"/>
      </w:pPr>
      <w:r>
        <w:rPr>
          <w:rFonts w:ascii="Calibri" w:cs="Calibri" w:eastAsia="Calibri" w:hAnsi="Calibri"/>
          <w:sz w:val="20"/>
          <w:szCs w:val="20"/>
        </w:rPr>
        <w:t xml:space="preserve">A mediana dos setores é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4.075 hab/km²</w:t>
      </w:r>
      <w:r>
        <w:rPr>
          <w:rFonts w:ascii="Calibri" w:cs="Calibri" w:eastAsia="Calibri" w:hAnsi="Calibri"/>
          <w:sz w:val="20"/>
          <w:szCs w:val="20"/>
        </w:rPr>
        <w:t xml:space="preserve"> e o máximo chega a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73.379 hab/km²</w:t>
      </w:r>
      <w:r>
        <w:rPr>
          <w:rFonts w:ascii="Calibri" w:cs="Calibri" w:eastAsia="Calibri" w:hAnsi="Calibri"/>
          <w:sz w:val="20"/>
          <w:szCs w:val="20"/>
        </w:rPr>
        <w:t xml:space="preserve"> — no bairro Pinheirais, num setor de menos de um hectare. A amplitude entre o setor mais e o menos denso é de mais de setenta mil vezes.</w:t>
      </w:r>
    </w:p>
    <w:p>
      <w:pPr>
        <w:pStyle w:val="Heading2"/>
        <w:spacing w:after="105" w:before="250"/>
      </w:pPr>
      <w:r>
        <w:rPr>
          <w:rFonts w:ascii="Calibri" w:cs="Calibri" w:eastAsia="Calibri" w:hAnsi="Calibri"/>
          <w:b/>
          <w:bCs/>
          <w:color w:val="0175BC"/>
          <w:sz w:val="23"/>
          <w:szCs w:val="23"/>
        </w:rPr>
        <w:t xml:space="preserve">5.2 O que a escala do bairro esconde</w:t>
      </w:r>
    </w:p>
    <w:p>
      <w:pPr>
        <w:spacing w:after="130" w:before="0" w:line="288"/>
      </w:pPr>
      <w:r>
        <w:rPr>
          <w:rFonts w:ascii="Calibri" w:cs="Calibri" w:eastAsia="Calibri" w:hAnsi="Calibri"/>
          <w:sz w:val="20"/>
          <w:szCs w:val="20"/>
        </w:rPr>
        <w:t xml:space="preserve">Este é o principal motivo para o mapa oferecer as duas escalas. A média do bairro pode mascarar diferenças internas enormes, e são justamente essas diferenças que importam para decisões de zoneamento e de infraestrutura.</w:t>
      </w:r>
    </w:p>
    <w:tbl>
      <w:tblPr>
        <w:tblW w:type="dxa" w:w="974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2400"/>
        <w:gridCol w:w="1400"/>
        <w:gridCol w:w="1700"/>
        <w:gridCol w:w="1700"/>
        <w:gridCol w:w="2546"/>
      </w:tblGrid>
      <w:tr>
        <w:trPr>
          <w:tblHeader/>
        </w:trPr>
        <w:tc>
          <w:tcPr>
            <w:tcW w:type="dxa" w:w="2400"/>
            <w:shd w:fill="01305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Bairro</w:t>
            </w:r>
          </w:p>
        </w:tc>
        <w:tc>
          <w:tcPr>
            <w:tcW w:type="dxa" w:w="1400"/>
            <w:shd w:fill="01305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Setores</w:t>
            </w:r>
          </w:p>
        </w:tc>
        <w:tc>
          <w:tcPr>
            <w:tcW w:type="dxa" w:w="1700"/>
            <w:shd w:fill="01305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Menor densidade</w:t>
            </w:r>
          </w:p>
        </w:tc>
        <w:tc>
          <w:tcPr>
            <w:tcW w:type="dxa" w:w="1700"/>
            <w:shd w:fill="01305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Maior densidade</w:t>
            </w:r>
          </w:p>
        </w:tc>
        <w:tc>
          <w:tcPr>
            <w:tcW w:type="dxa" w:w="2546"/>
            <w:shd w:fill="01305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Razão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Jaguari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49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32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28.671</w:t>
            </w:r>
          </w:p>
        </w:tc>
        <w:tc>
          <w:tcPr>
            <w:tcW w:type="dxa" w:w="25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907×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Pinheirais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16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117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73.379</w:t>
            </w:r>
          </w:p>
        </w:tc>
        <w:tc>
          <w:tcPr>
            <w:tcW w:type="dxa" w:w="25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626×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Jardins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23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35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12.629</w:t>
            </w:r>
          </w:p>
        </w:tc>
        <w:tc>
          <w:tcPr>
            <w:tcW w:type="dxa" w:w="25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364×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Bom Retiro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45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4.728</w:t>
            </w:r>
          </w:p>
        </w:tc>
        <w:tc>
          <w:tcPr>
            <w:tcW w:type="dxa" w:w="25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105×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Morro Grande da Boa Vista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14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1.408</w:t>
            </w:r>
          </w:p>
        </w:tc>
        <w:tc>
          <w:tcPr>
            <w:tcW w:type="dxa" w:w="25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100×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Taboão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13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708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47.415</w:t>
            </w:r>
          </w:p>
        </w:tc>
        <w:tc>
          <w:tcPr>
            <w:tcW w:type="dxa" w:w="25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67×</w:t>
            </w:r>
          </w:p>
        </w:tc>
      </w:tr>
    </w:tbl>
    <w:p>
      <w:pPr>
        <w:spacing w:after="130" w:before="0" w:line="288"/>
      </w:pPr>
      <w:r>
        <w:rPr>
          <w:rFonts w:ascii="Calibri" w:cs="Calibri" w:eastAsia="Calibri" w:hAnsi="Calibri"/>
          <w:sz w:val="20"/>
          <w:szCs w:val="20"/>
        </w:rPr>
        <w:t xml:space="preserve">Jaguari é o caso extremo: reúne 50 setores e sua densidade média de 3.800 hab/km² resulta da soma de setores que vão de 32 a 28.671 hab/km² — uma razão de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907 vezes</w:t>
      </w:r>
      <w:r>
        <w:rPr>
          <w:rFonts w:ascii="Calibri" w:cs="Calibri" w:eastAsia="Calibri" w:hAnsi="Calibri"/>
          <w:sz w:val="20"/>
          <w:szCs w:val="20"/>
        </w:rPr>
        <w:t xml:space="preserve">. Tratar esse bairro como unidade homogênea de planejamento seria um erro. Pinheirais apresenta situação semelhante, com razão de 626 vezes.</w:t>
      </w:r>
    </w:p>
    <w:p>
      <w:pPr>
        <w:spacing w:after="130" w:before="0" w:line="288"/>
      </w:pPr>
      <w:r>
        <w:rPr>
          <w:rFonts w:ascii="Calibri" w:cs="Calibri" w:eastAsia="Calibri" w:hAnsi="Calibri"/>
          <w:sz w:val="20"/>
          <w:szCs w:val="20"/>
        </w:rPr>
        <w:t xml:space="preserve">A leitura prática é que os bairros de maior extensão combinam núcleos urbanos consolidados com porções ainda rurais ou vazias. Instrumentos aplicados por bairro inteiro atingiriam realidades muito distintas.</w:t>
      </w:r>
    </w:p>
    <w:p>
      <w:pPr>
        <w:pStyle w:val="Heading1"/>
        <w:pBdr>
          <w:bottom w:val="single" w:color="FFEF00" w:sz="12" w:space="6"/>
        </w:pBdr>
        <w:spacing w:after="165" w:before="340"/>
      </w:pPr>
      <w:r>
        <w:rPr>
          <w:rFonts w:ascii="Calibri" w:cs="Calibri" w:eastAsia="Calibri" w:hAnsi="Calibri"/>
          <w:b/>
          <w:bCs/>
          <w:color w:val="01305A"/>
          <w:sz w:val="28"/>
          <w:szCs w:val="28"/>
        </w:rPr>
        <w:t xml:space="preserve">6. Diagnóstico</w:t>
      </w:r>
    </w:p>
    <w:p>
      <w:pPr>
        <w:pStyle w:val="Heading2"/>
        <w:spacing w:after="105" w:before="250"/>
      </w:pPr>
      <w:r>
        <w:rPr>
          <w:rFonts w:ascii="Calibri" w:cs="Calibri" w:eastAsia="Calibri" w:hAnsi="Calibri"/>
          <w:b/>
          <w:bCs/>
          <w:color w:val="0175BC"/>
          <w:sz w:val="23"/>
          <w:szCs w:val="23"/>
        </w:rPr>
        <w:t xml:space="preserve">6.1 Concentração acentuada</w:t>
      </w:r>
    </w:p>
    <w:p>
      <w:pPr>
        <w:spacing w:after="130" w:before="0" w:line="288"/>
      </w:pPr>
      <w:r>
        <w:rPr>
          <w:rFonts w:ascii="Calibri" w:cs="Calibri" w:eastAsia="Calibri" w:hAnsi="Calibri"/>
          <w:sz w:val="20"/>
          <w:szCs w:val="20"/>
        </w:rPr>
        <w:t xml:space="preserve">A população de Bragança está fortemente concentrada.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59,2% dos habitantes ocupam 4,1% do território</w:t>
      </w:r>
      <w:r>
        <w:rPr>
          <w:rFonts w:ascii="Calibri" w:cs="Calibri" w:eastAsia="Calibri" w:hAnsi="Calibri"/>
          <w:sz w:val="20"/>
          <w:szCs w:val="20"/>
        </w:rPr>
        <w:t xml:space="preserve">. Do ponto de vista da infraestrutura isso é favorável: rede de água, esgoto, coleta e transporte atendem a maior parte da população em área reduzida, com custo por habitante menor.</w:t>
      </w:r>
    </w:p>
    <w:p>
      <w:pPr>
        <w:pStyle w:val="Heading2"/>
        <w:spacing w:after="105" w:before="250"/>
      </w:pPr>
      <w:r>
        <w:rPr>
          <w:rFonts w:ascii="Calibri" w:cs="Calibri" w:eastAsia="Calibri" w:hAnsi="Calibri"/>
          <w:b/>
          <w:bCs/>
          <w:color w:val="0175BC"/>
          <w:sz w:val="23"/>
          <w:szCs w:val="23"/>
        </w:rPr>
        <w:t xml:space="preserve">6.2 Densidade urbana modesta</w:t>
      </w:r>
    </w:p>
    <w:p>
      <w:pPr>
        <w:spacing w:after="130" w:before="0" w:line="288"/>
      </w:pPr>
      <w:r>
        <w:rPr>
          <w:rFonts w:ascii="Calibri" w:cs="Calibri" w:eastAsia="Calibri" w:hAnsi="Calibri"/>
          <w:sz w:val="20"/>
          <w:szCs w:val="20"/>
        </w:rPr>
        <w:t xml:space="preserve">A densidade em área urbana,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1.632 hab/km²</w:t>
      </w:r>
      <w:r>
        <w:rPr>
          <w:rFonts w:ascii="Calibri" w:cs="Calibri" w:eastAsia="Calibri" w:hAnsi="Calibri"/>
          <w:sz w:val="20"/>
          <w:szCs w:val="20"/>
        </w:rPr>
        <w:t xml:space="preserve">, é modesta para o padrão paulista. Mesmo os bairros mais densos não ultrapassam 7.700 hab/km², patamar típico de ocupação horizontal. Não há verticalização expressiva.</w:t>
      </w:r>
    </w:p>
    <w:p>
      <w:pPr>
        <w:spacing w:after="130" w:before="0" w:line="288"/>
      </w:pPr>
      <w:r>
        <w:rPr>
          <w:rFonts w:ascii="Calibri" w:cs="Calibri" w:eastAsia="Calibri" w:hAnsi="Calibri"/>
          <w:sz w:val="20"/>
          <w:szCs w:val="20"/>
        </w:rPr>
        <w:t xml:space="preserve">Isso indica capacidade instalada ociosa nas áreas já servidas por infraestrutura — situação que fundamenta os instrumentos de indução do aproveitamento previstos no Estatuto da Cidade, a serem delimitados na fase de proposições.</w:t>
      </w:r>
    </w:p>
    <w:p>
      <w:pPr>
        <w:pStyle w:val="Heading2"/>
        <w:spacing w:after="105" w:before="250"/>
      </w:pPr>
      <w:r>
        <w:rPr>
          <w:rFonts w:ascii="Calibri" w:cs="Calibri" w:eastAsia="Calibri" w:hAnsi="Calibri"/>
          <w:b/>
          <w:bCs/>
          <w:color w:val="0175BC"/>
          <w:sz w:val="23"/>
          <w:szCs w:val="23"/>
        </w:rPr>
        <w:t xml:space="preserve">6.3 Heterogeneidade interna</w:t>
      </w:r>
    </w:p>
    <w:p>
      <w:pPr>
        <w:spacing w:after="130" w:before="0" w:line="288"/>
      </w:pPr>
      <w:r>
        <w:rPr>
          <w:rFonts w:ascii="Calibri" w:cs="Calibri" w:eastAsia="Calibri" w:hAnsi="Calibri"/>
          <w:sz w:val="20"/>
          <w:szCs w:val="20"/>
        </w:rPr>
        <w:t xml:space="preserve">A amplitude de densidade dentro de um mesmo bairro, chegando a 907 vezes em Jaguari, mostra que a delimitação de bairro não corresponde a unidades homogêneas de ocupação. Para fins de zoneamento, a leitura por setor censitário é mais adequada.</w:t>
      </w:r>
    </w:p>
    <w:p>
      <w:pPr>
        <w:pStyle w:val="Heading2"/>
        <w:spacing w:after="105" w:before="250"/>
      </w:pPr>
      <w:r>
        <w:rPr>
          <w:rFonts w:ascii="Calibri" w:cs="Calibri" w:eastAsia="Calibri" w:hAnsi="Calibri"/>
          <w:b/>
          <w:bCs/>
          <w:color w:val="0175BC"/>
          <w:sz w:val="23"/>
          <w:szCs w:val="23"/>
        </w:rPr>
        <w:t xml:space="preserve">6.4 Rural extenso e pouco povoado</w:t>
      </w:r>
    </w:p>
    <w:p>
      <w:pPr>
        <w:spacing w:after="130" w:before="0" w:line="288"/>
      </w:pPr>
      <w:r>
        <w:rPr>
          <w:rFonts w:ascii="Calibri" w:cs="Calibri" w:eastAsia="Calibri" w:hAnsi="Calibri"/>
          <w:sz w:val="20"/>
          <w:szCs w:val="20"/>
        </w:rPr>
        <w:t xml:space="preserve">Os 404,9 km² de área rural abrigam apenas 12.453 habitantes, densidade de 31 hab/km².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Oitenta por cento do território municipal responde por 7% da população.</w:t>
      </w:r>
      <w:r>
        <w:rPr>
          <w:rFonts w:ascii="Calibri" w:cs="Calibri" w:eastAsia="Calibri" w:hAnsi="Calibri"/>
          <w:sz w:val="20"/>
          <w:szCs w:val="20"/>
        </w:rPr>
        <w:t xml:space="preserve"> Esse dado tem implicação direta sobre custo de atendimento: transporte escolar, coleta e atenção básica de saúde nessas áreas têm custo per capita muito superior.</w:t>
      </w:r>
    </w:p>
    <w:p>
      <w:pPr>
        <w:pStyle w:val="Heading2"/>
        <w:spacing w:after="105" w:before="250"/>
      </w:pPr>
      <w:r>
        <w:rPr>
          <w:rFonts w:ascii="Calibri" w:cs="Calibri" w:eastAsia="Calibri" w:hAnsi="Calibri"/>
          <w:b/>
          <w:bCs/>
          <w:color w:val="0175BC"/>
          <w:sz w:val="23"/>
          <w:szCs w:val="23"/>
        </w:rPr>
        <w:t xml:space="preserve">6.5 Implicações para a revisão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Perímetro urbano. </w:t>
      </w:r>
      <w:r>
        <w:rPr>
          <w:rFonts w:ascii="Calibri" w:cs="Calibri" w:eastAsia="Calibri" w:hAnsi="Calibri"/>
          <w:sz w:val="19"/>
          <w:szCs w:val="19"/>
        </w:rPr>
        <w:t xml:space="preserve">A área urbana censitária ocupa 19,6% do território e concentra 93% da população. O confronto entre esse recorte, o perímetro legal e a mancha construída deve orientar a discussão sobre expansão.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Instrumentos de indução. </w:t>
      </w:r>
      <w:r>
        <w:rPr>
          <w:rFonts w:ascii="Calibri" w:cs="Calibri" w:eastAsia="Calibri" w:hAnsi="Calibri"/>
          <w:sz w:val="19"/>
          <w:szCs w:val="19"/>
        </w:rPr>
        <w:t xml:space="preserve">A baixa densidade nas áreas infraestruturadas sustenta tecnicamente a aplicação de parcelamento compulsório, IPTU progressivo e outorga onerosa. Os setores censitários com densidade abaixo da mediana em área urbana consolidada são candidatos naturais.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Zoneamento por setor, não por bairro. </w:t>
      </w:r>
      <w:r>
        <w:rPr>
          <w:rFonts w:ascii="Calibri" w:cs="Calibri" w:eastAsia="Calibri" w:hAnsi="Calibri"/>
          <w:sz w:val="19"/>
          <w:szCs w:val="19"/>
        </w:rPr>
        <w:t xml:space="preserve">A heterogeneidade interna dos bairros recomenda que os parâmetros urbanísticos sejam definidos em recortes mais finos que a divisão de bairros.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Custo do atendimento rural. </w:t>
      </w:r>
      <w:r>
        <w:rPr>
          <w:rFonts w:ascii="Calibri" w:cs="Calibri" w:eastAsia="Calibri" w:hAnsi="Calibri"/>
          <w:sz w:val="19"/>
          <w:szCs w:val="19"/>
        </w:rPr>
        <w:t xml:space="preserve">A dispersão da população rural precisa ser considerada no dimensionamento de serviços e no debate sobre novos parcelamentos fora da área consolidada.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Setores sem população. </w:t>
      </w:r>
      <w:r>
        <w:rPr>
          <w:rFonts w:ascii="Calibri" w:cs="Calibri" w:eastAsia="Calibri" w:hAnsi="Calibri"/>
          <w:sz w:val="19"/>
          <w:szCs w:val="19"/>
        </w:rPr>
        <w:t xml:space="preserve">Os onze setores sem residentes merecem investigação: podem indicar áreas industriais, institucionais ou glebas vazias em posição estratégica.</w:t>
      </w:r>
    </w:p>
    <w:p>
      <w:pPr>
        <w:pStyle w:val="Heading1"/>
        <w:pBdr>
          <w:bottom w:val="single" w:color="FFEF00" w:sz="12" w:space="6"/>
        </w:pBdr>
        <w:spacing w:after="165" w:before="340"/>
      </w:pPr>
      <w:r>
        <w:rPr>
          <w:rFonts w:ascii="Calibri" w:cs="Calibri" w:eastAsia="Calibri" w:hAnsi="Calibri"/>
          <w:b/>
          <w:bCs/>
          <w:color w:val="01305A"/>
          <w:sz w:val="28"/>
          <w:szCs w:val="28"/>
        </w:rPr>
        <w:t xml:space="preserve">7. Produtos entregues</w:t>
      </w:r>
    </w:p>
    <w:tbl>
      <w:tblPr>
        <w:tblW w:type="dxa" w:w="974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3000"/>
        <w:gridCol w:w="6746"/>
      </w:tblGrid>
      <w:tr>
        <w:trPr>
          <w:tblHeader/>
        </w:trPr>
        <w:tc>
          <w:tcPr>
            <w:tcW w:type="dxa" w:w="3000"/>
            <w:shd w:fill="01305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Produto</w:t>
            </w:r>
          </w:p>
        </w:tc>
        <w:tc>
          <w:tcPr>
            <w:tcW w:type="dxa" w:w="6746"/>
            <w:shd w:fill="01305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Descrição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10_DENSIDADE_DEMOGRAFICA.gpkg</w:t>
            </w:r>
          </w:p>
        </w:tc>
        <w:tc>
          <w:tcPr>
            <w:tcW w:type="dxa" w:w="67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GeoPackage com 4 camadas em EPSG:31983 e projeto QGIS embutido, com simbologia aplicada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Arquivos .qml</w:t>
            </w:r>
          </w:p>
        </w:tc>
        <w:tc>
          <w:tcPr>
            <w:tcW w:type="dxa" w:w="67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Quatro estilos individuais, com classificação própria para cada escala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Projeto .qgs</w:t>
            </w:r>
          </w:p>
        </w:tc>
        <w:tc>
          <w:tcPr>
            <w:tcW w:type="dxa" w:w="67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Projeto QGIS avulso, alternativo ao embutido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Visualizador WebGIS</w:t>
            </w:r>
          </w:p>
        </w:tc>
        <w:tc>
          <w:tcPr>
            <w:tcW w:type="dxa" w:w="67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Mapa interativo com painel de controles à esquerda e painel de legenda à direita, alternância entre escalas, indicador de posição, sistema viário de referência, filtro por faixa, ranking e exportação em JPEG e PDF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Este relatório</w:t>
            </w:r>
          </w:p>
        </w:tc>
        <w:tc>
          <w:tcPr>
            <w:tcW w:type="dxa" w:w="67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Documento técnico de diagnóstico</w:t>
            </w:r>
          </w:p>
        </w:tc>
      </w:tr>
    </w:tbl>
    <w:p>
      <w:pPr>
        <w:pStyle w:val="Heading2"/>
        <w:spacing w:after="105" w:before="250"/>
      </w:pPr>
      <w:r>
        <w:rPr>
          <w:rFonts w:ascii="Calibri" w:cs="Calibri" w:eastAsia="Calibri" w:hAnsi="Calibri"/>
          <w:b/>
          <w:bCs/>
          <w:color w:val="0175BC"/>
          <w:sz w:val="23"/>
          <w:szCs w:val="23"/>
        </w:rPr>
        <w:t xml:space="preserve">7.1 Recursos do visualizador</w:t>
      </w:r>
    </w:p>
    <w:p>
      <w:pPr>
        <w:spacing w:after="130" w:before="0" w:line="288"/>
      </w:pPr>
      <w:r>
        <w:rPr>
          <w:rFonts w:ascii="Calibri" w:cs="Calibri" w:eastAsia="Calibri" w:hAnsi="Calibri"/>
          <w:sz w:val="20"/>
          <w:szCs w:val="20"/>
        </w:rPr>
        <w:t xml:space="preserve">Além da alternância entre escalas, o visualizador incorpora dois recursos de leitura.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Sonda sobre a barra de cores. </w:t>
      </w:r>
      <w:r>
        <w:rPr>
          <w:rFonts w:ascii="Calibri" w:cs="Calibri" w:eastAsia="Calibri" w:hAnsi="Calibri"/>
          <w:sz w:val="19"/>
          <w:szCs w:val="19"/>
        </w:rPr>
        <w:t xml:space="preserve">Gradiente em degraus no painel lateral, refletindo as classes discretas do mapa. Ao passar o cursor sobre a barra, um indicador mostra o valor correspondente em habitantes por km². A escala se ajusta automaticamente à unidade escolhida, já que bairros chegam a 7.666 hab/km² e setores a 73.379.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Painel de legenda à direita. </w:t>
      </w:r>
      <w:r>
        <w:rPr>
          <w:rFonts w:ascii="Calibri" w:cs="Calibri" w:eastAsia="Calibri" w:hAnsi="Calibri"/>
          <w:sz w:val="19"/>
          <w:szCs w:val="19"/>
        </w:rPr>
        <w:t xml:space="preserve">A legenda ocupa um painel fixo à direita, no mesmo padrão dos demais mapas do GeoPortal. Ao passar o cursor sobre um bairro ou setor, um cartão exibe densidade, população, área e a diferença em relação à referência — a média municipal na escala de bairros, a mediana dos setores na escala fina — enquanto uma seta desliza sobre a barra de cores indicando onde aquela unidade se situa na distribuição.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Sistema viário de apoio. </w:t>
      </w:r>
      <w:r>
        <w:rPr>
          <w:rFonts w:ascii="Calibri" w:cs="Calibri" w:eastAsia="Calibri" w:hAnsi="Calibri"/>
          <w:sz w:val="19"/>
          <w:szCs w:val="19"/>
        </w:rPr>
        <w:t xml:space="preserve">Camada de referência visual com o eixo de logradouro da base cadastral municipal — 2.332 vias com classificação viária oficial em cinco níveis: Regional, Arterial, Arterial Secundária, Coletora e Local. A espessura e o brilho da linha acompanham a hierarquia, o que permite reconhecer de imediato os eixos estruturantes. Vem ativada por padrão e não é interativa: o dado do mapa é a densidade, e apenas setores e bairros respondem ao clique.</w:t>
      </w:r>
    </w:p>
    <w:p>
      <w:pPr>
        <w:pStyle w:val="Heading2"/>
        <w:spacing w:after="105" w:before="250"/>
      </w:pPr>
      <w:r>
        <w:rPr>
          <w:rFonts w:ascii="Calibri" w:cs="Calibri" w:eastAsia="Calibri" w:hAnsi="Calibri"/>
          <w:b/>
          <w:bCs/>
          <w:color w:val="0175BC"/>
          <w:sz w:val="23"/>
          <w:szCs w:val="23"/>
        </w:rPr>
        <w:t xml:space="preserve">7.2 Camadas do GeoPackage</w:t>
      </w:r>
    </w:p>
    <w:tbl>
      <w:tblPr>
        <w:tblW w:type="dxa" w:w="974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2900"/>
        <w:gridCol w:w="900"/>
        <w:gridCol w:w="5946"/>
      </w:tblGrid>
      <w:tr>
        <w:trPr>
          <w:tblHeader/>
        </w:trPr>
        <w:tc>
          <w:tcPr>
            <w:tcW w:type="dxa" w:w="2900"/>
            <w:shd w:fill="01305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Camada</w:t>
            </w:r>
          </w:p>
        </w:tc>
        <w:tc>
          <w:tcPr>
            <w:tcW w:type="dxa" w:w="900"/>
            <w:shd w:fill="01305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Feições</w:t>
            </w:r>
          </w:p>
        </w:tc>
        <w:tc>
          <w:tcPr>
            <w:tcW w:type="dxa" w:w="5946"/>
            <w:shd w:fill="01305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Conteúdo</w:t>
            </w:r>
          </w:p>
        </w:tc>
      </w:tr>
      <w:tr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densidade_bairros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60</w:t>
            </w:r>
          </w:p>
        </w:tc>
        <w:tc>
          <w:tcPr>
            <w:tcW w:type="dxa" w:w="59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População, área, densidade, domicílios, moradores por domicílio, perfil urbano ou rural, participação na população e no território</w:t>
            </w:r>
          </w:p>
        </w:tc>
      </w:tr>
      <w:tr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densidade_setores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449</w:t>
            </w:r>
          </w:p>
        </w:tc>
        <w:tc>
          <w:tcPr>
            <w:tcW w:type="dxa" w:w="59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População, área, densidade, domicílios, moradores por domicílio, situação urbana ou rural, bairro de pertencimento</w:t>
            </w:r>
          </w:p>
        </w:tc>
      </w:tr>
      <w:tr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sistema_viario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2.332</w:t>
            </w:r>
          </w:p>
        </w:tc>
        <w:tc>
          <w:tcPr>
            <w:tcW w:type="dxa" w:w="59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Nome da via, hierarquia viária oficial e extensão. No visualizador atua apenas como referência visual, sem interatividade</w:t>
            </w:r>
          </w:p>
        </w:tc>
      </w:tr>
      <w:tr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limite_municipal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59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Limite do município com totais agregados</w:t>
            </w:r>
          </w:p>
        </w:tc>
      </w:tr>
    </w:tbl>
    <w:p>
      <w:pPr>
        <w:pStyle w:val="Heading1"/>
        <w:pBdr>
          <w:bottom w:val="single" w:color="FFEF00" w:sz="12" w:space="6"/>
        </w:pBdr>
        <w:spacing w:after="165" w:before="340"/>
      </w:pPr>
      <w:r>
        <w:rPr>
          <w:rFonts w:ascii="Calibri" w:cs="Calibri" w:eastAsia="Calibri" w:hAnsi="Calibri"/>
          <w:b/>
          <w:bCs/>
          <w:color w:val="01305A"/>
          <w:sz w:val="28"/>
          <w:szCs w:val="28"/>
        </w:rPr>
        <w:t xml:space="preserve">8. Limitações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19"/>
          <w:szCs w:val="19"/>
        </w:rPr>
        <w:t xml:space="preserve">A densidade é calculada sobre a área total da unidade, incluindo porções não ocupadas. Não representa a densidade percebida na área efetivamente construída.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19"/>
          <w:szCs w:val="19"/>
        </w:rPr>
        <w:t xml:space="preserve">Os bairros seguem o recorte censitário do IBGE, que pode não coincidir com a delimitação administrativa ou com a percepção dos moradores.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19"/>
          <w:szCs w:val="19"/>
        </w:rPr>
        <w:t xml:space="preserve">Um setor não possui informação de situação urbana ou rural na base do IBGE; foi classificado como não informada e não tem população residente.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19"/>
          <w:szCs w:val="19"/>
        </w:rPr>
        <w:t xml:space="preserve">Treze setores não têm domicílios ocupados, o que impede o cálculo de moradores por domicílio nessas unidades.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19"/>
          <w:szCs w:val="19"/>
        </w:rPr>
        <w:t xml:space="preserve">O dado é de 2022 e não capta ocupações posteriores ao Censo.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19"/>
          <w:szCs w:val="19"/>
        </w:rPr>
        <w:t xml:space="preserve">A camada viária é de agosto de 2026 e, portanto, mais recente que o dado censitário. Serve apenas à orientação no território, não a análise.</w:t>
      </w: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5"/>
        <w:szCs w:val="15"/>
      </w:rPr>
      <w:t xml:space="preserve">Densidade Demográfica · Bragança Paulista  ·  </w:t>
    </w:r>
    <w:r>
      <w:rPr>
        <w:rFonts w:ascii="Calibri" w:cs="Calibri" w:eastAsia="Calibri" w:hAnsi="Calibri"/>
        <w:color w:val="888888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Densidade Demográfica — Relatório e Diagnóstico</dc:title>
  <dc:creator>Divisão de Planejamento — Prefeitura de Bragança Paulista</dc:creator>
  <cp:lastModifiedBy>Un-named</cp:lastModifiedBy>
  <cp:revision>1</cp:revision>
  <dcterms:created xsi:type="dcterms:W3CDTF">2026-08-21T12:09:01.412Z</dcterms:created>
  <dcterms:modified xsi:type="dcterms:W3CDTF">2026-08-21T12:09:01.413Z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