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30"/>
          <w:szCs w:val="30"/>
        </w:rPr>
        <w:t xml:space="preserve">MAPA 16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4"/>
          <w:szCs w:val="44"/>
        </w:rPr>
        <w:t xml:space="preserve">Demanda Habitacional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Cadastro Habitacional de Interesse Social, 2022 e 2024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Cadastro Habitacional de Interesse Social reúne as famílias que procuraram o poder público em busca de atendimento habitacional. Este mapa apresenta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21.460 inscrições</w:t>
      </w:r>
      <w:r>
        <w:rPr>
          <w:rFonts w:ascii="Calibri" w:cs="Calibri" w:eastAsia="Calibri" w:hAnsi="Calibri"/>
          <w:sz w:val="20"/>
          <w:szCs w:val="20"/>
        </w:rPr>
        <w:t xml:space="preserve"> das edições de 2022 e 2024, distribuídas pelos bairros do município.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Uma distinção que orienta toda a leitura: </w:t>
      </w:r>
      <w:r>
        <w:rPr>
          <w:rFonts w:ascii="Calibri" w:cs="Calibri" w:eastAsia="Calibri" w:hAnsi="Calibri"/>
          <w:sz w:val="20"/>
          <w:szCs w:val="20"/>
        </w:rPr>
        <w:t xml:space="preserve">o CADHI não é um censo da precariedade habitacional. Ele registra a demanda que se manifestou — quem soube do cadastro, teve condições de se inscrever e buscou o atendimento. Bairros com poucas inscrições podem ter demanda real não captada, seja por desinformação, seja por dificuldade de acesso ao serviço.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mapa oferece oito indicadores alternáveis, que cobrem desde o volume bruto da demanda até o perfil socioeconômico das famílias e as condições materiais da moradia.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7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 que revela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Demanda habitacional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Número de famílias inscritas — onde a procura se concentra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Precariedade da moradia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Domicílios declarados precários pelo próprio cadastrado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Área de risco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Domicílios em área de risco — interface direta com a Defesa Civil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Moradia alugada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Principal vetor de insegurança da posse no município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Infraestrutura inadequada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Falhas em água, esgoto, energia ou coleta de lixo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Renda familiar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Mediana em salários mínimos do ano do cadastro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Renda até 1 salário mínimo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Famílias em situação de maior vulnerabilidade econômica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Chefia feminina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Cadastros cujo titular é mulher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Fontes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7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 que fornece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CADHI — edições 2022 e 2024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Inscrições com perfil socioeconômico, condição de moradia e infraestrutura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Abairramento municipal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Delimitação dos 61 bairros para agregação espacial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Eixo de logradouro cadastral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Camada de referência para orientação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Vinculação ao território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planilha do CADHI foi previamente normalizada pelos servidores do cadastro para vincular cada inscrição a um bairro do abairramento municipal.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21.288 das 21.460 inscrições</w:t>
      </w:r>
      <w:r>
        <w:rPr>
          <w:rFonts w:ascii="Calibri" w:cs="Calibri" w:eastAsia="Calibri" w:hAnsi="Calibri"/>
          <w:sz w:val="20"/>
          <w:szCs w:val="20"/>
        </w:rPr>
        <w:t xml:space="preserve"> — 99,2% — foram localizadas. As demais aparecem no cadastro como “não encontrado”: são endereços que não encontraram correspondência na base do cadastro imobiliário municipal e, sem essa confrontação geoespacial, não há como determinar em que bairro se situam.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Dos 61 bairros do município,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54 registram ao menos uma inscrição</w:t>
      </w:r>
      <w:r>
        <w:rPr>
          <w:rFonts w:ascii="Calibri" w:cs="Calibri" w:eastAsia="Calibri" w:hAnsi="Calibri"/>
          <w:sz w:val="20"/>
          <w:szCs w:val="20"/>
        </w:rPr>
        <w:t xml:space="preserve">. Os sete sem nenhum cadastro são SOUZAS, BIRIÇÁ DO CAMPO NOVO/ PQ. RES ROSA DO SUL, SANTA CRISTINA, FAZENDA VELHA, PICO, CAETÊ, ITAPECHINGA.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2.2 Tratamento da renda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renda familiar foi composta pela soma da renda do titular, dos benefícios sociais e da renda do cônjuge. Quatro registros apresentavam valores incompatíveis — números de onze dígitos, característicos de telefone lançado no campo errado — e foram descartados do cálculo por um teto de sessenta mil reais.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conversão para salários mínimos usa o valor vigente no ano de cada inscrição, o que permite comparar 2022 e 2024 sem distorção inflacionária.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2.3 Supressão por amostra insuficiente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Bairros com menos de vinte famílias cadastradas têm seus percentuais e medianas suprimidos, exibindo apenas o número absoluto de inscrições.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São 14 bairros, somando 44 famílias</w:t>
      </w:r>
      <w:r>
        <w:rPr>
          <w:rFonts w:ascii="Calibri" w:cs="Calibri" w:eastAsia="Calibri" w:hAnsi="Calibri"/>
          <w:sz w:val="20"/>
          <w:szCs w:val="20"/>
        </w:rPr>
        <w:t xml:space="preserve"> — 0,2% do cadastro. Nesse porte, um único registro desloca o indicador em dezenas de pontos percentuais, o que produziria manchas de cor sem significado no mapa.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supressão vale para o mapa, para os rankings, para os gráficos da legenda e para o popup, que exibe aviso explicando o motivo. O critério segue o mesmo adotado nos mapas construídos sobre agregados do Censo.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rankings deste relatório consideram apenas bairros com cinquenta inscrições ou mais, critério mais restritivo que o do visualizador, por se tratar de comparação publicada.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2.4 Mediana e média da renda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renda declarada se concentra em valores redondos, o que faz a mediana repetir-se entre bairros: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R$ 1.800 é a mediana de catorze bairros diferentes</w:t>
      </w:r>
      <w:r>
        <w:rPr>
          <w:rFonts w:ascii="Calibri" w:cs="Calibri" w:eastAsia="Calibri" w:hAnsi="Calibri"/>
          <w:sz w:val="20"/>
          <w:szCs w:val="20"/>
        </w:rPr>
        <w:t xml:space="preserve">, inclusive dos sete maiores. A mediana discrimina 22 valores distintos entre os bairros com amostra suficiente, enquanto a média discrimina 40.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Por isso o popup apresenta as duas medidas. A mediana descreve melhor a família típica; a média distingue melhor os bairros entre si. O mapa temático de renda usa a mediana em salários mínimos, preservando a comparabilidade entre as edições de 2022 e 2024.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da demanda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Famílias cadastradas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21.460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Edição de 2022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10.449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Edição de 2024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11.011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Renda familiar mediana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R$ 1.800 (1,35 salário mínimo)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Cômodos por domicílio (mediana)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Tempo de moradia (mediana)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 anos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Chefia feminina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14.414 (67,2%)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renda familiar mediana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R$ 1.800</w:t>
      </w:r>
      <w:r>
        <w:rPr>
          <w:rFonts w:ascii="Calibri" w:cs="Calibri" w:eastAsia="Calibri" w:hAnsi="Calibri"/>
          <w:sz w:val="20"/>
          <w:szCs w:val="20"/>
        </w:rPr>
        <w:t xml:space="preserve"> equivale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1,35 salário mínimo</w:t>
      </w:r>
      <w:r>
        <w:rPr>
          <w:rFonts w:ascii="Calibri" w:cs="Calibri" w:eastAsia="Calibri" w:hAnsi="Calibri"/>
          <w:sz w:val="20"/>
          <w:szCs w:val="20"/>
        </w:rPr>
        <w:t xml:space="preserve">. Metade das famílias cadastradas vive com menos que isso — patamar que as situa integralmente na Faixa 1 dos programas habitacionais federais.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Faixas de renda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1900"/>
        <w:gridCol w:w="1700"/>
        <w:gridCol w:w="32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do total</w:t>
            </w:r>
          </w:p>
        </w:tc>
        <w:tc>
          <w:tcPr>
            <w:tcW w:type="dxa" w:w="32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Leitura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Até 1 SM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5.733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26,7%</w:t>
            </w:r>
          </w:p>
        </w:tc>
        <w:tc>
          <w:tcPr>
            <w:tcW w:type="dxa" w:w="3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Vulnerabilidade extrema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 a 2 SM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11.229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52,3%</w:t>
            </w:r>
          </w:p>
        </w:tc>
        <w:tc>
          <w:tcPr>
            <w:tcW w:type="dxa" w:w="3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Faixa 1 dos programas habitacionais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 a 3 SM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3.069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14,3%</w:t>
            </w:r>
          </w:p>
        </w:tc>
        <w:tc>
          <w:tcPr>
            <w:tcW w:type="dxa" w:w="3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Limite da Faixa 1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 a 5 SM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1.340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6,2%</w:t>
            </w:r>
          </w:p>
        </w:tc>
        <w:tc>
          <w:tcPr>
            <w:tcW w:type="dxa" w:w="3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Faixa 2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Acima de 5 SM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0,4%</w:t>
            </w:r>
          </w:p>
        </w:tc>
        <w:tc>
          <w:tcPr>
            <w:tcW w:type="dxa" w:w="3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Fora do perfil típico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26,7% das famílias vivem com até um salário mínimo</w:t>
      </w:r>
      <w:r>
        <w:rPr>
          <w:rFonts w:ascii="Calibri" w:cs="Calibri" w:eastAsia="Calibri" w:hAnsi="Calibri"/>
          <w:sz w:val="20"/>
          <w:szCs w:val="20"/>
        </w:rPr>
        <w:t xml:space="preserve">. Somadas às da faixa de 1 a 2 salários, chegam a 79,0% — ou seja, quase quatro em cada cinco famílias cadastradas estão na faixa de renda que exige subsídio integral ou quase integral para acesso à moradia.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3.2 Condição de ocupação do imóvel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1900"/>
        <w:gridCol w:w="1700"/>
        <w:gridCol w:w="2946"/>
      </w:tblGrid>
      <w:tr>
        <w:trPr>
          <w:tblHeader/>
        </w:trPr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Forma de ocupação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do total</w:t>
            </w:r>
          </w:p>
        </w:tc>
        <w:tc>
          <w:tcPr>
            <w:tcW w:type="dxa" w:w="2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Implicação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Alugado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12.205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56,9%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Insegurança da posse e comprometimento de renda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Cedido ou com parentes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7.555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35,2%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Coabitação — déficit por convivência forçada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Ocupação irregular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0,4%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Demanda de regularização ou reassentamento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Próprio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231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1,1%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Demanda por melhoria, não por aquisição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Este é o dado mais estruturante do cadastro.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56,9% pagam aluguel e 35,2% moram cedidos ou com parentes</w:t>
      </w:r>
      <w:r>
        <w:rPr>
          <w:rFonts w:ascii="Calibri" w:cs="Calibri" w:eastAsia="Calibri" w:hAnsi="Calibri"/>
          <w:sz w:val="20"/>
          <w:szCs w:val="20"/>
        </w:rPr>
        <w:t xml:space="preserve"> — somados, 92,1% das famílias. Apenas 1,1% têm imóvel próprio.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predominância do aluguel muda a natureza do problema habitacional em Bragança. Não se trata majoritariamente de assentamentos precários consolidados a urbanizar, e sim de famílias inseridas no mercado formal de locação com renda insuficiente para nele se sustentar.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3.3 Condições materiais da moradia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1900"/>
        <w:gridCol w:w="1700"/>
        <w:gridCol w:w="25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do total</w:t>
            </w:r>
          </w:p>
        </w:tc>
        <w:tc>
          <w:tcPr>
            <w:tcW w:type="dxa" w:w="2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Referência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Domicílio precário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3.180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14,8%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Declarado pelo próprio cadastrado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Infraestrutura inadequada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2.065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9,6%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Água, esgoto, energia ou lixo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Esgotamento inadequado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1.766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8,2%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Fossa, clandestino, céu aberto ou ausente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Abastecimento inadequado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1.076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5,0%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Poço, clandestino ou ausente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 área de risco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990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4,6%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Declarado no cadastro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3.4 Perfil das famílias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1900"/>
        <w:gridCol w:w="1700"/>
        <w:gridCol w:w="25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Característica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do total</w:t>
            </w:r>
          </w:p>
        </w:tc>
        <w:tc>
          <w:tcPr>
            <w:tcW w:type="dxa" w:w="2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Chefia feminina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14.414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67,2%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Dois terços dos cadastros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Renda até 1 salário mínimo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5.733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26,7%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Vulnerabilidade econômica extrema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Baixa escolaridade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2.702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12,6%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Analfabeto ou até o 5º ano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Violência doméstica declarada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2,3%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Atendimento prioritário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 zona rural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1.834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8,5%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Demanda dispersa no território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3.5 Faixa etária dos titulares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700"/>
        <w:gridCol w:w="1700"/>
        <w:gridCol w:w="1900"/>
        <w:gridCol w:w="18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Faixa etária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Mulheres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Homens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8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do total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 a 24 anos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1.328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629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1.957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9,1%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 a 39 anos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7.049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3.336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10.385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48,4%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40 a 59 anos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4.754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2.383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7.137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33,3%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60 anos ou mais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1.221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649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1.870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8,7%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pirâmide etária está disponível no visualizador, tanto para o município quanto para cada bairro com amostra suficiente, o que permite identificar bairros com perfil mais envelhecido ou mais jovem que a média.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chefia feminina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67,2% dos cadastros</w:t>
      </w:r>
      <w:r>
        <w:rPr>
          <w:rFonts w:ascii="Calibri" w:cs="Calibri" w:eastAsia="Calibri" w:hAnsi="Calibri"/>
          <w:sz w:val="20"/>
          <w:szCs w:val="20"/>
        </w:rPr>
        <w:t xml:space="preserve"> está muito acima da participação feminina na chefia domiciliar do município e caracteriza a demanda habitacional bragantina como predominantemente feminina. A faixa etária dominante é de 25 a 39 anos, com 48,4% dos titulares.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Distribuição territorial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Onde a demanda se concentra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00"/>
        <w:gridCol w:w="1400"/>
        <w:gridCol w:w="1300"/>
        <w:gridCol w:w="1400"/>
        <w:gridCol w:w="1400"/>
        <w:gridCol w:w="1946"/>
      </w:tblGrid>
      <w:tr>
        <w:trPr>
          <w:tblHeader/>
        </w:trPr>
        <w:tc>
          <w:tcPr>
            <w:tcW w:type="dxa" w:w="2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Bairro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Aluguel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Precário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1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Renda (SM)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JAGUARI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4.341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51,9%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12,4%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4,5%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CIDADE NOVA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3.069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56,3%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13,1%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2,8%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1,39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BIANCHI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1.660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65,1%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19,5%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BRASIL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1.572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55,7%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14,1%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4,6%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JARDINS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1.523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54,8%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16,5%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5,7%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1,38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SANTA CRUZ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1.443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64,4%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15,6%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3,4%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1,34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SÃO LOURENÇO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1.378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62,3%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18,3%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6,4%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1,34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APARECIDA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1.049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64,7%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12,7%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1,42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MATADOURO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771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59,8%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13,5%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2,2%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1,43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PENHA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623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59,2%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15,7%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4,2%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CENTRO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471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70,3%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15,3%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6,4%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1,40</w:t>
            </w:r>
          </w:p>
        </w:tc>
      </w:tr>
      <w:tr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LAVAPÉS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401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72,6%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13,5%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2,0%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Jaguari concentra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4.341 famílias</w:t>
      </w:r>
      <w:r>
        <w:rPr>
          <w:rFonts w:ascii="Calibri" w:cs="Calibri" w:eastAsia="Calibri" w:hAnsi="Calibri"/>
          <w:sz w:val="20"/>
          <w:szCs w:val="20"/>
        </w:rPr>
        <w:t xml:space="preserve"> — 20,2% de toda a demanda municipal. Somado a Cidade Nova, os dois bairros respondem por 34,5% das inscrições.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Essa concentração coincide com os bairros identificados como de maior vulnerabilidade social no Mapa 26 e de maior contingente populacional no Mapa 10, o que confere consistência ao dado.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Onde a precariedade é mais intensa</w:t>
      </w:r>
    </w:p>
    <w:tbl>
      <w:tblPr>
        <w:tblW w:type="dxa" w:w="10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1300"/>
        <w:gridCol w:w="1500"/>
        <w:gridCol w:w="1600"/>
        <w:gridCol w:w="1500"/>
        <w:gridCol w:w="19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Bairro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Precário</w:t>
            </w:r>
          </w:p>
        </w:tc>
        <w:tc>
          <w:tcPr>
            <w:tcW w:type="dxa" w:w="1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Não alvenaria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Infra inad.</w:t>
            </w:r>
          </w:p>
        </w:tc>
        <w:tc>
          <w:tcPr>
            <w:tcW w:type="dxa" w:w="1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Renda (SM)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MENIN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27,4%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45,2%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71,1%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1,16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AGUDO/ MORRO DO AGUDO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23,1%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24,0%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76,0%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1,26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SANTA ROSA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22,4%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35,7%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53,8%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1,32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BIRIÇA DO CAMPINHO/ CAMPINHO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21,9%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41,0%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61,0%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CURITIBANOS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21,3%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37,0%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55,9%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1,25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BIANCHI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1.660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19,5%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33,4%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4,6%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ÁGUA COMPRIDA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18,5%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18,5%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67,4%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SÃO LOURENÇO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1.378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18,3%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31,7%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3,3%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1,34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CAMPO NOVO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148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17,6%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37,2%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56,8%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1,36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BIRIÇÁ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16,7%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33,3%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68,3%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ordenação por precariedade é bem diferente da ordenação por volume. </w:t>
      </w:r>
      <w:r>
        <w:rPr>
          <w:rFonts w:ascii="Calibri" w:cs="Calibri" w:eastAsia="Calibri" w:hAnsi="Calibri"/>
          <w:sz w:val="20"/>
          <w:szCs w:val="20"/>
        </w:rPr>
        <w:t xml:space="preserve">Menin, Agudo, Santa Rosa, Campinho e Curitibanos — bairros periféricos e de perfil rural ou periurbano — apresentam as maiores proporções de domicílios precários, com renda mediana abaixo da média municipal.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Bianchi e São Lourenço são os únicos que aparecem simultaneamente entre os maiores em volume e entre os mais precários, o que os torna prioridade dupla.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Área de risco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700"/>
        <w:gridCol w:w="1700"/>
        <w:gridCol w:w="1700"/>
        <w:gridCol w:w="12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Bairro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 risco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Precário</w:t>
            </w:r>
          </w:p>
        </w:tc>
        <w:tc>
          <w:tcPr>
            <w:tcW w:type="dxa" w:w="12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Renda (SM)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MENIN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18,5%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27,4%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1,16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AGUDO/ MORRO DO AGUDO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14,4%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23,1%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1,26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CURITIBANOS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13,4%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21,3%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1,25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SANTA ROSA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13,3%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22,4%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1,32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BIRIÇÁ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11,7%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16,7%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ARARAS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8,8%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13,8%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BOM RETIRO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7,4%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15,7%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1,40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GUARIPOCABA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7,1%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11,2%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Menin lidera com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18,5% das famílias em área de risco</w:t>
      </w:r>
      <w:r>
        <w:rPr>
          <w:rFonts w:ascii="Calibri" w:cs="Calibri" w:eastAsia="Calibri" w:hAnsi="Calibri"/>
          <w:sz w:val="20"/>
          <w:szCs w:val="20"/>
        </w:rPr>
        <w:t xml:space="preserve">, quatro vezes a média municipal. A lista se sobrepõe quase integralmente à de precariedade, o que sugere que risco e precariedade são manifestações do mesmo processo de ocupação inadequada.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4.4 Infraestrutura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700"/>
        <w:gridCol w:w="1900"/>
        <w:gridCol w:w="1700"/>
        <w:gridCol w:w="10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Bairro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Famílias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Infra inadequada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Esgoto</w:t>
            </w:r>
          </w:p>
        </w:tc>
        <w:tc>
          <w:tcPr>
            <w:tcW w:type="dxa" w:w="1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Rural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ESTIVA DO AGUDO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84,7%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PEREIRAS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77,5%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1,33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AGUDO/ MORRO DO AGUDO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76,0%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1,26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BOA VISTA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75,0%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1,22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ARARAS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72,5%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MENIN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71,1%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1,16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MORRO GRANDE DA BOA VISTA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69,6%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1,35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BIRIÇÁ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68,3%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1,27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inadequação de infraestrutura é fenômeno essencialmente rural. </w:t>
      </w:r>
      <w:r>
        <w:rPr>
          <w:rFonts w:ascii="Calibri" w:cs="Calibri" w:eastAsia="Calibri" w:hAnsi="Calibri"/>
          <w:sz w:val="20"/>
          <w:szCs w:val="20"/>
        </w:rPr>
        <w:t xml:space="preserve">A correlação entre o percentual de infraestrutura inadequada e o percentual de cadastros em zona rural é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0,95</w:t>
      </w:r>
      <w:r>
        <w:rPr>
          <w:rFonts w:ascii="Calibri" w:cs="Calibri" w:eastAsia="Calibri" w:hAnsi="Calibri"/>
          <w:sz w:val="20"/>
          <w:szCs w:val="20"/>
        </w:rPr>
        <w:t xml:space="preserve"> — associação quase perfeita. Nos bairros urbanos consolidados o indicador fica abaixo de 5%.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Relações entre os indicadores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200"/>
        <w:gridCol w:w="1600"/>
        <w:gridCol w:w="3946"/>
      </w:tblGrid>
      <w:tr>
        <w:trPr>
          <w:tblHeader/>
        </w:trPr>
        <w:tc>
          <w:tcPr>
            <w:tcW w:type="dxa" w:w="4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 de indicadores</w:t>
            </w:r>
          </w:p>
        </w:tc>
        <w:tc>
          <w:tcPr>
            <w:tcW w:type="dxa" w:w="1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Correlação</w:t>
            </w:r>
          </w:p>
        </w:tc>
        <w:tc>
          <w:tcPr>
            <w:tcW w:type="dxa" w:w="3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Leitura</w:t>
            </w:r>
          </w:p>
        </w:tc>
      </w:tr>
      <w:tr>
        <w:tc>
          <w:tcPr>
            <w:tcW w:type="dxa" w:w="4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Infraestrutura inadequada × zona rural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0,95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Associação quase perfeita — a carência de infraestrutura é rural</w:t>
            </w:r>
          </w:p>
        </w:tc>
      </w:tr>
      <w:tr>
        <w:tc>
          <w:tcPr>
            <w:tcW w:type="dxa" w:w="4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Área de risco × precariedade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0,67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Forte — risco e precariedade andam juntos</w:t>
            </w:r>
          </w:p>
        </w:tc>
      </w:tr>
      <w:tr>
        <w:tc>
          <w:tcPr>
            <w:tcW w:type="dxa" w:w="4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Aluguel × renda familiar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0,56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Moderada e positiva — quem tem mais renda aluga mais</w:t>
            </w:r>
          </w:p>
        </w:tc>
      </w:tr>
      <w:tr>
        <w:tc>
          <w:tcPr>
            <w:tcW w:type="dxa" w:w="4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Renda até 1 SM × precariedade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0,51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Moderada — menor renda, moradia pior</w:t>
            </w:r>
          </w:p>
        </w:tc>
      </w:tr>
      <w:tr>
        <w:tc>
          <w:tcPr>
            <w:tcW w:type="dxa" w:w="4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Precariedade × renda familiar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-0,49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Moderada e negativa — confirma a anterior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correlação positiva entre aluguel e renda merece atenção. </w:t>
      </w:r>
      <w:r>
        <w:rPr>
          <w:rFonts w:ascii="Calibri" w:cs="Calibri" w:eastAsia="Calibri" w:hAnsi="Calibri"/>
          <w:sz w:val="20"/>
          <w:szCs w:val="20"/>
        </w:rPr>
        <w:t xml:space="preserve">Ela indica que o aluguel não é, no universo do CADHI, indicador de maior pobreza — ao contrário, as famílias com renda um pouco maior conseguem acessar o mercado de locação, enquanto as mais pobres recorrem à coabitação com parentes ou a formas precárias de ocupação.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Isso tem consequência direta para o desenho da política: aluguel social e locação social atendem a um perfil; provisão de unidades e urbanização atendem a outro.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Evolução entre 2022 e 2024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As duas edições do cadastro permitem observar como o perfil da demanda mudou em dois anos.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700"/>
        <w:gridCol w:w="1700"/>
        <w:gridCol w:w="1700"/>
        <w:gridCol w:w="12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2022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2024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Variação</w:t>
            </w:r>
          </w:p>
        </w:tc>
        <w:tc>
          <w:tcPr>
            <w:tcW w:type="dxa" w:w="12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Sentido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Domicílio precário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14,4%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15,3%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+0,9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piora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 área de risco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3,5%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5,7%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+2,2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piora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Aluguel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57,9%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55,9%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-1,9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melhora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Infraestrutura inadequada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8,2%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11,0%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+2,8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piora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Ocupação irregular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0,6%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0,3%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-0,3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melhora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Chefia feminina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63,4%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70,7%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+7,3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piora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Renda até 1 SM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25,2%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28,1%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+2,9 p.p.</w:t>
            </w:r>
          </w:p>
        </w:tc>
        <w:tc>
          <w:tcPr>
            <w:tcW w:type="dxa" w:w="1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piora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Três movimentos se destacam. </w:t>
      </w:r>
      <w:r>
        <w:rPr>
          <w:rFonts w:ascii="Calibri" w:cs="Calibri" w:eastAsia="Calibri" w:hAnsi="Calibri"/>
          <w:sz w:val="20"/>
          <w:szCs w:val="20"/>
        </w:rPr>
        <w:t xml:space="preserve">O percentual de famílias em área de risco subiu 2,2 pontos percentuais, e a inadequação de infraestrutura subiu 2,8 pontos. Ambos indicam deterioração das condições habitacionais entre as famílias cadastradas.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Em sentido oposto, o aluguel caiu 1,9 pontos e a ocupação irregular também recuou. </w:t>
      </w:r>
      <w:r>
        <w:rPr>
          <w:rFonts w:ascii="Calibri" w:cs="Calibri" w:eastAsia="Calibri" w:hAnsi="Calibri"/>
          <w:sz w:val="20"/>
          <w:szCs w:val="20"/>
        </w:rPr>
        <w:t xml:space="preserve">A combinação sugere que parte das famílias que antes pagavam aluguel migrou para coabitação ou para áreas menos estruturadas — o que é compatível com aumento da pressão sobre a renda familiar.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Duas ressalvas: o universo de cadastrados não é o mesmo nas duas edições, e a ampliação da divulgação do cadastro pode ter atraído perfis diferentes. A comparação indica tendência, não medição.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7.1 Demanda de baixíssima renda e majoritariamente feminina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Quatro em cada cinco famílias cadastradas vivem com até dois salários mínimos, e dois terços dos cadastros têm titular mulher.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política habitacional de Bragança atende, na prática, mulheres jovens de baixa renda</w:t>
      </w:r>
      <w:r>
        <w:rPr>
          <w:rFonts w:ascii="Calibri" w:cs="Calibri" w:eastAsia="Calibri" w:hAnsi="Calibri"/>
          <w:sz w:val="20"/>
          <w:szCs w:val="20"/>
        </w:rPr>
        <w:t xml:space="preserve"> — a faixa de 25 a 39 anos concentra 48,4% dos titulares. Esse perfil deveria orientar tanto o desenho das unidades quanto a localização dos empreendimentos, considerando proximidade de creches, escolas e transporte.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7.2 O problema é de acesso, não de assentamento precário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Com 56,9% pagando aluguel e apenas 0,4% em ocupação irregular, o déficit bragantino é predominantemente de acesso e de ônus excessivo com moradia, não de assentamentos informais consolidados. Isso distingue Bragança de municípios metropolitanos maiores e tem implicação direta sobre os instrumentos a mobilizar.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7.3 Concentração territorial clara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Jaguari e Cidade Nova concentram 34,5% da demanda.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Mas os bairros de maior precariedade proporcional são outros</w:t>
      </w:r>
      <w:r>
        <w:rPr>
          <w:rFonts w:ascii="Calibri" w:cs="Calibri" w:eastAsia="Calibri" w:hAnsi="Calibri"/>
          <w:sz w:val="20"/>
          <w:szCs w:val="20"/>
        </w:rPr>
        <w:t xml:space="preserve"> — Menin, Agudo, Santa Rosa, Campinho. A política precisa responder às duas escalas: volume onde a demanda é massiva, intensidade onde a moradia é pior.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7.4 A carência de infraestrutura é rural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correlação de 0,95 entre infraestrutura inadequada e zona rural mostra que o problema de saneamento e serviços entre os cadastrados está concentrado fora da malha urbana. São 1.834 famílias em zona rural, 8,5% do cadastro, com demanda dispersa que não se resolve por provisão habitacional concentrada.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7.5 Sinais de deterioração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aumento simultâneo de famílias em área de risco e com infraestrutura inadequada entre 2022 e 2024 merece acompanhamento na próxima edição do cadastro. Se confirmado, indica que a ausência de resposta habitacional está empurrando famílias para situações piores.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7.6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Delimitação de ZEIS. </w:t>
      </w:r>
      <w:r>
        <w:rPr>
          <w:rFonts w:ascii="Calibri" w:cs="Calibri" w:eastAsia="Calibri" w:hAnsi="Calibri"/>
          <w:sz w:val="19"/>
          <w:szCs w:val="19"/>
        </w:rPr>
        <w:t xml:space="preserve">Os bairros com maior precariedade proporcional — Menin, Agudo, Santa Rosa, Campinho, Curitibanos — somados aos de maior volume de demanda, compõem a base técnica para a delimitação de Zonas Especiais de Interesse Social.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ZEIS de vazio. </w:t>
      </w:r>
      <w:r>
        <w:rPr>
          <w:rFonts w:ascii="Calibri" w:cs="Calibri" w:eastAsia="Calibri" w:hAnsi="Calibri"/>
          <w:sz w:val="19"/>
          <w:szCs w:val="19"/>
        </w:rPr>
        <w:t xml:space="preserve">Como o déficit é de acesso e não de assentamento consolidado, os 26.553 lotes vazios identificados no cadastro imobiliário ganham peso: ZEIS de vazio em áreas infraestruturadas atendem diretamente esse perfil.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Locação social. </w:t>
      </w:r>
      <w:r>
        <w:rPr>
          <w:rFonts w:ascii="Calibri" w:cs="Calibri" w:eastAsia="Calibri" w:hAnsi="Calibri"/>
          <w:sz w:val="19"/>
          <w:szCs w:val="19"/>
        </w:rPr>
        <w:t xml:space="preserve">A predominância do aluguel e a correlação positiva entre aluguel e renda indicam que programas de locação social e de subsídio ao aluguel atenderiam parcela expressiva da demanda com custo unitário menor que a provisão.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Articulação com a Defesa Civil. </w:t>
      </w:r>
      <w:r>
        <w:rPr>
          <w:rFonts w:ascii="Calibri" w:cs="Calibri" w:eastAsia="Calibri" w:hAnsi="Calibri"/>
          <w:sz w:val="19"/>
          <w:szCs w:val="19"/>
        </w:rPr>
        <w:t xml:space="preserve">As 990 famílias em área de risco devem ser confrontadas com o mapeamento de risco da Defesa Civil para verificar convergência e definir prioridade de reassentamento.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Atendimento prioritário. </w:t>
      </w:r>
      <w:r>
        <w:rPr>
          <w:rFonts w:ascii="Calibri" w:cs="Calibri" w:eastAsia="Calibri" w:hAnsi="Calibri"/>
          <w:sz w:val="19"/>
          <w:szCs w:val="19"/>
        </w:rPr>
        <w:t xml:space="preserve">As 500 famílias com violência doméstica declarada e as 1.657 com pessoa com deficiência exigem critérios de priorização e adaptação nas unidades.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Cobertura do cadastro. </w:t>
      </w:r>
      <w:r>
        <w:rPr>
          <w:rFonts w:ascii="Calibri" w:cs="Calibri" w:eastAsia="Calibri" w:hAnsi="Calibri"/>
          <w:sz w:val="19"/>
          <w:szCs w:val="19"/>
        </w:rPr>
        <w:t xml:space="preserve">Os sete bairros sem nenhuma inscrição devem ser verificados: ausência de demanda ou ausência de acesso ao cadastro são situações distintas e exigem respostas diferentes.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6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16_HABITACAO_CADHI.gpkg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GeoPackage com 2 camadas em EPSG:31983 e projeto QGIS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Arquivos .qml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Sete estilos, um por indicador principal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Projeto .qgs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Projeto QGIS avulso, alternativo ao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Visualizador WebGIS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Mapa interativo com oito indicadores, painel de legenda com indicador de posição, popups com gráficos comparativos e exportação em JPEG e PDF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Este relatório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Documento técnico de diagnóstico</w:t>
            </w:r>
          </w:p>
        </w:tc>
      </w:tr>
    </w:tbl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900"/>
        <w:gridCol w:w="59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Feições</w:t>
            </w:r>
          </w:p>
        </w:tc>
        <w:tc>
          <w:tcPr>
            <w:tcW w:type="dxa" w:w="5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Conteúdo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habitacao_bairros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Contagem de cadastros, renda mediana, percentuais de aluguel, precariedade, risco, infraestrutura, construção, escolaridade, chefia feminina, deficiência e faixas de renda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Limite do município com totais agregados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9.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CADHI registra a demanda que procurou o poder público, não a totalidade da precariedade habitacional do município.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dados de precariedade, risco e infraestrutura são autodeclarados pelo cadastrado, sem verificação de campo.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172 inscrições não encontraram correspondência na base do cadastro imobiliário e, por isso, não puderam ser vinculadas a um bairro.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Sete bairros não registram nenhuma inscrição, o que pode indicar ausência de demanda ou ausência de acesso ao cadastro.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comparação entre 2022 e 2024 envolve universos distintos de cadastrados e indica tendência, não medição.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Bairros com menos de vinte inscrições têm percentuais e medianas suprimidos por insuficiência de amostra.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dados de tipo de construção foram excluídos desta análise por insuficiente confiabilidade do preenchimento.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cadastro não registra o valor do aluguel pago, o que impediria calcular o comprometimento de renda com moradia.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Habitação · Demanda do CADHI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Habitação — Demanda do CADHI — Relatório e Diagnóstico</dc:title>
  <dc:creator>Divisão de Planejamento — Prefeitura de Bragança Paulista</dc:creator>
  <cp:lastModifiedBy>Un-named</cp:lastModifiedBy>
  <cp:revision>1</cp:revision>
  <dcterms:created xsi:type="dcterms:W3CDTF">2026-09-25T17:44:43.053Z</dcterms:created>
  <dcterms:modified xsi:type="dcterms:W3CDTF">2026-09-25T17:44:43.053Z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