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175BC"/>
          <w:spacing w:val="50"/>
          <w:sz w:val="22"/>
          <w:szCs w:val="22"/>
        </w:rPr>
        <w:t xml:space="preserve">REVISÃO DO PLANO DIRETOR · BRAGANÇA PAULISTA</w:t>
      </w:r>
    </w:p>
    <w:p>
      <w:pPr>
        <w:spacing w:after="18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Leitura Técnica Socioterritorial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999999"/>
          <w:spacing w:val="80"/>
          <w:sz w:val="30"/>
          <w:szCs w:val="30"/>
        </w:rPr>
        <w:t xml:space="preserve">MAPA 26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color w:val="01305A"/>
          <w:sz w:val="44"/>
          <w:szCs w:val="44"/>
        </w:rPr>
        <w:t xml:space="preserve">Vulnerabilidade Social</w:t>
      </w:r>
    </w:p>
    <w:p>
      <w:pPr>
        <w:pBdr>
          <w:top w:val="single" w:color="FFEF00" w:sz="18" w:space="14"/>
        </w:pBdr>
        <w:spacing w:after="54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IPVS 2022 e indicadores sociais do Censo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Divisão de Planejamento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Secretaria Municipal de Planejamento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Agosto de 2026</w:t>
      </w:r>
    </w:p>
    <w:p>
      <w:r>
        <w:br w:type="page"/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1. O que este mapa mostra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O Índice Paulista de Vulnerabilidade Social, produzido pela Fundação SEADE, classifica cada setor censitário em seis níveis, do menos ao mais vulnerável, combinando três dimensões: renda domiciliar, escolaridade da pessoa responsável e composição familiar — especialmente a presença de crianças pequenas e de mulheres jovens chefes de família.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É importante entender o que o índice não mede. </w:t>
      </w:r>
      <w:r>
        <w:rPr>
          <w:rFonts w:ascii="Calibri" w:cs="Calibri" w:eastAsia="Calibri" w:hAnsi="Calibri"/>
          <w:sz w:val="20"/>
          <w:szCs w:val="20"/>
        </w:rPr>
        <w:t xml:space="preserve">O IPVS não avalia infraestrutura urbana, acesso a serviços ou condições da habitação. Trata-se de um retrato socioeconômico das famílias, não do território construído. Por isso este mapa cruza o índice com indicadores do Censo que ajudam a compor a leitura territorial: escolaridade, cor ou raça, tipologia de domicílio e composição familiar.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100"/>
        <w:gridCol w:w="7646"/>
      </w:tblGrid>
      <w:tr>
        <w:trPr>
          <w:tblHeader/>
        </w:trPr>
        <w:tc>
          <w:tcPr>
            <w:tcW w:type="dxa" w:w="21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Classe</w:t>
            </w:r>
          </w:p>
        </w:tc>
        <w:tc>
          <w:tcPr>
            <w:tcW w:type="dxa" w:w="76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Nível de vulnerabilidade</w:t>
            </w:r>
          </w:p>
        </w:tc>
      </w:tr>
      <w:tr>
        <w:tc>
          <w:tcPr>
            <w:tcW w:type="dxa" w:w="2100"/>
            <w:shd w:fill="2B83B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7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Baixíssima</w:t>
            </w:r>
          </w:p>
        </w:tc>
      </w:tr>
      <w:tr>
        <w:tc>
          <w:tcPr>
            <w:tcW w:type="dxa" w:w="2100"/>
            <w:shd w:fill="80BFAB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7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Muito Baixa</w:t>
            </w:r>
          </w:p>
        </w:tc>
      </w:tr>
      <w:tr>
        <w:tc>
          <w:tcPr>
            <w:tcW w:type="dxa" w:w="2100"/>
            <w:shd w:fill="C7E8AD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7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Baixa</w:t>
            </w:r>
          </w:p>
        </w:tc>
      </w:tr>
      <w:tr>
        <w:tc>
          <w:tcPr>
            <w:tcW w:type="dxa" w:w="2100"/>
            <w:shd w:fill="FFFFBF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7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Média</w:t>
            </w:r>
          </w:p>
        </w:tc>
      </w:tr>
      <w:tr>
        <w:tc>
          <w:tcPr>
            <w:tcW w:type="dxa" w:w="2100"/>
            <w:shd w:fill="FEC980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7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2100"/>
            <w:shd w:fill="F07C4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7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Muito Alta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O mapa apresenta o dado em duas escalas alternáveis: por setor censitário, que é a unidade de cálculo do índice, e por bairro, que agrega os setores e facilita a leitura geral.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2. Fontes e método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Fonte</w:t>
            </w:r>
          </w:p>
        </w:tc>
        <w:tc>
          <w:tcPr>
            <w:tcW w:type="dxa" w:w="71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 que fornece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Fundação SEADE — IPVS 2022</w:t>
            </w:r>
          </w:p>
        </w:tc>
        <w:tc>
          <w:tcPr>
            <w:tcW w:type="dxa" w:w="7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Classificação de vulnerabilidade por setor censitário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IBGE — Censo Demográfico 2022</w:t>
            </w:r>
          </w:p>
        </w:tc>
        <w:tc>
          <w:tcPr>
            <w:tcW w:type="dxa" w:w="7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População, domicílios, escolaridade, cor ou raça e tipologia habitacional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Prefeitura de Bragança Paulista</w:t>
            </w:r>
          </w:p>
        </w:tc>
        <w:tc>
          <w:tcPr>
            <w:tcW w:type="dxa" w:w="7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Eixo de logradouro cadastral, camada de referência</w:t>
            </w:r>
          </w:p>
        </w:tc>
      </w:tr>
    </w:tbl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2.1 Procedimentos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Recorte do IPVS estadual para os 449 setores de Bragança Paulista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Vinculação dos agregados do Censo 2022 pelo código do setor, com validação da soma populacional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Cálculo dos percentuais de analfabetismo, cor ou raça, tipologia de domicílio e composição familiar por setor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Agregação por bairro, com a classe predominante definida pela maior população e cálculo do IPVS médio ponderado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Verificação. </w:t>
      </w:r>
      <w:r>
        <w:rPr>
          <w:rFonts w:ascii="Calibri" w:cs="Calibri" w:eastAsia="Calibri" w:hAnsi="Calibri"/>
          <w:sz w:val="20"/>
          <w:szCs w:val="20"/>
        </w:rPr>
        <w:t xml:space="preserve">Os 449 setores somam 176.811 habitantes, valor idêntico ao divulgado pelo IBGE para o município.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2.2 Setores não classificados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59 setores</w:t>
      </w:r>
      <w:r>
        <w:rPr>
          <w:rFonts w:ascii="Calibri" w:cs="Calibri" w:eastAsia="Calibri" w:hAnsi="Calibri"/>
          <w:sz w:val="20"/>
          <w:szCs w:val="20"/>
        </w:rPr>
        <w:t xml:space="preserve"> — reunindo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2.756 habitantes</w:t>
      </w:r>
      <w:r>
        <w:rPr>
          <w:rFonts w:ascii="Calibri" w:cs="Calibri" w:eastAsia="Calibri" w:hAnsi="Calibri"/>
          <w:sz w:val="20"/>
          <w:szCs w:val="20"/>
        </w:rPr>
        <w:t xml:space="preserve">, ou 1,6% da população — não recebem classificação do SEADE por terem população insuficiente para o cálculo estatístico do índice. Aparecem no mapa em cinza-azulado, distintos das classes de vulnerabilidade, e seus demais dados do Censo permanecem disponíveis no popup. Todos os cálculos e percentuais deste relatório consideram apenas a população classificada, 174.055 habitantes.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3. Retrato do município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4400"/>
        <w:gridCol w:w="5346"/>
      </w:tblGrid>
      <w:tr>
        <w:trPr>
          <w:tblHeader/>
        </w:trPr>
        <w:tc>
          <w:tcPr>
            <w:tcW w:type="dxa" w:w="4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type="dxa" w:w="53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População total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176.811 habitantes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População classificada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174.055 (98,4%)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IPVS médio ponderado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2,79 — entre baixa e muito baixa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Em alta ou muito alta vulnerabilidade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26.900 (15,5%)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Analfabetos com 15 anos ou mais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2,7%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Pretos e pardos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29,8%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Domicílios precários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63 (0,10%)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Moradores por domicílio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2,78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O IPVS médio 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2,79</w:t>
      </w:r>
      <w:r>
        <w:rPr>
          <w:rFonts w:ascii="Calibri" w:cs="Calibri" w:eastAsia="Calibri" w:hAnsi="Calibri"/>
          <w:sz w:val="20"/>
          <w:szCs w:val="20"/>
        </w:rPr>
        <w:t xml:space="preserve"> situa Bragança numa posição intermediária, mais próxima da baixa vulnerabilidade. Ainda assim,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26.900 pessoas</w:t>
      </w:r>
      <w:r>
        <w:rPr>
          <w:rFonts w:ascii="Calibri" w:cs="Calibri" w:eastAsia="Calibri" w:hAnsi="Calibri"/>
          <w:sz w:val="20"/>
          <w:szCs w:val="20"/>
        </w:rPr>
        <w:t xml:space="preserve"> vivem em áreas de alta ou muito alta vulnerabilidade — contingente equivalente à população inteira de vários municípios da Região Imediata.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3.1 Distribuição por classe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100"/>
        <w:gridCol w:w="2100"/>
        <w:gridCol w:w="1300"/>
        <w:gridCol w:w="1800"/>
        <w:gridCol w:w="1500"/>
        <w:gridCol w:w="1946"/>
      </w:tblGrid>
      <w:tr>
        <w:trPr>
          <w:tblHeader/>
        </w:trPr>
        <w:tc>
          <w:tcPr>
            <w:tcW w:type="dxa" w:w="11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Classe</w:t>
            </w:r>
          </w:p>
        </w:tc>
        <w:tc>
          <w:tcPr>
            <w:tcW w:type="dxa" w:w="21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Nível</w:t>
            </w:r>
          </w:p>
        </w:tc>
        <w:tc>
          <w:tcPr>
            <w:tcW w:type="dxa" w:w="13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Setores</w:t>
            </w:r>
          </w:p>
        </w:tc>
        <w:tc>
          <w:tcPr>
            <w:tcW w:type="dxa" w:w="18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População</w:t>
            </w:r>
          </w:p>
        </w:tc>
        <w:tc>
          <w:tcPr>
            <w:tcW w:type="dxa" w:w="15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% da pop.</w:t>
            </w:r>
          </w:p>
        </w:tc>
        <w:tc>
          <w:tcPr>
            <w:tcW w:type="dxa" w:w="19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Leitura</w:t>
            </w:r>
          </w:p>
        </w:tc>
      </w:tr>
      <w:tr>
        <w:tc>
          <w:tcPr>
            <w:tcW w:type="dxa" w:w="11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100"/>
            <w:shd w:fill="2B83B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Baixíssima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dxa" w:w="1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10.860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6,1%</w:t>
            </w:r>
          </w:p>
        </w:tc>
        <w:tc>
          <w:tcPr>
            <w:tcW w:type="dxa" w:w="1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Menor vulnerabilidade</w:t>
            </w:r>
          </w:p>
        </w:tc>
      </w:tr>
      <w:tr>
        <w:tc>
          <w:tcPr>
            <w:tcW w:type="dxa" w:w="11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100"/>
            <w:shd w:fill="80BFAB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Muito Baixa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190</w:t>
            </w:r>
          </w:p>
        </w:tc>
        <w:tc>
          <w:tcPr>
            <w:tcW w:type="dxa" w:w="1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81.506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46,1%</w:t>
            </w:r>
          </w:p>
        </w:tc>
        <w:tc>
          <w:tcPr>
            <w:tcW w:type="dxa" w:w="1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Menor vulnerabilidade</w:t>
            </w:r>
          </w:p>
        </w:tc>
      </w:tr>
      <w:tr>
        <w:tc>
          <w:tcPr>
            <w:tcW w:type="dxa" w:w="11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100"/>
            <w:shd w:fill="C7E8AD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Baixa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85</w:t>
            </w:r>
          </w:p>
        </w:tc>
        <w:tc>
          <w:tcPr>
            <w:tcW w:type="dxa" w:w="1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41.468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23,5%</w:t>
            </w:r>
          </w:p>
        </w:tc>
        <w:tc>
          <w:tcPr>
            <w:tcW w:type="dxa" w:w="1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Intermediária</w:t>
            </w:r>
          </w:p>
        </w:tc>
      </w:tr>
      <w:tr>
        <w:tc>
          <w:tcPr>
            <w:tcW w:type="dxa" w:w="11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100"/>
            <w:shd w:fill="FFFFBF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Média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36</w:t>
            </w:r>
          </w:p>
        </w:tc>
        <w:tc>
          <w:tcPr>
            <w:tcW w:type="dxa" w:w="1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13.321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7,5%</w:t>
            </w:r>
          </w:p>
        </w:tc>
        <w:tc>
          <w:tcPr>
            <w:tcW w:type="dxa" w:w="1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Média</w:t>
            </w:r>
          </w:p>
        </w:tc>
      </w:tr>
      <w:tr>
        <w:tc>
          <w:tcPr>
            <w:tcW w:type="dxa" w:w="11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100"/>
            <w:shd w:fill="FEC980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Alta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54</w:t>
            </w:r>
          </w:p>
        </w:tc>
        <w:tc>
          <w:tcPr>
            <w:tcW w:type="dxa" w:w="1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26.677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15,1%</w:t>
            </w:r>
          </w:p>
        </w:tc>
        <w:tc>
          <w:tcPr>
            <w:tcW w:type="dxa" w:w="1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Maior vulnerabilidade</w:t>
            </w:r>
          </w:p>
        </w:tc>
      </w:tr>
      <w:tr>
        <w:tc>
          <w:tcPr>
            <w:tcW w:type="dxa" w:w="11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2100"/>
            <w:shd w:fill="F07C4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Muito Alta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223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0,1%</w:t>
            </w:r>
          </w:p>
        </w:tc>
        <w:tc>
          <w:tcPr>
            <w:tcW w:type="dxa" w:w="1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Maior vulnerabilidade</w:t>
            </w:r>
          </w:p>
        </w:tc>
      </w:tr>
      <w:tr>
        <w:tc>
          <w:tcPr>
            <w:tcW w:type="dxa" w:w="11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00"/>
            <w:shd w:fill="DDDDDD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Não classificado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59</w:t>
            </w:r>
          </w:p>
        </w:tc>
        <w:tc>
          <w:tcPr>
            <w:tcW w:type="dxa" w:w="1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2.756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1,6%</w:t>
            </w:r>
          </w:p>
        </w:tc>
        <w:tc>
          <w:tcPr>
            <w:tcW w:type="dxa" w:w="1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Sem cálculo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classe 2, muito baixa vulnerabilidade, concentra quase metade da população. Na outra ponta, apenas um setor foi classificado como de muito alta vulnerabilidade, com 223 moradores, localizado no bairro Jaguari.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4. O gradiente social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Cruzar o IPVS com os indicadores do Censo permite verificar se as classes de vulnerabilidade correspondem, de fato, a diferenças sociais mensuráveis no território. A tabela abaixo mostra que sim, e de forma consistente.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900"/>
        <w:gridCol w:w="1300"/>
        <w:gridCol w:w="1400"/>
        <w:gridCol w:w="1500"/>
        <w:gridCol w:w="1300"/>
        <w:gridCol w:w="1200"/>
        <w:gridCol w:w="1146"/>
      </w:tblGrid>
      <w:tr>
        <w:trPr>
          <w:tblHeader/>
        </w:trPr>
        <w:tc>
          <w:tcPr>
            <w:tcW w:type="dxa" w:w="1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Classe</w:t>
            </w:r>
          </w:p>
        </w:tc>
        <w:tc>
          <w:tcPr>
            <w:tcW w:type="dxa" w:w="13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População</w:t>
            </w:r>
          </w:p>
        </w:tc>
        <w:tc>
          <w:tcPr>
            <w:tcW w:type="dxa" w:w="1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Analfabetos</w:t>
            </w:r>
          </w:p>
        </w:tc>
        <w:tc>
          <w:tcPr>
            <w:tcW w:type="dxa" w:w="15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Pretos e pardos</w:t>
            </w:r>
          </w:p>
        </w:tc>
        <w:tc>
          <w:tcPr>
            <w:tcW w:type="dxa" w:w="13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Apartamentos</w:t>
            </w:r>
          </w:p>
        </w:tc>
        <w:tc>
          <w:tcPr>
            <w:tcW w:type="dxa" w:w="12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5+ moradores</w:t>
            </w:r>
          </w:p>
        </w:tc>
        <w:tc>
          <w:tcPr>
            <w:tcW w:type="dxa" w:w="11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Crianças</w:t>
            </w:r>
          </w:p>
        </w:tc>
      </w:tr>
      <w:tr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Baixíssima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10.860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0,4%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10,6%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15,0%</w:t>
            </w:r>
          </w:p>
        </w:tc>
        <w:tc>
          <w:tcPr>
            <w:tcW w:type="dxa" w:w="1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6,6%</w:t>
            </w:r>
          </w:p>
        </w:tc>
        <w:tc>
          <w:tcPr>
            <w:tcW w:type="dxa" w:w="1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11,8%</w:t>
            </w:r>
          </w:p>
        </w:tc>
      </w:tr>
      <w:tr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Muito Baixa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81.506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2,2%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26,6%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7,5%</w:t>
            </w:r>
          </w:p>
        </w:tc>
        <w:tc>
          <w:tcPr>
            <w:tcW w:type="dxa" w:w="1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8,4%</w:t>
            </w:r>
          </w:p>
        </w:tc>
        <w:tc>
          <w:tcPr>
            <w:tcW w:type="dxa" w:w="1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10,6%</w:t>
            </w:r>
          </w:p>
        </w:tc>
      </w:tr>
      <w:tr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Baixa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41.468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2,1%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32,1%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27,9%</w:t>
            </w:r>
          </w:p>
        </w:tc>
        <w:tc>
          <w:tcPr>
            <w:tcW w:type="dxa" w:w="1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7,5%</w:t>
            </w:r>
          </w:p>
        </w:tc>
        <w:tc>
          <w:tcPr>
            <w:tcW w:type="dxa" w:w="1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11,8%</w:t>
            </w:r>
          </w:p>
        </w:tc>
      </w:tr>
      <w:tr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Média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13.321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5,5%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37,8%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4,3%</w:t>
            </w:r>
          </w:p>
        </w:tc>
        <w:tc>
          <w:tcPr>
            <w:tcW w:type="dxa" w:w="1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11,6%</w:t>
            </w:r>
          </w:p>
        </w:tc>
        <w:tc>
          <w:tcPr>
            <w:tcW w:type="dxa" w:w="1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12,2%</w:t>
            </w:r>
          </w:p>
        </w:tc>
      </w:tr>
      <w:tr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Alta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26.677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4,8%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39,9%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13,0%</w:t>
            </w:r>
          </w:p>
        </w:tc>
        <w:tc>
          <w:tcPr>
            <w:tcW w:type="dxa" w:w="1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11,1%</w:t>
            </w:r>
          </w:p>
        </w:tc>
        <w:tc>
          <w:tcPr>
            <w:tcW w:type="dxa" w:w="1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13,1%</w:t>
            </w:r>
          </w:p>
        </w:tc>
      </w:tr>
      <w:tr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Muito Alta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223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16,1%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57,4%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0,0%</w:t>
            </w:r>
          </w:p>
        </w:tc>
        <w:tc>
          <w:tcPr>
            <w:tcW w:type="dxa" w:w="1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6,0%</w:t>
            </w:r>
          </w:p>
        </w:tc>
        <w:tc>
          <w:tcPr>
            <w:tcW w:type="dxa" w:w="1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12,6%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 analfabetismo acompanha a escala com precisão: </w:t>
      </w:r>
      <w:r>
        <w:rPr>
          <w:rFonts w:ascii="Calibri" w:cs="Calibri" w:eastAsia="Calibri" w:hAnsi="Calibri"/>
          <w:sz w:val="20"/>
          <w:szCs w:val="20"/>
        </w:rPr>
        <w:t xml:space="preserve">0,4% na classe 1, 2,2% na classe 2, chegando a 16,1% na classe 6 — quarenta vezes mais que na classe menos vulnerável, e seis vezes a média municipal.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 proporção de pretos e pardos cresce de forma igualmente linear</w:t>
      </w:r>
      <w:r>
        <w:rPr>
          <w:rFonts w:ascii="Calibri" w:cs="Calibri" w:eastAsia="Calibri" w:hAnsi="Calibri"/>
          <w:sz w:val="20"/>
          <w:szCs w:val="20"/>
        </w:rPr>
        <w:t xml:space="preserve"> — 10,6% na classe 1, 26,6% na 2, 32,1% na 3, 37,8% na 4, 39,9% na 5 e 57,4% na classe 6. A média municipal é de 29,8%. Trata-se de correspondência direta entre vulnerabilidade social e composição racial da população, o que caracteriza a dimensão racial da desigualdade territorial em Bragança.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 composição familiar segue o mesmo padrão. </w:t>
      </w:r>
      <w:r>
        <w:rPr>
          <w:rFonts w:ascii="Calibri" w:cs="Calibri" w:eastAsia="Calibri" w:hAnsi="Calibri"/>
          <w:sz w:val="20"/>
          <w:szCs w:val="20"/>
        </w:rPr>
        <w:t xml:space="preserve">Domicílios com cinco ou mais moradores representam 6,6% na classe 1 e sobem para 11,1% na classe 5. A proporção de crianças de zero a nove anos vai de 11,8% para 13,1%, confirmando o peso da presença infantil na definição do índice.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4.1 O caso do setor de muito alta vulnerabilidade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O único setor classificado como de muito alta vulnerabilidade concentra todos os indicadores no extremo: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16,1% de analfabetos, 57,4% de pretos e pardos e 16,9% dos domicílios em condição precária</w:t>
      </w:r>
      <w:r>
        <w:rPr>
          <w:rFonts w:ascii="Calibri" w:cs="Calibri" w:eastAsia="Calibri" w:hAnsi="Calibri"/>
          <w:sz w:val="20"/>
          <w:szCs w:val="20"/>
        </w:rPr>
        <w:t xml:space="preserve"> — cortiços, estruturas degradadas ou improvisadas. Nos demais setores do município esse percentual não passa de 0,13%. Fica no bairro Jaguari, tem 223 moradores e nenhum apartamento.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5. Distribuição territorial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5.1 Bairros com maior população vulnerável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200"/>
        <w:gridCol w:w="1500"/>
        <w:gridCol w:w="1700"/>
        <w:gridCol w:w="1400"/>
        <w:gridCol w:w="1300"/>
        <w:gridCol w:w="1646"/>
      </w:tblGrid>
      <w:tr>
        <w:trPr>
          <w:tblHeader/>
        </w:trPr>
        <w:tc>
          <w:tcPr>
            <w:tcW w:type="dxa" w:w="22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Bairro</w:t>
            </w:r>
          </w:p>
        </w:tc>
        <w:tc>
          <w:tcPr>
            <w:tcW w:type="dxa" w:w="15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População</w:t>
            </w:r>
          </w:p>
        </w:tc>
        <w:tc>
          <w:tcPr>
            <w:tcW w:type="dxa" w:w="1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Em alta vuln.</w:t>
            </w:r>
          </w:p>
        </w:tc>
        <w:tc>
          <w:tcPr>
            <w:tcW w:type="dxa" w:w="1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% do bairro</w:t>
            </w:r>
          </w:p>
        </w:tc>
        <w:tc>
          <w:tcPr>
            <w:tcW w:type="dxa" w:w="13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IPVS médio</w:t>
            </w:r>
          </w:p>
        </w:tc>
        <w:tc>
          <w:tcPr>
            <w:tcW w:type="dxa" w:w="16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Classe predominante</w:t>
            </w:r>
          </w:p>
        </w:tc>
      </w:tr>
      <w:tr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Jaguari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26.553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8.868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33,4%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3,48</w:t>
            </w:r>
          </w:p>
        </w:tc>
        <w:tc>
          <w:tcPr>
            <w:tcW w:type="dxa" w:w="1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Cidade Nova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17.815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3.414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19,2%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3,11</w:t>
            </w:r>
          </w:p>
        </w:tc>
        <w:tc>
          <w:tcPr>
            <w:tcW w:type="dxa" w:w="1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Muito Baixa</w:t>
            </w:r>
          </w:p>
        </w:tc>
      </w:tr>
      <w:tr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Bianchi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8.857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3.194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36,1%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3,63</w:t>
            </w:r>
          </w:p>
        </w:tc>
        <w:tc>
          <w:tcPr>
            <w:tcW w:type="dxa" w:w="1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Baixa</w:t>
            </w:r>
          </w:p>
        </w:tc>
      </w:tr>
      <w:tr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Penha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3.819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2.365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61,9%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3,97</w:t>
            </w:r>
          </w:p>
        </w:tc>
        <w:tc>
          <w:tcPr>
            <w:tcW w:type="dxa" w:w="1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Brasil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9.516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1.977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20,8%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3,23</w:t>
            </w:r>
          </w:p>
        </w:tc>
        <w:tc>
          <w:tcPr>
            <w:tcW w:type="dxa" w:w="1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Baixa</w:t>
            </w:r>
          </w:p>
        </w:tc>
      </w:tr>
      <w:tr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Jardins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13.134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1.807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13,8%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2,75</w:t>
            </w:r>
          </w:p>
        </w:tc>
        <w:tc>
          <w:tcPr>
            <w:tcW w:type="dxa" w:w="1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Muito Baixa</w:t>
            </w:r>
          </w:p>
        </w:tc>
      </w:tr>
      <w:tr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São Lourenço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7.593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1.275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16,8%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2,96</w:t>
            </w:r>
          </w:p>
        </w:tc>
        <w:tc>
          <w:tcPr>
            <w:tcW w:type="dxa" w:w="1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Muito Baixa</w:t>
            </w:r>
          </w:p>
        </w:tc>
      </w:tr>
      <w:tr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Santa Cruz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7.800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564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7,2%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2,50</w:t>
            </w:r>
          </w:p>
        </w:tc>
        <w:tc>
          <w:tcPr>
            <w:tcW w:type="dxa" w:w="1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Muito Baixa</w:t>
            </w:r>
          </w:p>
        </w:tc>
      </w:tr>
      <w:tr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Campinho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559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559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100,0%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5,00</w:t>
            </w:r>
          </w:p>
        </w:tc>
        <w:tc>
          <w:tcPr>
            <w:tcW w:type="dxa" w:w="1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Menin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1.422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547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38,5%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4,26</w:t>
            </w:r>
          </w:p>
        </w:tc>
        <w:tc>
          <w:tcPr>
            <w:tcW w:type="dxa" w:w="1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Média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Jaguari concentra o maior contingente absoluto: 8.868 pessoas em alta vulnerabilidade, um terço de seus moradores.</w:t>
      </w:r>
      <w:r>
        <w:rPr>
          <w:rFonts w:ascii="Calibri" w:cs="Calibri" w:eastAsia="Calibri" w:hAnsi="Calibri"/>
          <w:sz w:val="20"/>
          <w:szCs w:val="20"/>
        </w:rPr>
        <w:t xml:space="preserve"> Em termos proporcionais, porém, os casos mais críticos são Campinho, onde a totalidade da população está em alta vulnerabilidade, e Penha, com 61,9%.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Cidade Nova aparece em segundo lugar em números absolutos com 3.414 pessoas, mas sua classe predominante é muito baixa vulnerabilidade — evidência de que bairros grandes combinam realidades opostas.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5.2 Heterogeneidade interna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amplitude entre as classes presentes dentro de um mesmo bairro é o argumento central para consultar o mapa também na escala de setor censitário.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600"/>
        <w:gridCol w:w="1500"/>
        <w:gridCol w:w="1900"/>
        <w:gridCol w:w="1900"/>
        <w:gridCol w:w="1846"/>
      </w:tblGrid>
      <w:tr>
        <w:trPr>
          <w:tblHeader/>
        </w:trPr>
        <w:tc>
          <w:tcPr>
            <w:tcW w:type="dxa" w:w="26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Bairro</w:t>
            </w:r>
          </w:p>
        </w:tc>
        <w:tc>
          <w:tcPr>
            <w:tcW w:type="dxa" w:w="15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Setores</w:t>
            </w:r>
          </w:p>
        </w:tc>
        <w:tc>
          <w:tcPr>
            <w:tcW w:type="dxa" w:w="1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Classe mínima</w:t>
            </w:r>
          </w:p>
        </w:tc>
        <w:tc>
          <w:tcPr>
            <w:tcW w:type="dxa" w:w="1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Classe máxima</w:t>
            </w:r>
          </w:p>
        </w:tc>
        <w:tc>
          <w:tcPr>
            <w:tcW w:type="dxa" w:w="18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População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Jaguari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47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8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26.538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Taboão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8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4.764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Bianchi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8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8.857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Brasil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8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9.516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Cidade Nova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31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8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17.815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Jardins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8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13.043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Jaguari reúne setores da classe 2 à classe 6 — toda a extensão da escala a partir da muito baixa. </w:t>
      </w:r>
      <w:r>
        <w:rPr>
          <w:rFonts w:ascii="Calibri" w:cs="Calibri" w:eastAsia="Calibri" w:hAnsi="Calibri"/>
          <w:sz w:val="20"/>
          <w:szCs w:val="20"/>
        </w:rPr>
        <w:t xml:space="preserve">Taboão vai da classe 1 à 5. Instrumentos de política social aplicados por bairro inteiro atingiriam realidades radicalmente distintas dentro do mesmo perímetro.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5.3 Urbano e rural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400"/>
        <w:gridCol w:w="1700"/>
        <w:gridCol w:w="2000"/>
        <w:gridCol w:w="1800"/>
        <w:gridCol w:w="1846"/>
      </w:tblGrid>
      <w:tr>
        <w:trPr>
          <w:tblHeader/>
        </w:trPr>
        <w:tc>
          <w:tcPr>
            <w:tcW w:type="dxa" w:w="2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Situação</w:t>
            </w:r>
          </w:p>
        </w:tc>
        <w:tc>
          <w:tcPr>
            <w:tcW w:type="dxa" w:w="1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Setores</w:t>
            </w:r>
          </w:p>
        </w:tc>
        <w:tc>
          <w:tcPr>
            <w:tcW w:type="dxa" w:w="2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População</w:t>
            </w:r>
          </w:p>
        </w:tc>
        <w:tc>
          <w:tcPr>
            <w:tcW w:type="dxa" w:w="18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IPVS médio</w:t>
            </w:r>
          </w:p>
        </w:tc>
        <w:tc>
          <w:tcPr>
            <w:tcW w:type="dxa" w:w="18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Em alta vuln.</w:t>
            </w:r>
          </w:p>
        </w:tc>
      </w:tr>
      <w:tr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Urbana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344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162.770</w:t>
            </w:r>
          </w:p>
        </w:tc>
        <w:tc>
          <w:tcPr>
            <w:tcW w:type="dxa" w:w="1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2,78</w:t>
            </w:r>
          </w:p>
        </w:tc>
        <w:tc>
          <w:tcPr>
            <w:tcW w:type="dxa" w:w="18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15,8%</w:t>
            </w:r>
          </w:p>
        </w:tc>
      </w:tr>
      <w:tr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Rural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46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11.285</w:t>
            </w:r>
          </w:p>
        </w:tc>
        <w:tc>
          <w:tcPr>
            <w:tcW w:type="dxa" w:w="1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3,01</w:t>
            </w:r>
          </w:p>
        </w:tc>
        <w:tc>
          <w:tcPr>
            <w:tcW w:type="dxa" w:w="18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11,0%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área rural apresenta IPVS médio ligeiramente superior ao urbano, mas menor proporção de população em alta vulnerabilidade. A vulnerabilidade rural é mais difusa; a urbana, mais concentrada em bolsões.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5.4 Vulnerabilidade e densidade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correlação entre classe de IPVS e densidade demográfica é de apenas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0,09</w:t>
      </w:r>
      <w:r>
        <w:rPr>
          <w:rFonts w:ascii="Calibri" w:cs="Calibri" w:eastAsia="Calibri" w:hAnsi="Calibri"/>
          <w:sz w:val="20"/>
          <w:szCs w:val="20"/>
        </w:rPr>
        <w:t xml:space="preserve">, estatisticamente desprezível. Vulnerabilidade social e adensamento populacional são fenômenos independentes em Bragança: há áreas densas de baixa vulnerabilidade e áreas vulneráveis de baixa densidade. Isso desautoriza usar densidade como indicador indireto de vulnerabilidade no planejamento.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6. Diagnóstico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6.1 Vulnerabilidade concentrada, não generalizada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Com 84,5% da população em classes de baixa a muito baixa vulnerabilidade, Bragança não apresenta quadro de vulnerabilidade disseminada. O desafio é territorialmente localizado: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26.900 pessoas em bolsões identificáveis</w:t>
      </w:r>
      <w:r>
        <w:rPr>
          <w:rFonts w:ascii="Calibri" w:cs="Calibri" w:eastAsia="Calibri" w:hAnsi="Calibri"/>
          <w:sz w:val="20"/>
          <w:szCs w:val="20"/>
        </w:rPr>
        <w:t xml:space="preserve">, principalmente em Jaguari, Bianchi, Penha, Campinho e Menin.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6.2 A dimensão racial da desigualdade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progressão da proporção de pretos e pardos ao longo das classes — de 10,6% na menos vulnerável a 57,4% na mais vulnerável — não é coincidência estatística. Indica que a desigualdade social em Bragança tem recorte racial claro, e que políticas territoriais de redução de vulnerabilidade terão efeito redistributivo também nessa dimensão.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6.3 Educação como marcador mais sensível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Entre todos os indicadores cruzados, o analfabetismo é o que mais varia entre as classes — quarenta vezes entre os extremos. É o marcador mais sensível de vulnerabilidade no território e sugere que ações de educação de jovens e adultos deveriam ser espacializadas segundo este mapa.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6.4 Precariedade habitacional pontual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Apenas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63 domicílios</w:t>
      </w:r>
      <w:r>
        <w:rPr>
          <w:rFonts w:ascii="Calibri" w:cs="Calibri" w:eastAsia="Calibri" w:hAnsi="Calibri"/>
          <w:sz w:val="20"/>
          <w:szCs w:val="20"/>
        </w:rPr>
        <w:t xml:space="preserve"> em todo o município se enquadram como cortiços, estruturas degradadas ou improvisadas — 0,1% do total. É número baixo, mas concentrado: no setor de muito alta vulnerabilidade eles representam 16,9% dos domicílios. Precariedade habitacional em Bragança é fenômeno pontual e muito localizado, o que a torna tratável por intervenção dirigida.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6.5 Implicações para a revisão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Delimitação de ZEIS. </w:t>
      </w:r>
      <w:r>
        <w:rPr>
          <w:rFonts w:ascii="Calibri" w:cs="Calibri" w:eastAsia="Calibri" w:hAnsi="Calibri"/>
          <w:sz w:val="19"/>
          <w:szCs w:val="19"/>
        </w:rPr>
        <w:t xml:space="preserve">Os setores de classe 5 e 6, somados aos bairros com maior proporção de população vulnerável, são a base técnica para a delimitação de Zonas Especiais de Interesse Social, exigidas pelo Estatuto da Cidade.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Escala de intervenção. </w:t>
      </w:r>
      <w:r>
        <w:rPr>
          <w:rFonts w:ascii="Calibri" w:cs="Calibri" w:eastAsia="Calibri" w:hAnsi="Calibri"/>
          <w:sz w:val="19"/>
          <w:szCs w:val="19"/>
        </w:rPr>
        <w:t xml:space="preserve">A heterogeneidade interna dos bairros recomenda que programas sociais e habitacionais sejam definidos em recorte de setor censitário, não de bairro.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Localização de equipamentos. </w:t>
      </w:r>
      <w:r>
        <w:rPr>
          <w:rFonts w:ascii="Calibri" w:cs="Calibri" w:eastAsia="Calibri" w:hAnsi="Calibri"/>
          <w:sz w:val="19"/>
          <w:szCs w:val="19"/>
        </w:rPr>
        <w:t xml:space="preserve">A proporção elevada de crianças nas classes mais vulneráveis reforça a prioridade de creches, escolas de educação infantil e equipamentos de assistência social nessas áreas.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Densidade não é indicador de vulnerabilidade. </w:t>
      </w:r>
      <w:r>
        <w:rPr>
          <w:rFonts w:ascii="Calibri" w:cs="Calibri" w:eastAsia="Calibri" w:hAnsi="Calibri"/>
          <w:sz w:val="19"/>
          <w:szCs w:val="19"/>
        </w:rPr>
        <w:t xml:space="preserve">A correlação praticamente nula entre os dois fenômenos exige que sejam tratados como camadas independentes de análise.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Precariedade habitacional. </w:t>
      </w:r>
      <w:r>
        <w:rPr>
          <w:rFonts w:ascii="Calibri" w:cs="Calibri" w:eastAsia="Calibri" w:hAnsi="Calibri"/>
          <w:sz w:val="19"/>
          <w:szCs w:val="19"/>
        </w:rPr>
        <w:t xml:space="preserve">Os 63 domicílios precários identificados merecem levantamento de campo para caracterização e eventual inclusão em programa de regularização ou reassentamento.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7. Produtos entregues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Produto</w:t>
            </w:r>
          </w:p>
        </w:tc>
        <w:tc>
          <w:tcPr>
            <w:tcW w:type="dxa" w:w="67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26_IPVS_VULNERABILIDADE.gpkg</w:t>
            </w:r>
          </w:p>
        </w:tc>
        <w:tc>
          <w:tcPr>
            <w:tcW w:type="dxa" w:w="6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GeoPackage com 4 camadas em EPSG:31983 e projeto QGIS embutido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Arquivos .qml</w:t>
            </w:r>
          </w:p>
        </w:tc>
        <w:tc>
          <w:tcPr>
            <w:tcW w:type="dxa" w:w="6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Quatro estilos individuais com a paleta oficial do SEADE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Projeto .qgs</w:t>
            </w:r>
          </w:p>
        </w:tc>
        <w:tc>
          <w:tcPr>
            <w:tcW w:type="dxa" w:w="6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Projeto QGIS avulso, alternativo ao embutido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Visualizador WebGIS</w:t>
            </w:r>
          </w:p>
        </w:tc>
        <w:tc>
          <w:tcPr>
            <w:tcW w:type="dxa" w:w="6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Mapa interativo com alternância entre escalas, painel de legenda com indicador de posição, popups com gráficos comparativos e exportação em JPEG e PDF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Este relatório</w:t>
            </w:r>
          </w:p>
        </w:tc>
        <w:tc>
          <w:tcPr>
            <w:tcW w:type="dxa" w:w="6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Documento técnico de diagnóstico</w:t>
            </w:r>
          </w:p>
        </w:tc>
      </w:tr>
    </w:tbl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600"/>
        <w:gridCol w:w="900"/>
        <w:gridCol w:w="6246"/>
      </w:tblGrid>
      <w:tr>
        <w:trPr>
          <w:tblHeader/>
        </w:trPr>
        <w:tc>
          <w:tcPr>
            <w:tcW w:type="dxa" w:w="26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Camada</w:t>
            </w:r>
          </w:p>
        </w:tc>
        <w:tc>
          <w:tcPr>
            <w:tcW w:type="dxa" w:w="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Feições</w:t>
            </w:r>
          </w:p>
        </w:tc>
        <w:tc>
          <w:tcPr>
            <w:tcW w:type="dxa" w:w="62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Conteúdo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ipvs_setores</w:t>
            </w:r>
          </w:p>
        </w:tc>
        <w:tc>
          <w:tcPr>
            <w:tcW w:type="dxa" w:w="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449</w:t>
            </w:r>
          </w:p>
        </w:tc>
        <w:tc>
          <w:tcPr>
            <w:tcW w:type="dxa" w:w="62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Classe e nível do IPVS, população, domicílios, densidade, escolaridade, cor ou raça, tipologia de domicílio e composição familiar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ipvs_bairros</w:t>
            </w:r>
          </w:p>
        </w:tc>
        <w:tc>
          <w:tcPr>
            <w:tcW w:type="dxa" w:w="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60</w:t>
            </w:r>
          </w:p>
        </w:tc>
        <w:tc>
          <w:tcPr>
            <w:tcW w:type="dxa" w:w="62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Classe predominante, IPVS médio ponderado, população em alta vulnerabilidade e os mesmos indicadores agregados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sistema_viario</w:t>
            </w:r>
          </w:p>
        </w:tc>
        <w:tc>
          <w:tcPr>
            <w:tcW w:type="dxa" w:w="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2.332</w:t>
            </w:r>
          </w:p>
        </w:tc>
        <w:tc>
          <w:tcPr>
            <w:tcW w:type="dxa" w:w="62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Eixo de logradouro municipal com hierarquia viária, camada de referência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limite_municipal</w:t>
            </w:r>
          </w:p>
        </w:tc>
        <w:tc>
          <w:tcPr>
            <w:tcW w:type="dxa" w:w="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2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Limite do município com totais agregados</w:t>
            </w:r>
          </w:p>
        </w:tc>
      </w:tr>
    </w:tbl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8. Limitações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O IPVS mede vulnerabilidade socioeconômica das famílias, não condições de infraestrutura urbana ou de habitação.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59 setores não recebem classificação por população insuficiente, o que corresponde a 1,6% da população municipal.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A classe atribuída ao bairro é a de maior população, o que pode ocultar a heterogeneidade interna. O IPVS médio ponderado, também disponível, corrige parcialmente essa limitação.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Os agregados do Censo utilizados cobrem escolaridade, cor ou raça, tipologia e composição do domicílio. Variáveis de saneamento não integravam os arquivos disponíveis e poderão ser incorporadas em revisão futura.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O dado é de 2022 e não capta alterações posteriores ao Censo.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5"/>
        <w:szCs w:val="15"/>
      </w:rPr>
      <w:t xml:space="preserve">IPVS · Vulnerabilidade Social · Bragança Paulista  ·  </w:t>
    </w:r>
    <w:r>
      <w:rPr>
        <w:rFonts w:ascii="Calibri" w:cs="Calibri" w:eastAsia="Calibri" w:hAnsi="Calibri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IPVS — Vulnerabilidade Social — Relatório e Diagnóstico</dc:title>
  <dc:creator>Divisão de Planejamento — Prefeitura de Bragança Paulista</dc:creator>
  <cp:lastModifiedBy>Un-named</cp:lastModifiedBy>
  <cp:revision>1</cp:revision>
  <dcterms:created xsi:type="dcterms:W3CDTF">2026-08-21T19:09:56.470Z</dcterms:created>
  <dcterms:modified xsi:type="dcterms:W3CDTF">2026-08-21T19:09:56.471Z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