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9999"/>
          <w:spacing w:val="80"/>
          <w:sz w:val="28"/>
          <w:szCs w:val="28"/>
        </w:rPr>
        <w:t xml:space="preserve">MAPAS 2 A 5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4"/>
          <w:szCs w:val="44"/>
        </w:rPr>
        <w:t xml:space="preserve">Fluxos Intermunicipais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Saúde · Educação · Turismo e cultura · Comércio e serviços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Agosto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mostra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Este documento acompanha um mapa interativo que reúne quatro mapas do cronograma da Leitura Técnica: os fluxos intermunicipais de economia e serviços, turismo, saúde e educação — mapas 2 a 5. Como o visualizador permite alternar temas e direções, os quatro foram agrupados em uma única peça.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pergunta que orienta o trabalho é direta: de que forma Bragança Paulista se relaciona com as cidades ao redor? A resposta tem duas faces, e o mapa permite ver cada uma separadamente.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Modo de leitura</w:t>
            </w:r>
          </w:p>
        </w:tc>
        <w:tc>
          <w:tcPr>
            <w:tcW w:type="dxa" w:w="7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revela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Quem procura Bragança</w:t>
            </w:r>
          </w:p>
        </w:tc>
        <w:tc>
          <w:tcPr>
            <w:tcW w:type="dxa" w:w="7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Municípios que enviam moradores à cidade. Mede o alcance de Bragança como polo e indica a população que os equipamentos municipais atendem além dos próprios munícipes.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Onde Bragança busca</w:t>
            </w:r>
          </w:p>
        </w:tc>
        <w:tc>
          <w:tcPr>
            <w:tcW w:type="dxa" w:w="7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Para onde os bragantinos se deslocam. Revela o que o município ainda não oferece localmente e de quais centros depende.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Os mapas 1 e 6 — estrutura regional, mancha urbana e evolução da ocupação — passaram a formar peça própria</w:t>
      </w:r>
      <w:r>
        <w:rPr>
          <w:rFonts w:ascii="Calibri" w:cs="Calibri" w:eastAsia="Calibri" w:hAnsi="Calibri"/>
          <w:sz w:val="20"/>
          <w:szCs w:val="20"/>
        </w:rPr>
        <w:t xml:space="preserve">, por tratarem de crescimento urbano. As camadas de mancha urbana, densidade e concentrações urbanas foram transferidas para lá, de modo que este mapa concentre a leitura de fluxos.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1.1 Como ler o mapa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Linhas de ligação. </w:t>
      </w:r>
      <w:r>
        <w:rPr>
          <w:rFonts w:ascii="Calibri" w:cs="Calibri" w:eastAsia="Calibri" w:hAnsi="Calibri"/>
          <w:sz w:val="19"/>
          <w:szCs w:val="19"/>
        </w:rPr>
        <w:t xml:space="preserve">Cada linha liga Bragança a outro município. A espessura segue um de dois critérios, selecionáveis no painel. Verde quando Bragança é o destino, laranja quando é a origem.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Círculos nas sedes. </w:t>
      </w:r>
      <w:r>
        <w:rPr>
          <w:rFonts w:ascii="Calibri" w:cs="Calibri" w:eastAsia="Calibri" w:hAnsi="Calibri"/>
          <w:sz w:val="19"/>
          <w:szCs w:val="19"/>
        </w:rPr>
        <w:t xml:space="preserve">Tamanho e cor indicam a intensidade de polarização — o quanto o município atrai em relação ao próprio porte, considerando todos os temas. Bragança aparece destacada em amarelo.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Círculo tracejado e vazado. </w:t>
      </w:r>
      <w:r>
        <w:rPr>
          <w:rFonts w:ascii="Calibri" w:cs="Calibri" w:eastAsia="Calibri" w:hAnsi="Calibri"/>
          <w:sz w:val="19"/>
          <w:szCs w:val="19"/>
        </w:rPr>
        <w:t xml:space="preserve">Município que não exerce atração regional. Ver seção 3.3.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Limites municipais. </w:t>
      </w:r>
      <w:r>
        <w:rPr>
          <w:rFonts w:ascii="Calibri" w:cs="Calibri" w:eastAsia="Calibri" w:hAnsi="Calibri"/>
          <w:sz w:val="19"/>
          <w:szCs w:val="19"/>
        </w:rPr>
        <w:t xml:space="preserve">Apenas contorno, sem preenchimento. São referência territorial e não carregam dado.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Painel direito. </w:t>
      </w:r>
      <w:r>
        <w:rPr>
          <w:rFonts w:ascii="Calibri" w:cs="Calibri" w:eastAsia="Calibri" w:hAnsi="Calibri"/>
          <w:sz w:val="19"/>
          <w:szCs w:val="19"/>
        </w:rPr>
        <w:t xml:space="preserve">Ranking agrupado por subtema, atualizado a cada mudança de seleção. Clicar em um município leva o mapa até ele.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Fontes e método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500"/>
        <w:gridCol w:w="4400"/>
        <w:gridCol w:w="2846"/>
      </w:tblGrid>
      <w:tr>
        <w:trPr>
          <w:tblHeader/>
        </w:trPr>
        <w:tc>
          <w:tcPr>
            <w:tcW w:type="dxa" w:w="2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fornece</w:t>
            </w:r>
          </w:p>
        </w:tc>
        <w:tc>
          <w:tcPr>
            <w:tcW w:type="dxa" w:w="28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Referência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REGIC</w:t>
            </w:r>
          </w:p>
        </w:tc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Hierarquia urbana, índice de atração e fluxos entre municípios por tema</w:t>
            </w:r>
          </w:p>
        </w:tc>
        <w:tc>
          <w:tcPr>
            <w:tcW w:type="dxa" w:w="2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2018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Censo Demográfico</w:t>
            </w:r>
          </w:p>
        </w:tc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 residente por município</w:t>
            </w:r>
          </w:p>
        </w:tc>
        <w:tc>
          <w:tcPr>
            <w:tcW w:type="dxa" w:w="2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Malha Municipal</w:t>
            </w:r>
          </w:p>
        </w:tc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Limites municipais e Região Imediata</w:t>
            </w:r>
          </w:p>
        </w:tc>
        <w:tc>
          <w:tcPr>
            <w:tcW w:type="dxa" w:w="2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2022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2.1 De onde vêm os dados de fluxo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fluxos vêm da pesquisa Regiões de Influência das Cidades (REGIC), do IBGE. A pesquisa aplica questionário a informantes de cada município perguntando para onde a população se desloca em dez temas distintos. As respostas são estimadas em percentuais que somam 100% dentro de cada tema.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É importante entender o que o percentual significa. Quando o mapa indica que Socorro envia 71,7% em saúde de baixa e média complexidade, isso quer dizer que, do total de deslocamentos dos moradores de Socorro para esse tipo de atendimento, aproximadamente 71,7% têm Bragança Paulista como destino. Não é o número de pessoas, é a participação de Bragança no conjunto dos deslocamentos daquele município.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Os dez temas do REGIC e seu agrupamento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000"/>
        <w:gridCol w:w="2400"/>
        <w:gridCol w:w="5346"/>
      </w:tblGrid>
      <w:tr>
        <w:trPr>
          <w:tblHeader/>
        </w:trPr>
        <w:tc>
          <w:tcPr>
            <w:tcW w:type="dxa" w:w="2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 no mapa</w:t>
            </w:r>
          </w:p>
        </w:tc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 do REGIC</w:t>
            </w:r>
          </w:p>
        </w:tc>
        <w:tc>
          <w:tcPr>
            <w:tcW w:type="dxa" w:w="5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Definição do IBGE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 de baixa e média complexidade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Consultas, exames e internações de rotina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 de alta complexidade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Cirurgias, oncologia e tratamentos especializados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Educação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superior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Faculdades e universidades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Turismo e cultura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Atividades culturais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Teatro, cinema, shows e museus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Atividades esportivas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Estádios, ginásios e eventos esportivos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Comércio e serviços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Calçados e vestuário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Compra de roupas e calçados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Móveis e eletrodomésticos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Compra de móveis e eletroeletrônicos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Uso de aeroporto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Aeroporto mais utilizado pela população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Jornais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Participação dos jornais editados no município de destino que circulam no município de origem</w:t>
            </w:r>
          </w:p>
        </w:tc>
      </w:tr>
      <w:tr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(não utilizado)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Transporte coletivo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Principais conexões por transporte público. Será tratado no mapa de mobilidade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Observação sobre o item “Jornais”. </w:t>
      </w:r>
      <w:r>
        <w:rPr>
          <w:rFonts w:ascii="Calibri" w:cs="Calibri" w:eastAsia="Calibri" w:hAnsi="Calibri"/>
          <w:sz w:val="20"/>
          <w:szCs w:val="20"/>
        </w:rPr>
        <w:t xml:space="preserve">Mede a origem editorial da imprensa que circula no município, e não leitura ou tiragem. É indicador clássico de rede urbana, mas o mais defasado do conjunto: a pesquisa é de 2018 e a circulação de impressos já vinha em queda acelerada. No caso de Bragança, apenas confirma um padrão de dependência em relação a São Paulo que os demais temas já evidenciam, sem alterar as conclusões.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Limitação a considerar: </w:t>
      </w:r>
      <w:r>
        <w:rPr>
          <w:rFonts w:ascii="Calibri" w:cs="Calibri" w:eastAsia="Calibri" w:hAnsi="Calibri"/>
          <w:sz w:val="20"/>
          <w:szCs w:val="20"/>
        </w:rPr>
        <w:t xml:space="preserve">o REGIC é decenal e a edição disponível é de 2018. O capítulo 6 registra a busca por fontes com números absolutos e seus resultados.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2.2 As duas formas de medir uma ligação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Um mesmo fluxo pode ser lido de duas maneiras, que respondem a perguntas diferentes e produzem ordenações quase opostas. O visualizador permite alternar entre elas.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900"/>
        <w:gridCol w:w="3700"/>
        <w:gridCol w:w="4146"/>
      </w:tblGrid>
      <w:tr>
        <w:trPr>
          <w:tblHeader/>
        </w:trPr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3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responde</w:t>
            </w:r>
          </w:p>
        </w:tc>
        <w:tc>
          <w:tcPr>
            <w:tcW w:type="dxa" w:w="4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favorece</w:t>
            </w:r>
          </w:p>
        </w:tc>
      </w:tr>
      <w:tr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Dependência</w:t>
            </w:r>
          </w:p>
        </w:tc>
        <w:tc>
          <w:tcPr>
            <w:tcW w:type="dxa" w:w="3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 quanto aquele município depende de Bragança neste tema. Percentual alto indica ausência de alternativa local.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Municípios pequenos, que concentram suas escolhas em poucos destinos.</w:t>
            </w:r>
          </w:p>
        </w:tc>
      </w:tr>
      <w:tr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Peso populacional</w:t>
            </w:r>
          </w:p>
        </w:tc>
        <w:tc>
          <w:tcPr>
            <w:tcW w:type="dxa" w:w="3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Qual ligação traz mais gente a Bragança, em termos relativos.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Municípios grandes, ainda que o vínculo proporcional seja fraco.</w:t>
            </w:r>
          </w:p>
        </w:tc>
      </w:tr>
    </w:tbl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Exemplo — ensino superior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50"/>
        <w:gridCol w:w="1500"/>
        <w:gridCol w:w="1800"/>
        <w:gridCol w:w="4096"/>
      </w:tblGrid>
      <w:tr>
        <w:trPr>
          <w:tblHeader/>
        </w:trPr>
        <w:tc>
          <w:tcPr>
            <w:tcW w:type="dxa" w:w="23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Dependência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 populacional</w:t>
            </w:r>
          </w:p>
        </w:tc>
        <w:tc>
          <w:tcPr>
            <w:tcW w:type="dxa" w:w="409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Posição</w:t>
            </w:r>
          </w:p>
        </w:tc>
      </w:tr>
      <w:tr>
        <w:tc>
          <w:tcPr>
            <w:tcW w:type="dxa" w:w="23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80,0%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4.860</w:t>
            </w:r>
          </w:p>
        </w:tc>
        <w:tc>
          <w:tcPr>
            <w:tcW w:type="dxa" w:w="40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1ª por dependência · fora das dez primeiras por peso</w:t>
            </w:r>
          </w:p>
        </w:tc>
      </w:tr>
      <w:tr>
        <w:tc>
          <w:tcPr>
            <w:tcW w:type="dxa" w:w="23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80.173</w:t>
            </w:r>
          </w:p>
        </w:tc>
        <w:tc>
          <w:tcPr>
            <w:tcW w:type="dxa" w:w="40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6ª por dependência · 1ª por peso</w:t>
            </w:r>
          </w:p>
        </w:tc>
      </w:tr>
      <w:tr>
        <w:tc>
          <w:tcPr>
            <w:tcW w:type="dxa" w:w="23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Itatiba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26,7%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31.797</w:t>
            </w:r>
          </w:p>
        </w:tc>
        <w:tc>
          <w:tcPr>
            <w:tcW w:type="dxa" w:w="40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entre as últimas por dependência · 2ª por peso</w:t>
            </w:r>
          </w:p>
        </w:tc>
      </w:tr>
      <w:tr>
        <w:tc>
          <w:tcPr>
            <w:tcW w:type="dxa" w:w="23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Amparo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20,0%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14.340</w:t>
            </w:r>
          </w:p>
        </w:tc>
        <w:tc>
          <w:tcPr>
            <w:tcW w:type="dxa" w:w="40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última por dependência · 5ª por peso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Pedra Bela registra o maior percentual de todos, 80% — mas são 80% de pouco mais de seis mil habitantes. Atibaia envia 56,7% de uma população vinte e três vezes maior, e em peso supera Pedra Bela em dezesseis vezes. Olhar apenas um dos critérios leva a conclusões incompletas.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Advertência sobre o peso populacional. </w:t>
      </w:r>
      <w:r>
        <w:rPr>
          <w:rFonts w:ascii="Calibri" w:cs="Calibri" w:eastAsia="Calibri" w:hAnsi="Calibri"/>
          <w:sz w:val="20"/>
          <w:szCs w:val="20"/>
        </w:rPr>
        <w:t xml:space="preserve">Não é contagem de pessoas. É o percentual aplicado à população total do município, sob a hipótese de que a demanda por aquele serviço se distribui de forma proporcional à população. Quando o mapa indica 80.173 para Atibaia em ensino superior, isso não significa que oitenta mil atibaienses estudem em Bragança — significa que a ligação equivale, em peso, a 56,7% da população daquele município. Por essa razão, o painel direito exibe barra proporcional em vez do número quando esse critério está ativo; o valor permanece acessível no popup, com a ressalva.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Para dimensionar equipamentos </w:t>
      </w:r>
      <w:r>
        <w:rPr>
          <w:rFonts w:ascii="Calibri" w:cs="Calibri" w:eastAsia="Calibri" w:hAnsi="Calibri"/>
          <w:sz w:val="19"/>
          <w:szCs w:val="19"/>
        </w:rPr>
        <w:t xml:space="preserve">— quantos leitos, quantas vagas, qual porte de terminal — use o peso populacional, porque a decisão depende de volume.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Para avaliar responsabilidade regional </w:t>
      </w:r>
      <w:r>
        <w:rPr>
          <w:rFonts w:ascii="Calibri" w:cs="Calibri" w:eastAsia="Calibri" w:hAnsi="Calibri"/>
          <w:sz w:val="19"/>
          <w:szCs w:val="19"/>
        </w:rPr>
        <w:t xml:space="preserve">— quem seria mais afetado por uma mudança de política — use a dependência, porque a decisão depende de quem não tem alternativa.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modo “Onde Bragança busca” </w:t>
      </w:r>
      <w:r>
        <w:rPr>
          <w:rFonts w:ascii="Calibri" w:cs="Calibri" w:eastAsia="Calibri" w:hAnsi="Calibri"/>
          <w:sz w:val="19"/>
          <w:szCs w:val="19"/>
        </w:rPr>
        <w:t xml:space="preserve">apenas a dependência se aplica: como a origem é sempre Bragança, o peso seria idêntico para todas as linhas. O seletor fica desabilitado.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2.3 Recorte adotado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mapa reúne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41 municípios</w:t>
      </w:r>
      <w:r>
        <w:rPr>
          <w:rFonts w:ascii="Calibri" w:cs="Calibri" w:eastAsia="Calibri" w:hAnsi="Calibri"/>
          <w:sz w:val="20"/>
          <w:szCs w:val="20"/>
        </w:rPr>
        <w:t xml:space="preserve"> que mantêm relação demonstrável com Bragança Paulista: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36</w:t>
      </w:r>
      <w:r>
        <w:rPr>
          <w:rFonts w:ascii="Calibri" w:cs="Calibri" w:eastAsia="Calibri" w:hAnsi="Calibri"/>
          <w:sz w:val="20"/>
          <w:szCs w:val="20"/>
        </w:rPr>
        <w:t xml:space="preserve"> que enviam algum fluxo para a cidade,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</w:t>
      </w:r>
      <w:r>
        <w:rPr>
          <w:rFonts w:ascii="Calibri" w:cs="Calibri" w:eastAsia="Calibri" w:hAnsi="Calibri"/>
          <w:sz w:val="20"/>
          <w:szCs w:val="20"/>
        </w:rPr>
        <w:t xml:space="preserve"> que recebem fluxo dela, e 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11</w:t>
      </w:r>
      <w:r>
        <w:rPr>
          <w:rFonts w:ascii="Calibri" w:cs="Calibri" w:eastAsia="Calibri" w:hAnsi="Calibri"/>
          <w:sz w:val="20"/>
          <w:szCs w:val="20"/>
        </w:rPr>
        <w:t xml:space="preserve"> que compõem a Região Imediata de Bragança Paulista, recorte oficial do IBGE.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recorte administrativo não descreve a área de influência efetiva. </w:t>
      </w:r>
      <w:r>
        <w:rPr>
          <w:rFonts w:ascii="Calibri" w:cs="Calibri" w:eastAsia="Calibri" w:hAnsi="Calibri"/>
          <w:sz w:val="20"/>
          <w:szCs w:val="20"/>
        </w:rPr>
        <w:t xml:space="preserve">Treze municípios de Minas Gerais enviam fluxo a Bragança sem integrar a Região Imediata: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Bom Repouso, Bueno Brandão, Camanducaia, Cambuí, Consolação, Córrego do Bom Jesus, Estiva, Extrema, Itapeva, Monte Sião, Munhoz, Senador Amaral, Toledo</w:t>
      </w:r>
      <w:r>
        <w:rPr>
          <w:rFonts w:ascii="Calibri" w:cs="Calibri" w:eastAsia="Calibri" w:hAnsi="Calibri"/>
          <w:sz w:val="20"/>
          <w:szCs w:val="20"/>
        </w:rPr>
        <w:t xml:space="preserve">. A leitura funcional, portanto, extrapola a divisa estadual e o recorte institucional.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Bragança Paulista na rede regional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5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 (Censo 2022)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176.811 habitantes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Hierarquia urbana (REGIC)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 Sub-Regional 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Intensidade de polarização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0,74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Peso de atração acumulado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131.004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Municípios que enviam fluxo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Municípios que recebem fluxo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Intensidade de polarização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intensidade de polarização mede o quanto o município atrai em relação ao próprio porte. É a soma das participações percentuais que ele capta de todos os municípios, em todos os temas, dividida pela sua população.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500"/>
        <w:gridCol w:w="700"/>
        <w:gridCol w:w="2000"/>
        <w:gridCol w:w="2200"/>
        <w:gridCol w:w="2346"/>
      </w:tblGrid>
      <w:tr>
        <w:trPr>
          <w:tblHeader/>
        </w:trPr>
        <w:tc>
          <w:tcPr>
            <w:tcW w:type="dxa" w:w="2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2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Intensidade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 acumulado</w:t>
            </w:r>
          </w:p>
        </w:tc>
        <w:tc>
          <w:tcPr>
            <w:tcW w:type="dxa" w:w="2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Barretos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3,81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468.298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122.833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1,81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2.061.521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1.139.602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Lindóia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1,26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8.800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7.014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Jundiaí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0,86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380.709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443.221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Jaguariúna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0,79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46.563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59.347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Águas de Lindóia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0,75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13.382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17.930</w:t>
            </w:r>
          </w:p>
        </w:tc>
      </w:tr>
      <w:tr>
        <w:tc>
          <w:tcPr>
            <w:tcW w:type="dxa" w:w="25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Bragança Paulista</w:t>
            </w:r>
          </w:p>
        </w:tc>
        <w:tc>
          <w:tcPr>
            <w:tcW w:type="dxa" w:w="7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20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0,74</w:t>
            </w:r>
          </w:p>
        </w:tc>
        <w:tc>
          <w:tcPr>
            <w:tcW w:type="dxa" w:w="22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131.004</w:t>
            </w:r>
          </w:p>
        </w:tc>
        <w:tc>
          <w:tcPr>
            <w:tcW w:type="dxa" w:w="2346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176.811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Monte Sião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0,74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17.795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24.089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0,66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7.579.570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11.451.999</w:t>
            </w:r>
          </w:p>
        </w:tc>
      </w:tr>
      <w:tr>
        <w:tc>
          <w:tcPr>
            <w:tcW w:type="dxa" w:w="2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Cambuí</w:t>
            </w:r>
          </w:p>
        </w:tc>
        <w:tc>
          <w:tcPr>
            <w:tcW w:type="dxa" w:w="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0,55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16.262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29.536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Bragança registra 0,74. </w:t>
      </w:r>
      <w:r>
        <w:rPr>
          <w:rFonts w:ascii="Calibri" w:cs="Calibri" w:eastAsia="Calibri" w:hAnsi="Calibri"/>
          <w:sz w:val="20"/>
          <w:szCs w:val="20"/>
        </w:rPr>
        <w:t xml:space="preserve">Os valores mais altos do recorte pertencem a municípios de perfil muito específico: Barretos (3,81) polariza demanda oncológica de todo o país, e Lindóia e Águas de Lindóia são estâncias hidrominerais de pequeno porte com atração turística desproporcional. Entre os centros de função urbana geral, Bragança está no topo.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3.2 Alcance por tema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1900"/>
        <w:gridCol w:w="1900"/>
        <w:gridCol w:w="33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Municípios que enviam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Municípios que recebem</w:t>
            </w:r>
          </w:p>
        </w:tc>
        <w:tc>
          <w:tcPr>
            <w:tcW w:type="dxa" w:w="3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Educação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Maior alcance territorial de todos os temas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Turismo e cultura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Segundo maior alcance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Alcance amplo na atenção básica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Comércio e serviços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Percentuais de dependência mais altos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3.3 Municípios que não exercem atração regional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Três municípios do recorte aparecem no mapa com círculo tracejado e vazado, sem valor de intensidade de polarização.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900"/>
        <w:gridCol w:w="1900"/>
        <w:gridCol w:w="40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4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Consolação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1.563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Envia fluxo a Bragança, mas não é destino de nenhum município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Senador Amaral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6.206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Envia fluxo a Bragança, mas não é destino de nenhum município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Jarinu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37.535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Envia fluxo a Bragança, mas não é destino de nenhum município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Isso não é lacuna de dado. </w:t>
      </w:r>
      <w:r>
        <w:rPr>
          <w:rFonts w:ascii="Calibri" w:cs="Calibri" w:eastAsia="Calibri" w:hAnsi="Calibri"/>
          <w:sz w:val="20"/>
          <w:szCs w:val="20"/>
        </w:rPr>
        <w:t xml:space="preserve">A planilha de atração do REGIC contém apenas os 5.277 municípios brasileiros que são destino de alguém em algum tema. Jarinu, Senador Amaral e Consolação aparecem somente como origem: nenhum município os declara como destino. São municípios exclusivamente emissores de deslocamentos, o que em si é uma informação relevante sobre sua posição na rede urbana.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Diagnóstico por tema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Saúde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Bragança recebe demanda de saúde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23 municípios</w:t>
      </w:r>
      <w:r>
        <w:rPr>
          <w:rFonts w:ascii="Calibri" w:cs="Calibri" w:eastAsia="Calibri" w:hAnsi="Calibri"/>
          <w:sz w:val="20"/>
          <w:szCs w:val="20"/>
        </w:rPr>
        <w:t xml:space="preserve"> e envia para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</w:t>
      </w:r>
      <w:r>
        <w:rPr>
          <w:rFonts w:ascii="Calibri" w:cs="Calibri" w:eastAsia="Calibri" w:hAnsi="Calibri"/>
          <w:sz w:val="20"/>
          <w:szCs w:val="20"/>
        </w:rPr>
        <w:t xml:space="preserve">. O contraste entre os dois níveis de complexidade é o achado mais forte de todo o diagnóstico.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Atenção básica e média complexidade — Bragança é polo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50"/>
        <w:gridCol w:w="650"/>
        <w:gridCol w:w="1400"/>
        <w:gridCol w:w="1750"/>
        <w:gridCol w:w="3496"/>
      </w:tblGrid>
      <w:tr>
        <w:trPr>
          <w:tblHeader/>
        </w:trPr>
        <w:tc>
          <w:tcPr>
            <w:tcW w:type="dxa" w:w="24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6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Dependência</w:t>
            </w:r>
          </w:p>
        </w:tc>
        <w:tc>
          <w:tcPr>
            <w:tcW w:type="dxa" w:w="17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 populacional</w:t>
            </w:r>
          </w:p>
        </w:tc>
        <w:tc>
          <w:tcPr>
            <w:tcW w:type="dxa" w:w="349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município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Socorro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71,7%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29.145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40.648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7.265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10.378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3.845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6.075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9.013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15.021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80.173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141.398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18.908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35.474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3.629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6.808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Joanópolis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5.671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13.098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Piracaia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11.752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27.140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38,3%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2.381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6.217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Socorro envia 71,7% e Vargem 70,0%. Chama atenção 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Atibaia envie 56,7% da sua demanda de saúde básica para Bragança</w:t>
      </w:r>
      <w:r>
        <w:rPr>
          <w:rFonts w:ascii="Calibri" w:cs="Calibri" w:eastAsia="Calibri" w:hAnsi="Calibri"/>
          <w:sz w:val="20"/>
          <w:szCs w:val="20"/>
        </w:rPr>
        <w:t xml:space="preserve"> — um município de porte semelhante, que não orbita Bragança nos demais temas, recorre a ela na saúde. Em peso populacional, Atibaia lidera com folga: 80.173 contra 29.145 de Socorro.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Alta complexidade — Bragança é dependente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800"/>
        <w:gridCol w:w="1800"/>
        <w:gridCol w:w="41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  <w:tc>
          <w:tcPr>
            <w:tcW w:type="dxa" w:w="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Participação</w:t>
            </w:r>
          </w:p>
        </w:tc>
        <w:tc>
          <w:tcPr>
            <w:tcW w:type="dxa" w:w="4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destino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45,0%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12.176.866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30,0%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1.194.094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Barretos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25,0%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121.344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Aqui a posição se inverte: 45% dos casos vão para São Paulo, 30% para Campinas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25% para Barretos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Barretos. </w:t>
      </w:r>
      <w:r>
        <w:rPr>
          <w:rFonts w:ascii="Calibri" w:cs="Calibri" w:eastAsia="Calibri" w:hAnsi="Calibri"/>
          <w:sz w:val="20"/>
          <w:szCs w:val="20"/>
        </w:rPr>
        <w:t xml:space="preserve">O município fica a cerca de 400 km e por isso não integra o enquadramento do mapa, mas o dado é relevante demais para ser omitido. Trata-se de referência oncológica especializada, não de relação de vizinhança. O visualizador traz nota específica sobre isso sempre que o tema saúde está selecionado.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o Plano Diretor: </w:t>
      </w:r>
      <w:r>
        <w:rPr>
          <w:rFonts w:ascii="Calibri" w:cs="Calibri" w:eastAsia="Calibri" w:hAnsi="Calibri"/>
          <w:sz w:val="20"/>
          <w:szCs w:val="20"/>
        </w:rPr>
        <w:t xml:space="preserve">Bragança é polo consolidado de atenção básica e periferia em alta complexidade. O dimensionamento da rede municipal precisa considerar a população dos municípios que dependem dela na atenção básica, enquanto a alta complexidade permanece como demanda exportada — questão que extrapola o município e pertence à pactuação regional de saúde.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Educação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É o tema de maior alcance territorial: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31 municípios</w:t>
      </w:r>
      <w:r>
        <w:rPr>
          <w:rFonts w:ascii="Calibri" w:cs="Calibri" w:eastAsia="Calibri" w:hAnsi="Calibri"/>
          <w:sz w:val="20"/>
          <w:szCs w:val="20"/>
        </w:rPr>
        <w:t xml:space="preserve"> enviam estudantes de ensino superior a Bragança.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50"/>
        <w:gridCol w:w="650"/>
        <w:gridCol w:w="1400"/>
        <w:gridCol w:w="1750"/>
        <w:gridCol w:w="3496"/>
      </w:tblGrid>
      <w:tr>
        <w:trPr>
          <w:tblHeader/>
        </w:trPr>
        <w:tc>
          <w:tcPr>
            <w:tcW w:type="dxa" w:w="24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6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Dependência</w:t>
            </w:r>
          </w:p>
        </w:tc>
        <w:tc>
          <w:tcPr>
            <w:tcW w:type="dxa" w:w="17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 populacional</w:t>
            </w:r>
          </w:p>
        </w:tc>
        <w:tc>
          <w:tcPr>
            <w:tcW w:type="dxa" w:w="349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município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4.860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6.075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10.515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15.021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65,0%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6.746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10.378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21.284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35.474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Munhoz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3.639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6.065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80.173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141.398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Socorro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23.047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40.648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2.903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6.217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3.016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6.808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Camanducaia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8.695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21.738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Pedra Bela envia 80% e Pinhalzinho 70%. Para municípios pequenos do entorno, Bragança é praticamente a única opção acessível de ensino superior.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Para onde os bragantinos vão estudar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800"/>
        <w:gridCol w:w="1800"/>
        <w:gridCol w:w="41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  <w:tc>
          <w:tcPr>
            <w:tcW w:type="dxa" w:w="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Participação</w:t>
            </w:r>
          </w:p>
        </w:tc>
        <w:tc>
          <w:tcPr>
            <w:tcW w:type="dxa" w:w="4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destino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30,0%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12.176.866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23,3%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1.194.094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20,0%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141.398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Itatiba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20,0%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119.090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6,7%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35.474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saída é dispersa: São Paulo 30%, Campinas 23,3%, e — o dado mais revelador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Atibaia e Itatiba com 20% cada</w:t>
      </w:r>
      <w:r>
        <w:rPr>
          <w:rFonts w:ascii="Calibri" w:cs="Calibri" w:eastAsia="Calibri" w:hAnsi="Calibri"/>
          <w:sz w:val="20"/>
          <w:szCs w:val="20"/>
        </w:rPr>
        <w:t xml:space="preserve">. Bragança perde estudantes para municípios vizinhos de porte semelhante, o que sugere lacuna na oferta de determinados cursos, e não apenas atração das metrópoles.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o Plano Diretor: </w:t>
      </w:r>
      <w:r>
        <w:rPr>
          <w:rFonts w:ascii="Calibri" w:cs="Calibri" w:eastAsia="Calibri" w:hAnsi="Calibri"/>
          <w:sz w:val="20"/>
          <w:szCs w:val="20"/>
        </w:rPr>
        <w:t xml:space="preserve">a cidade concentra a demanda regional de ensino superior, o que gera fluxo pendular diário significativo. Isso tem implicação direta sobre transporte coletivo intermunicipal, demanda por moradia estudantil e localização de equipamentos.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4.3 Turismo e cultura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28 municípios</w:t>
      </w:r>
      <w:r>
        <w:rPr>
          <w:rFonts w:ascii="Calibri" w:cs="Calibri" w:eastAsia="Calibri" w:hAnsi="Calibri"/>
          <w:sz w:val="20"/>
          <w:szCs w:val="20"/>
        </w:rPr>
        <w:t xml:space="preserve"> buscam Bragança para atividades culturais e esportivas.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Atividades esportivas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50"/>
        <w:gridCol w:w="650"/>
        <w:gridCol w:w="1400"/>
        <w:gridCol w:w="1750"/>
        <w:gridCol w:w="3496"/>
      </w:tblGrid>
      <w:tr>
        <w:trPr>
          <w:tblHeader/>
        </w:trPr>
        <w:tc>
          <w:tcPr>
            <w:tcW w:type="dxa" w:w="24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6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Dependência</w:t>
            </w:r>
          </w:p>
        </w:tc>
        <w:tc>
          <w:tcPr>
            <w:tcW w:type="dxa" w:w="17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 populacional</w:t>
            </w:r>
          </w:p>
        </w:tc>
        <w:tc>
          <w:tcPr>
            <w:tcW w:type="dxa" w:w="349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município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Munhoz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5.458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6.065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6.127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6.808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4.052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6.075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65,0%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6.746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10.378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Camanducaia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52,7%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11.456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21.738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7.510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15.021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Itapeva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4.192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9.682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2.692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6.217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Piracaia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11.752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27.140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Bom Jesus dos Perdões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7.469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24.898</w:t>
            </w:r>
          </w:p>
        </w:tc>
      </w:tr>
    </w:tbl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Atividades culturais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50"/>
        <w:gridCol w:w="650"/>
        <w:gridCol w:w="1400"/>
        <w:gridCol w:w="1750"/>
        <w:gridCol w:w="3496"/>
      </w:tblGrid>
      <w:tr>
        <w:trPr>
          <w:tblHeader/>
        </w:trPr>
        <w:tc>
          <w:tcPr>
            <w:tcW w:type="dxa" w:w="24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6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Dependência</w:t>
            </w:r>
          </w:p>
        </w:tc>
        <w:tc>
          <w:tcPr>
            <w:tcW w:type="dxa" w:w="17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 populacional</w:t>
            </w:r>
          </w:p>
        </w:tc>
        <w:tc>
          <w:tcPr>
            <w:tcW w:type="dxa" w:w="349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município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4.252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6.075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4.541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6.808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3.730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6.217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58,3%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8.757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15.021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Munhoz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3.032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6.065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5.189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10.378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Itapeva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4.192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9.682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Piracaia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10.856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27.140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Camanducaia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37,7%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8.195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21.738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13.019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35.474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Munhoz e Tuiuti enviam 90% da demanda esportiva. Bragança concentra os equipamentos de cultura e esporte de escala regional.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Para onde os bragantinos vão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800"/>
        <w:gridCol w:w="1800"/>
        <w:gridCol w:w="41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  <w:tc>
          <w:tcPr>
            <w:tcW w:type="dxa" w:w="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Participação</w:t>
            </w:r>
          </w:p>
        </w:tc>
        <w:tc>
          <w:tcPr>
            <w:tcW w:type="dxa" w:w="4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destino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63,3%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12.176.866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21,7%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1.194.094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Jaguariúna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8,3%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56.221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6,7%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35.474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São Paulo absorve a maior parte da demanda cultural e esportiva. É o padrão esperado — grandes eventos e equipamentos de escala metropolitana. Mas o percentual elevado também indica que a oferta local não retém a demanda dos próprios moradores.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o Plano Diretor: </w:t>
      </w:r>
      <w:r>
        <w:rPr>
          <w:rFonts w:ascii="Calibri" w:cs="Calibri" w:eastAsia="Calibri" w:hAnsi="Calibri"/>
          <w:sz w:val="20"/>
          <w:szCs w:val="20"/>
        </w:rPr>
        <w:t xml:space="preserve">há assimetria entre o papel de Bragança para os vizinhos menores e sua dependência da capital. Fortalecer equipamentos culturais e esportivos de médio porte pode reter demanda local e ampliar a função regional já existente.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4.4 Comércio e serviços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21 municípios</w:t>
      </w:r>
      <w:r>
        <w:rPr>
          <w:rFonts w:ascii="Calibri" w:cs="Calibri" w:eastAsia="Calibri" w:hAnsi="Calibri"/>
          <w:sz w:val="20"/>
          <w:szCs w:val="20"/>
        </w:rPr>
        <w:t xml:space="preserve"> recorrem a Bragança para compras e serviços.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Móveis e eletrodomésticos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50"/>
        <w:gridCol w:w="650"/>
        <w:gridCol w:w="1400"/>
        <w:gridCol w:w="1750"/>
        <w:gridCol w:w="3496"/>
      </w:tblGrid>
      <w:tr>
        <w:trPr>
          <w:tblHeader/>
        </w:trPr>
        <w:tc>
          <w:tcPr>
            <w:tcW w:type="dxa" w:w="24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6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Dependência</w:t>
            </w:r>
          </w:p>
        </w:tc>
        <w:tc>
          <w:tcPr>
            <w:tcW w:type="dxa" w:w="17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 populacional</w:t>
            </w:r>
          </w:p>
        </w:tc>
        <w:tc>
          <w:tcPr>
            <w:tcW w:type="dxa" w:w="349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município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5.668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6.075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Itapeva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8.714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9.682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5.903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6.808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12.512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15.021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81,7%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8.479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10.378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4.557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6.217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Socorro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65,0%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26.421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40.648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Munhoz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3.839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6.065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21.284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35.474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Joanópolis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6.981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13.098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São os percentuais mais altos de todo o levantamento</w:t>
      </w:r>
      <w:r>
        <w:rPr>
          <w:rFonts w:ascii="Calibri" w:cs="Calibri" w:eastAsia="Calibri" w:hAnsi="Calibri"/>
          <w:sz w:val="20"/>
          <w:szCs w:val="20"/>
        </w:rPr>
        <w:t xml:space="preserve"> — o comércio de bens duráveis é a função em que Bragança exerce polarização mais completa.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Calçados e vestuário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50"/>
        <w:gridCol w:w="650"/>
        <w:gridCol w:w="1400"/>
        <w:gridCol w:w="1750"/>
        <w:gridCol w:w="3496"/>
      </w:tblGrid>
      <w:tr>
        <w:trPr>
          <w:tblHeader/>
        </w:trPr>
        <w:tc>
          <w:tcPr>
            <w:tcW w:type="dxa" w:w="24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6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Dependência</w:t>
            </w:r>
          </w:p>
        </w:tc>
        <w:tc>
          <w:tcPr>
            <w:tcW w:type="dxa" w:w="175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 populacional</w:t>
            </w:r>
          </w:p>
        </w:tc>
        <w:tc>
          <w:tcPr>
            <w:tcW w:type="dxa" w:w="349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município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Tuiuti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5.671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6.808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Vargem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78,3%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8.126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10.378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Pedra Bela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4.660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6.075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Pinhalzinho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70,0%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10.515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15.021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Itapeva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6.458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9.682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Toledo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3.935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6.217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20.114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35.474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Socorro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56,7%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23.047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40.648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Munhoz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3.233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6.065</w:t>
            </w:r>
          </w:p>
        </w:tc>
      </w:tr>
      <w:tr>
        <w:tc>
          <w:tcPr>
            <w:tcW w:type="dxa" w:w="24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Joanópolis</w:t>
            </w:r>
          </w:p>
        </w:tc>
        <w:tc>
          <w:tcPr>
            <w:tcW w:type="dxa" w:w="6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4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53,3%</w:t>
            </w:r>
          </w:p>
        </w:tc>
        <w:tc>
          <w:tcPr>
            <w:tcW w:type="dxa" w:w="175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6.981</w:t>
            </w:r>
          </w:p>
        </w:tc>
        <w:tc>
          <w:tcPr>
            <w:tcW w:type="dxa" w:w="349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13.098</w:t>
            </w:r>
          </w:p>
        </w:tc>
      </w:tr>
    </w:tbl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Onde os bragantinos compram e se servem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800"/>
        <w:gridCol w:w="1800"/>
        <w:gridCol w:w="41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  <w:tc>
          <w:tcPr>
            <w:tcW w:type="dxa" w:w="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UF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Participação</w:t>
            </w:r>
          </w:p>
        </w:tc>
        <w:tc>
          <w:tcPr>
            <w:tcW w:type="dxa" w:w="4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do destino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Paulo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60,0%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12.176.866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Campinas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23,3%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1.194.094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Extrema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MG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10,0%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35.474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Itatiba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6,7%</w:t>
            </w:r>
          </w:p>
        </w:tc>
        <w:tc>
          <w:tcPr>
            <w:tcW w:type="dxa" w:w="4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119.090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Mesmo sendo polo regional em bens duráveis, Bragança ainda exporta parte relevante do consumo de maior valor para São Paulo. Os itens “uso de aeroporto” e “jornais” apontam integralmente para a capital, mas são estruturais e dizem pouco sobre a economia local.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o Plano Diretor: </w:t>
      </w:r>
      <w:r>
        <w:rPr>
          <w:rFonts w:ascii="Calibri" w:cs="Calibri" w:eastAsia="Calibri" w:hAnsi="Calibri"/>
          <w:sz w:val="20"/>
          <w:szCs w:val="20"/>
        </w:rPr>
        <w:t xml:space="preserve">o comércio é a função regional mais consolidada da cidade e sustenta parte expressiva da sua economia. A localização e as condições de acesso às áreas comerciais têm alcance que ultrapassa o município.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Conclusão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conjunto dos quatro temas desenha uma posição regional bem definida para Bragança Paulista.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cidade é polo consolidado em comércio, educação superior e atenção básica de saúde</w:t>
      </w:r>
      <w:r>
        <w:rPr>
          <w:rFonts w:ascii="Calibri" w:cs="Calibri" w:eastAsia="Calibri" w:hAnsi="Calibri"/>
          <w:sz w:val="20"/>
          <w:szCs w:val="20"/>
        </w:rPr>
        <w:t xml:space="preserve"> para um conjunto de municípios pequenos do entorno, incluindo treze do Sul de Minas que não integram seu recorte administrativo. Nos temas de comércio e educação, os percentuais de dependência dos vizinhos chegam a 90%, o que caracteriza polarização praticamente exclusiva.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Ao mesmo tempo, a cidade é dependente em alta complexidade de saúde, cultura e serviços de maior valor</w:t>
      </w:r>
      <w:r>
        <w:rPr>
          <w:rFonts w:ascii="Calibri" w:cs="Calibri" w:eastAsia="Calibri" w:hAnsi="Calibri"/>
          <w:sz w:val="20"/>
          <w:szCs w:val="20"/>
        </w:rPr>
        <w:t xml:space="preserve">, exportando essa demanda sobretudo para São Paulo e Campinas. É a condição típica de um centro sub-regional: polo para baixo, periferia para cima.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Bragança exerce função regional desproporcional ao seu tamanho, e isso tem consequência direta sobre o planejamento: os equipamentos públicos, o sistema viário e o comércio da cidade atendem uma população bem maior que 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176.811 habitantes</w:t>
      </w:r>
      <w:r>
        <w:rPr>
          <w:rFonts w:ascii="Calibri" w:cs="Calibri" w:eastAsia="Calibri" w:hAnsi="Calibri"/>
          <w:sz w:val="20"/>
          <w:szCs w:val="20"/>
        </w:rPr>
        <w:t xml:space="preserve"> registrados no Censo.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5.1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Dimensionamento de equipamentos. </w:t>
      </w:r>
      <w:r>
        <w:rPr>
          <w:rFonts w:ascii="Calibri" w:cs="Calibri" w:eastAsia="Calibri" w:hAnsi="Calibri"/>
          <w:sz w:val="19"/>
          <w:szCs w:val="19"/>
        </w:rPr>
        <w:t xml:space="preserve">Saúde básica, ensino superior e comércio precisam ser dimensionados considerando a população flutuante dos municípios que dependem de Bragança, e não apenas a população residente.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Descompasso entre recortes. </w:t>
      </w:r>
      <w:r>
        <w:rPr>
          <w:rFonts w:ascii="Calibri" w:cs="Calibri" w:eastAsia="Calibri" w:hAnsi="Calibri"/>
          <w:sz w:val="19"/>
          <w:szCs w:val="19"/>
        </w:rPr>
        <w:t xml:space="preserve">A Região Imediata não corresponde à área de influência efetiva. Treze municípios mineiros orbitam Bragança sem integrar o recorte oficial. Qualquer articulação regional deve partir da leitura funcional, não da administrativa.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Mobilidade intermunicipal. </w:t>
      </w:r>
      <w:r>
        <w:rPr>
          <w:rFonts w:ascii="Calibri" w:cs="Calibri" w:eastAsia="Calibri" w:hAnsi="Calibri"/>
          <w:sz w:val="19"/>
          <w:szCs w:val="19"/>
        </w:rPr>
        <w:t xml:space="preserve">O fluxo diário de estudantes e pacientes gera demanda de transporte coletivo intermunicipal que precisa ser considerada no sistema viário e nos terminais.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Retenção de demanda local. </w:t>
      </w:r>
      <w:r>
        <w:rPr>
          <w:rFonts w:ascii="Calibri" w:cs="Calibri" w:eastAsia="Calibri" w:hAnsi="Calibri"/>
          <w:sz w:val="19"/>
          <w:szCs w:val="19"/>
        </w:rPr>
        <w:t xml:space="preserve">A saída de estudantes para Atibaia e Itatiba e o consumo de bens duráveis em São Paulo indicam oportunidades de fortalecimento da oferta local.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Relação com Atibaia. </w:t>
      </w:r>
      <w:r>
        <w:rPr>
          <w:rFonts w:ascii="Calibri" w:cs="Calibri" w:eastAsia="Calibri" w:hAnsi="Calibri"/>
          <w:sz w:val="19"/>
          <w:szCs w:val="19"/>
        </w:rPr>
        <w:t xml:space="preserve">Atibaia não orbita Bragança na maioria dos temas, mas envia 56,7% da sua demanda de saúde básica e de ensino superior. É a ligação de maior peso populacional do recorte e merece tratamento específico na articulação regional.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Sobre a ausência de números absolutos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percentuais do REGIC são estimativas obtidas por questionário aplicado a informantes municipais, e não medições de deslocamento. Durante a elaboração deste diagnóstico foram investigadas as fontes que poderiam fornecer contagens reais de pessoas para cada tema. O resultado está registrado abaixo, por ser relevante para as etapas seguintes.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100"/>
        <w:gridCol w:w="1900"/>
        <w:gridCol w:w="5746"/>
      </w:tblGrid>
      <w:tr>
        <w:trPr>
          <w:tblHeader/>
        </w:trPr>
        <w:tc>
          <w:tcPr>
            <w:tcW w:type="dxa" w:w="2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5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Detalhamento</w:t>
            </w:r>
          </w:p>
        </w:tc>
      </w:tr>
      <w:tr>
        <w:tc>
          <w:tcPr>
            <w:tcW w:type="dxa" w:w="2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Educação superior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Indisponível</w:t>
            </w:r>
          </w:p>
        </w:tc>
        <w:tc>
          <w:tcPr>
            <w:tcW w:type="dxa" w:w="5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 INEP suprimiu os microdados em nível de aluno de toda a série histórica, inclusive dos anos anteriores, em adequação à Lei Geral de Proteção de Dados. As variáveis de município de nascimento e de residência foram retiradas por permitirem identificação pessoal. Restam apenas as unidades de observação “cursos” e “instituições”. O acesso segue possível mediante projeto de pesquisa junto ao Serviço de Acesso a Dados Protegidos (Sedap) do INEP.</w:t>
            </w:r>
          </w:p>
        </w:tc>
      </w:tr>
      <w:tr>
        <w:tc>
          <w:tcPr>
            <w:tcW w:type="dxa" w:w="2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Disponível</w:t>
            </w:r>
          </w:p>
        </w:tc>
        <w:tc>
          <w:tcPr>
            <w:tcW w:type="dxa" w:w="5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 DataSUS mantém, nos sistemas SIH/SUS e SIA/SUS, a matriz de município de residência por município de atendimento, permitindo construir o fluxo real de internações e procedimentos.</w:t>
            </w:r>
          </w:p>
        </w:tc>
      </w:tr>
      <w:tr>
        <w:tc>
          <w:tcPr>
            <w:tcW w:type="dxa" w:w="2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Deslocamento pendular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Disponível</w:t>
            </w:r>
          </w:p>
        </w:tc>
        <w:tc>
          <w:tcPr>
            <w:tcW w:type="dxa" w:w="5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 Censo 2022 investiga se a pessoa trabalha ou estuda em outro município e qual, com resultados apurados pela amostra.</w:t>
            </w:r>
          </w:p>
        </w:tc>
      </w:tr>
      <w:tr>
        <w:tc>
          <w:tcPr>
            <w:tcW w:type="dxa" w:w="2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Trabalho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Parcial</w:t>
            </w:r>
          </w:p>
        </w:tc>
        <w:tc>
          <w:tcPr>
            <w:tcW w:type="dxa" w:w="5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 RAIS registra o município do estabelecimento, mas o município de residência do trabalhador não integra os microdados públicos.</w:t>
            </w:r>
          </w:p>
        </w:tc>
      </w:tr>
      <w:tr>
        <w:tc>
          <w:tcPr>
            <w:tcW w:type="dxa" w:w="2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Comércio e serviços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5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Não há fonte pública com fluxo de consumidores. A obtenção exigiria pesquisa de origem e destino própria, que pode ser proposta como produto da revisão.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Verificação realizada. </w:t>
      </w:r>
      <w:r>
        <w:rPr>
          <w:rFonts w:ascii="Calibri" w:cs="Calibri" w:eastAsia="Calibri" w:hAnsi="Calibri"/>
          <w:sz w:val="20"/>
          <w:szCs w:val="20"/>
        </w:rPr>
        <w:t xml:space="preserve">Foi obtido junto ao INEP o pacote completo dos microdados do Censo da Educação Superior de 2018, mesmo ano de referência do REGIC. O pacote contém apenas os arquivos de instituições e de cursos, o que é confirmado pelo próprio arquivo de verificação distribuído pelo órgão. O arquivo em nível de aluno, único que registra o município de residência, não integra mais a divulgação.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O que a oferta instalada acrescenta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Ainda que sem o fluxo de alunos, os microdados de cursos de 2018 informam a oferta por município, o que ajuda a explicar o mecanismo por trás dos percentuais observados.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1500"/>
        <w:gridCol w:w="1600"/>
        <w:gridCol w:w="1800"/>
        <w:gridCol w:w="22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Cursos</w:t>
            </w:r>
          </w:p>
        </w:tc>
        <w:tc>
          <w:tcPr>
            <w:tcW w:type="dxa" w:w="1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Vagas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Ingressantes</w:t>
            </w:r>
          </w:p>
        </w:tc>
        <w:tc>
          <w:tcPr>
            <w:tcW w:type="dxa" w:w="22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Matrículas</w:t>
            </w:r>
          </w:p>
        </w:tc>
      </w:tr>
      <w:tr>
        <w:tc>
          <w:tcPr>
            <w:tcW w:type="dxa" w:w="26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Bragança Paulista</w:t>
            </w:r>
          </w:p>
        </w:tc>
        <w:tc>
          <w:tcPr>
            <w:tcW w:type="dxa" w:w="15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16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6.645</w:t>
            </w:r>
          </w:p>
        </w:tc>
        <w:tc>
          <w:tcPr>
            <w:tcW w:type="dxa" w:w="18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3.272</w:t>
            </w:r>
          </w:p>
        </w:tc>
        <w:tc>
          <w:tcPr>
            <w:tcW w:type="dxa" w:w="2246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9.718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2.457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1.715</w:t>
            </w:r>
          </w:p>
        </w:tc>
        <w:tc>
          <w:tcPr>
            <w:tcW w:type="dxa" w:w="2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4.055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Piracaia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3.741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1.616</w:t>
            </w:r>
          </w:p>
        </w:tc>
        <w:tc>
          <w:tcPr>
            <w:tcW w:type="dxa" w:w="2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3.585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Itatiba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2.854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993</w:t>
            </w:r>
          </w:p>
        </w:tc>
        <w:tc>
          <w:tcPr>
            <w:tcW w:type="dxa" w:w="2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3.090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Socorro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412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2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185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Oito municípios da Região Imediata não possuem nenhuma oferta presencial de ensino superior</w:t>
      </w:r>
      <w:r>
        <w:rPr>
          <w:rFonts w:ascii="Calibri" w:cs="Calibri" w:eastAsia="Calibri" w:hAnsi="Calibri"/>
          <w:sz w:val="20"/>
          <w:szCs w:val="20"/>
        </w:rPr>
        <w:t xml:space="preserve"> — Pinhalzinho, Vargem, Bom Jesus dos Perdões, Tuiuti, Pedra Bela, Nazaré Paulista, Joanópolis e Amparo. Isso explica por que Pedra Bela envia 80% e Pinhalzinho 70% de seus deslocamentos a Bragança: não há alternativa local. O REGIC informa a intensidade do vínculo; a oferta instalada informa a razão dele.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Consequência para este diagnóstico: </w:t>
      </w:r>
      <w:r>
        <w:rPr>
          <w:rFonts w:ascii="Calibri" w:cs="Calibri" w:eastAsia="Calibri" w:hAnsi="Calibri"/>
          <w:sz w:val="20"/>
          <w:szCs w:val="20"/>
        </w:rPr>
        <w:t xml:space="preserve">os quatro temas permanecem baseados no REGIC, o que preserva a comparabilidade metodológica entre eles. Para saúde e deslocamento pendular existe caminho aberto de atualização com dados absolutos, a ser percorrido nas etapas seguintes. Para educação superior, comércio e serviços, o REGIC é hoje a única fonte disponível.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100"/>
        <w:gridCol w:w="6646"/>
      </w:tblGrid>
      <w:tr>
        <w:trPr>
          <w:tblHeader/>
        </w:trPr>
        <w:tc>
          <w:tcPr>
            <w:tcW w:type="dxa" w:w="3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6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01_ESTRUTURA_REGIONAL_E_FLUXOS.gpkg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GeoPackage em EPSG:31983 com projeto QGIS embutido e simbologia aplicada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Arquivos .qml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Estilos individuais por camada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.qgs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QGIS avulso, alternativo ao embutido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Visualizador WebGIS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Mapa interativo com seleção de direção, tema, subtema e critério de espessura; ranking por subtema; popups com gráficos; exportação em JPEG e PDF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Este relatório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Documento técnico de diagnóstico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7.1 Camadas utilizadas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800"/>
        <w:gridCol w:w="60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Feições</w:t>
            </w:r>
          </w:p>
        </w:tc>
        <w:tc>
          <w:tcPr>
            <w:tcW w:type="dxa" w:w="6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municipios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6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Hierarquia, peso de atração, intensidade de polarização, população e papel em relação a Bragança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sedes_municipais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6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Sedes com coordenada oficial do REGIC, para simbologia de centralidade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fluxos_regic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6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Linhas por direção, tema, subtema, dependência e peso populacional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limite_rgi</w:t>
            </w:r>
          </w:p>
        </w:tc>
        <w:tc>
          <w:tcPr>
            <w:tcW w:type="dxa" w:w="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Região Imediata de Bragança Paulista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8.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fluxos do REGIC são de 2018 e a pesquisa é decenal.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percentuais são estimativas obtidas por questionário a informantes municipais, não medições diretas de deslocamento.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peso populacional é medida derivada, não contagem de pessoas. Deve ser lido apenas em comparação com outro peso populacional.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item “Jornais” refere-se à circulação de imprensa impressa e encontra-se defasado frente ao consumo digital de notícias.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Barretos não integra o enquadramento do mapa por distância, aparecendo apenas em nota no tema saúde.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item “Transporte coletivo” do REGIC não foi utilizado neste conjunto e será tratado no mapa de mobilidade.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Fluxos Intermunicipais · Mapas 2 a 5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Fluxos Intermunicipais — Mapas 2 a 5 — Relatório e Diagnóstico</dc:title>
  <dc:creator>Divisão de Planejamento — Prefeitura de Bragança Paulista</dc:creator>
  <cp:lastModifiedBy>Un-named</cp:lastModifiedBy>
  <cp:revision>1</cp:revision>
  <dcterms:created xsi:type="dcterms:W3CDTF">2026-08-19T21:54:24.968Z</dcterms:created>
  <dcterms:modified xsi:type="dcterms:W3CDTF">2026-08-19T21:54:24.969Z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