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2"/>
          <w:szCs w:val="42"/>
        </w:rPr>
        <w:t xml:space="preserve">Renda por Setor Censitário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Rendimento das pessoas responsáveis pelos domicílios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Agosto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Este documento acompanha um mapa interativo com o rendimento nominal médio mensal das pessoas responsáveis pelos domicílios, segundo o Censo Demográfico 2022, na menor unidade territorial divulgada pelo IBGE.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visualizador permite alternar entre duas unidades territoriais e entre as duas formas de expressar o rendimento.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Seletor</w:t>
            </w:r>
          </w:p>
        </w:tc>
        <w:tc>
          <w:tcPr>
            <w:tcW w:type="dxa" w:w="7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Opções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Unidade territorial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 censitário, com 449 unidades, ou bairro, com 60. O setor revela variações internas ao bairro; o bairro facilita a leitura de conjunto.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Variável</w:t>
            </w:r>
          </w:p>
        </w:tc>
        <w:tc>
          <w:tcPr>
            <w:tcW w:type="dxa" w:w="7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Rendimento médio em reais ou em salários mínimos. Há ainda três variáveis de contexto: densidade demográfica, moradores e domicílios ocupados.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1.1 Como ler o mapa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Sete classes por quantil. </w:t>
      </w:r>
      <w:r>
        <w:rPr>
          <w:rFonts w:ascii="Calibri" w:cs="Calibri" w:eastAsia="Calibri" w:hAnsi="Calibri"/>
          <w:sz w:val="19"/>
          <w:szCs w:val="19"/>
        </w:rPr>
        <w:t xml:space="preserve">Cada classe reúne aproximadamente o mesmo número de unidades, o que evidencia as diferenças internas. As faixas são recalculadas a cada troca de variável ou de unidade territorial.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Popup comparativo. </w:t>
      </w:r>
      <w:r>
        <w:rPr>
          <w:rFonts w:ascii="Calibri" w:cs="Calibri" w:eastAsia="Calibri" w:hAnsi="Calibri"/>
          <w:sz w:val="19"/>
          <w:szCs w:val="19"/>
        </w:rPr>
        <w:t xml:space="preserve">O clique abre um cartão que compara o rendimento da unidade com a média municipal, indicando o percentual acima ou abaixo dela.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Ranking por bairro. </w:t>
      </w:r>
      <w:r>
        <w:rPr>
          <w:rFonts w:ascii="Calibri" w:cs="Calibri" w:eastAsia="Calibri" w:hAnsi="Calibri"/>
          <w:sz w:val="19"/>
          <w:szCs w:val="19"/>
        </w:rPr>
        <w:t xml:space="preserve">Na visualização por bairro, o painel direito lista os oito maiores e os oito menores valores. Clicar em um nome leva o mapa até ele.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Áreas cinza. </w:t>
      </w:r>
      <w:r>
        <w:rPr>
          <w:rFonts w:ascii="Calibri" w:cs="Calibri" w:eastAsia="Calibri" w:hAnsi="Calibri"/>
          <w:sz w:val="19"/>
          <w:szCs w:val="19"/>
        </w:rPr>
        <w:t xml:space="preserve">Unidades sem informação de rendimento. Ver seção 2.3.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Fontes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4400"/>
        <w:gridCol w:w="27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fornece</w:t>
            </w:r>
          </w:p>
        </w:tc>
        <w:tc>
          <w:tcPr>
            <w:tcW w:type="dxa" w:w="2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Referência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Censo Demográfico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Rendimento das pessoas responsáveis pelos domicílios, agregado por setor censitário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Malha de Setores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Geometria dos 449 setores e vínculo a bairro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2022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2.1 O que a variável mede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indicador é o rendimento nominal médio mensal da pessoa responsável pelo domicílio. Três observações são necessárias para leitura correta.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É rendimento do responsável, não do domicílio. </w:t>
      </w:r>
      <w:r>
        <w:rPr>
          <w:rFonts w:ascii="Calibri" w:cs="Calibri" w:eastAsia="Calibri" w:hAnsi="Calibri"/>
          <w:sz w:val="19"/>
          <w:szCs w:val="19"/>
        </w:rPr>
        <w:t xml:space="preserve">Domicílios com mais de uma pessoa com rendimento têm renda total superior à registrada aqui.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É média, não mediana. </w:t>
      </w:r>
      <w:r>
        <w:rPr>
          <w:rFonts w:ascii="Calibri" w:cs="Calibri" w:eastAsia="Calibri" w:hAnsi="Calibri"/>
          <w:sz w:val="19"/>
          <w:szCs w:val="19"/>
        </w:rPr>
        <w:t xml:space="preserve">Médias são sensíveis a valores extremos: um setor com poucos domicílios de renda muito alta terá média elevada mesmo que a maioria receba pouco.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É valor nominal de 2022. </w:t>
      </w:r>
      <w:r>
        <w:rPr>
          <w:rFonts w:ascii="Calibri" w:cs="Calibri" w:eastAsia="Calibri" w:hAnsi="Calibri"/>
          <w:sz w:val="19"/>
          <w:szCs w:val="19"/>
        </w:rPr>
        <w:t xml:space="preserve">Não está corrigido pela inflação. A conversão em salários mínimos usa o valor vigente em 2022, de R$ 1.212, e permite comparação com outros períodos.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2.2 Agregação por bairro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rendimento médio por bairro não é a soma nem a média simples dos setores. É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média ponderada pelo número de domicílios com rendimento</w:t>
      </w:r>
      <w:r>
        <w:rPr>
          <w:rFonts w:ascii="Calibri" w:cs="Calibri" w:eastAsia="Calibri" w:hAnsi="Calibri"/>
          <w:sz w:val="20"/>
          <w:szCs w:val="20"/>
        </w:rPr>
        <w:t xml:space="preserve"> de cada setor, de modo que setores maiores pesem proporcionalmente mais. Somar médias produziria valores sem significado.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2.3 Unidades sem informação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21 dos 449 setores</w:t>
      </w:r>
      <w:r>
        <w:rPr>
          <w:rFonts w:ascii="Calibri" w:cs="Calibri" w:eastAsia="Calibri" w:hAnsi="Calibri"/>
          <w:sz w:val="20"/>
          <w:szCs w:val="20"/>
        </w:rPr>
        <w:t xml:space="preserve"> não têm informação de rendimento e aparecem em cinza no mapa. São setores sem domicílios particulares permanentes ocupados — áreas industriais, institucionais ou de ocupação muito rarefeita — ou setores com dado suprimido pelo IBGE por sigilo estatístico, quando o número de domicílios é pequeno demais para publicação sem risco de identificação.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Essas unidades são excluídas do cálculo das classes e de todas as estatísticas deste relatório.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2.4 Nota sobre a construção da base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As variáveis de rendimento vieram identificadas apenas por código na base recebida, sem correspondência no dicionário de dados disponível. Sua definição foi estabelecida por verificação: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V06001 corresponde ao número de domicílios</w:t>
      </w:r>
      <w:r>
        <w:rPr>
          <w:rFonts w:ascii="Calibri" w:cs="Calibri" w:eastAsia="Calibri" w:hAnsi="Calibri"/>
          <w:sz w:val="20"/>
          <w:szCs w:val="20"/>
        </w:rPr>
        <w:t xml:space="preserve"> — sua soma reproduz exatamente os 63.424 domicílios do município;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V06002 corresponde aos moradores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V06003 é o rendimento médio em salários mínimos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V06004 o mesmo valor em reais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Uma quinta variável, V06005, apresenta magnitude incompatível com qualquer interpretação testada e foi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mantida na base sem rótulo interpretativo</w:t>
      </w:r>
      <w:r>
        <w:rPr>
          <w:rFonts w:ascii="Calibri" w:cs="Calibri" w:eastAsia="Calibri" w:hAnsi="Calibri"/>
          <w:sz w:val="20"/>
          <w:szCs w:val="20"/>
        </w:rPr>
        <w:t xml:space="preserve">, para não gerar indicador incorreto. Recomenda-se confirmar sua definição junto à documentação oficial do IBGE antes de utilizá-la.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Retrato municipal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5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Rendimento médio do responsável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R$ 3.549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Em salários mínimos de 2022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2,93 SM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Domicílios considerados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63.424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Setores com informação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428 de 449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Menor valor entre setores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R$ 1.293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Maior valor entre setores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R$ 15.624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Mediana entre setores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R$ 2.795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média municipal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R$ 3.549</w:t>
      </w:r>
      <w:r>
        <w:rPr>
          <w:rFonts w:ascii="Calibri" w:cs="Calibri" w:eastAsia="Calibri" w:hAnsi="Calibri"/>
          <w:sz w:val="20"/>
          <w:szCs w:val="20"/>
        </w:rPr>
        <w:t xml:space="preserve">, equivalente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2,93 salários mínimos</w:t>
      </w:r>
      <w:r>
        <w:rPr>
          <w:rFonts w:ascii="Calibri" w:cs="Calibri" w:eastAsia="Calibri" w:hAnsi="Calibri"/>
          <w:sz w:val="20"/>
          <w:szCs w:val="20"/>
        </w:rPr>
        <w:t xml:space="preserve">. Mas a mediana entre setores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R$ 2.795</w:t>
      </w:r>
      <w:r>
        <w:rPr>
          <w:rFonts w:ascii="Calibri" w:cs="Calibri" w:eastAsia="Calibri" w:hAnsi="Calibri"/>
          <w:sz w:val="20"/>
          <w:szCs w:val="20"/>
        </w:rPr>
        <w:t xml:space="preserve"> — abaixo da média, o que indica distribuição assimétrica: poucos setores de renda muito alta puxam a média para cima.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As sete faixas do mapa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900"/>
        <w:gridCol w:w="2400"/>
        <w:gridCol w:w="3446"/>
      </w:tblGrid>
      <w:tr>
        <w:trPr>
          <w:tblHeader/>
        </w:trPr>
        <w:tc>
          <w:tcPr>
            <w:tcW w:type="dxa" w:w="3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 de rendimento</w:t>
            </w:r>
          </w:p>
        </w:tc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 salários mínimos</w:t>
            </w:r>
          </w:p>
        </w:tc>
        <w:tc>
          <w:tcPr>
            <w:tcW w:type="dxa" w:w="34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Classe</w:t>
            </w:r>
          </w:p>
        </w:tc>
      </w:tr>
      <w:tr>
        <w:tc>
          <w:tcPr>
            <w:tcW w:type="dxa" w:w="3900"/>
            <w:shd w:fill="558B2F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≥ R$ 5.269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4,35 SM</w:t>
            </w:r>
          </w:p>
        </w:tc>
        <w:tc>
          <w:tcPr>
            <w:tcW w:type="dxa" w:w="3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7ª</w:t>
            </w:r>
          </w:p>
        </w:tc>
      </w:tr>
      <w:tr>
        <w:tc>
          <w:tcPr>
            <w:tcW w:type="dxa" w:w="3900"/>
            <w:shd w:fill="7CB342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R$ 3.550 – R$ 5.269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2,93 SM</w:t>
            </w:r>
          </w:p>
        </w:tc>
        <w:tc>
          <w:tcPr>
            <w:tcW w:type="dxa" w:w="3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6ª</w:t>
            </w:r>
          </w:p>
        </w:tc>
      </w:tr>
      <w:tr>
        <w:tc>
          <w:tcPr>
            <w:tcW w:type="dxa" w:w="3900"/>
            <w:shd w:fill="9CCC65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R$ 2.950 – R$ 3.550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2,43 SM</w:t>
            </w:r>
          </w:p>
        </w:tc>
        <w:tc>
          <w:tcPr>
            <w:tcW w:type="dxa" w:w="3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5ª</w:t>
            </w:r>
          </w:p>
        </w:tc>
      </w:tr>
      <w:tr>
        <w:tc>
          <w:tcPr>
            <w:tcW w:type="dxa" w:w="3900"/>
            <w:shd w:fill="AED581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R$ 2.660 – R$ 2.950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2,19 SM</w:t>
            </w:r>
          </w:p>
        </w:tc>
        <w:tc>
          <w:tcPr>
            <w:tcW w:type="dxa" w:w="3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4ª</w:t>
            </w:r>
          </w:p>
        </w:tc>
      </w:tr>
      <w:tr>
        <w:tc>
          <w:tcPr>
            <w:tcW w:type="dxa" w:w="3900"/>
            <w:shd w:fill="C5E1A5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R$ 2.368 – R$ 2.660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1,95 SM</w:t>
            </w:r>
          </w:p>
        </w:tc>
        <w:tc>
          <w:tcPr>
            <w:tcW w:type="dxa" w:w="3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3ª</w:t>
            </w:r>
          </w:p>
        </w:tc>
      </w:tr>
      <w:tr>
        <w:tc>
          <w:tcPr>
            <w:tcW w:type="dxa" w:w="3900"/>
            <w:shd w:fill="DCEDC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R$ 2.090 – R$ 2.368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1,72 SM</w:t>
            </w:r>
          </w:p>
        </w:tc>
        <w:tc>
          <w:tcPr>
            <w:tcW w:type="dxa" w:w="3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2ª</w:t>
            </w:r>
          </w:p>
        </w:tc>
      </w:tr>
      <w:tr>
        <w:tc>
          <w:tcPr>
            <w:tcW w:type="dxa" w:w="3900"/>
            <w:shd w:fill="E8F5E9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R$ 1.293 – R$ 2.090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1,07 SM</w:t>
            </w:r>
          </w:p>
        </w:tc>
        <w:tc>
          <w:tcPr>
            <w:tcW w:type="dxa" w:w="34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1ª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Sete classes por quantil, cada uma com aproximadamente 61 setores.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Diagnóstico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A amplitude é o dado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Entre setores, o rendimento vai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R$ 1.293</w:t>
      </w:r>
      <w:r>
        <w:rPr>
          <w:rFonts w:ascii="Calibri" w:cs="Calibri" w:eastAsia="Calibri" w:hAnsi="Calibri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R$ 15.624</w:t>
      </w:r>
      <w:r>
        <w:rPr>
          <w:rFonts w:ascii="Calibri" w:cs="Calibri" w:eastAsia="Calibri" w:hAnsi="Calibri"/>
          <w:sz w:val="20"/>
          <w:szCs w:val="20"/>
        </w:rPr>
        <w:t xml:space="preserve"> — uma razão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12,1 vezes</w:t>
      </w:r>
      <w:r>
        <w:rPr>
          <w:rFonts w:ascii="Calibri" w:cs="Calibri" w:eastAsia="Calibri" w:hAnsi="Calibri"/>
          <w:sz w:val="20"/>
          <w:szCs w:val="20"/>
        </w:rPr>
        <w:t xml:space="preserve">. Entre bairros,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R$ 1.642</w:t>
      </w:r>
      <w:r>
        <w:rPr>
          <w:rFonts w:ascii="Calibri" w:cs="Calibri" w:eastAsia="Calibri" w:hAnsi="Calibri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R$ 14.552</w:t>
      </w:r>
      <w:r>
        <w:rPr>
          <w:rFonts w:ascii="Calibri" w:cs="Calibri" w:eastAsia="Calibri" w:hAnsi="Calibri"/>
          <w:sz w:val="20"/>
          <w:szCs w:val="20"/>
        </w:rPr>
        <w:t xml:space="preserve">, razão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8,9 vezes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Comparando os extremos da distribuição: o décimo dos setores de menor rendimento tem média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R$ 1.804</w:t>
      </w:r>
      <w:r>
        <w:rPr>
          <w:rFonts w:ascii="Calibri" w:cs="Calibri" w:eastAsia="Calibri" w:hAnsi="Calibri"/>
          <w:sz w:val="20"/>
          <w:szCs w:val="20"/>
        </w:rPr>
        <w:t xml:space="preserve">, e o décimo de maior rendimento,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R$ 8.613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4,8 vezes mais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leitura mais direta do porte da desigualdade: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284 dos 428 setores</w:t>
      </w:r>
      <w:r>
        <w:rPr>
          <w:rFonts w:ascii="Calibri" w:cs="Calibri" w:eastAsia="Calibri" w:hAnsi="Calibri"/>
          <w:sz w:val="20"/>
          <w:szCs w:val="20"/>
        </w:rPr>
        <w:t xml:space="preserve"> têm rendimento médio abaixo de dois salários mínimos,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404</w:t>
      </w:r>
      <w:r>
        <w:rPr>
          <w:rFonts w:ascii="Calibri" w:cs="Calibri" w:eastAsia="Calibri" w:hAnsi="Calibri"/>
          <w:sz w:val="20"/>
          <w:szCs w:val="20"/>
        </w:rPr>
        <w:t xml:space="preserve"> abaixo de três.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Bairros de maior rendimento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900"/>
        <w:gridCol w:w="2100"/>
        <w:gridCol w:w="2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Moradores</w:t>
            </w:r>
          </w:p>
        </w:tc>
        <w:tc>
          <w:tcPr>
            <w:tcW w:type="dxa" w:w="2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Rendimento médio</w:t>
            </w:r>
          </w:p>
        </w:tc>
        <w:tc>
          <w:tcPr>
            <w:tcW w:type="dxa" w:w="2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 SM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Verde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R$ 14.552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12,01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Helena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R$ 13.005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10,73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Santana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1.519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R$ 9.477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7,82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Caeté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R$ 9.202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7,59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Palmeiras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R$ 7.997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6,60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Itapechinga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R$ 7.970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6,58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América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1.863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R$ 7.081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5,84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Pinheirais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5.744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R$ 6.620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5,46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Luzia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8.287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R$ 6.237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5,15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Curitibanos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446</w:t>
            </w:r>
          </w:p>
        </w:tc>
        <w:tc>
          <w:tcPr>
            <w:tcW w:type="dxa" w:w="2100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R$ 6.192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5,11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4.3 Bairros de menor rendimento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900"/>
        <w:gridCol w:w="2100"/>
        <w:gridCol w:w="2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Moradores</w:t>
            </w:r>
          </w:p>
        </w:tc>
        <w:tc>
          <w:tcPr>
            <w:tcW w:type="dxa" w:w="2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Rendimento médio</w:t>
            </w:r>
          </w:p>
        </w:tc>
        <w:tc>
          <w:tcPr>
            <w:tcW w:type="dxa" w:w="2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 SM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Mãe dos Homens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206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R$ 1.642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1,36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Couto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R$ 1.729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1,43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Estiva do Agudo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R$ 1.874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1,55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do Agudo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706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R$ 1.976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1,63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Campinho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559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R$ 1.982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Bocaina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343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R$ 1.985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1,64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Birica do Campo Novo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551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R$ 2.243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1,85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Menin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1.420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R$ 2.268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1,87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Pereiras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1.430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R$ 2.296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1,89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Modestos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146</w:t>
            </w:r>
          </w:p>
        </w:tc>
        <w:tc>
          <w:tcPr>
            <w:tcW w:type="dxa" w:w="21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R$ 2.310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1,91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Cabe uma ressalva de leitura: alguns bairros no topo da lista têm população pequena, o que torna a média sensível a poucos domicílios. Morro Verde, com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156 moradores</w:t>
      </w:r>
      <w:r>
        <w:rPr>
          <w:rFonts w:ascii="Calibri" w:cs="Calibri" w:eastAsia="Calibri" w:hAnsi="Calibri"/>
          <w:sz w:val="20"/>
          <w:szCs w:val="20"/>
        </w:rPr>
        <w:t xml:space="preserve">, ilustra o caso. Para decisões de política, convém considerar conjuntamente rendimento e população.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4.4 Urbano e rural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900"/>
        <w:gridCol w:w="2300"/>
        <w:gridCol w:w="25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Setores</w:t>
            </w:r>
          </w:p>
        </w:tc>
        <w:tc>
          <w:tcPr>
            <w:tcW w:type="dxa" w:w="2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Rendimento médio</w:t>
            </w:r>
          </w:p>
        </w:tc>
        <w:tc>
          <w:tcPr>
            <w:tcW w:type="dxa" w:w="2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Mediana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Urbana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R$ 3.625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R$ 2.866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Rural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2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R$ 2.504</w:t>
            </w:r>
          </w:p>
        </w:tc>
        <w:tc>
          <w:tcPr>
            <w:tcW w:type="dxa" w:w="2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R$ 2.462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rendimento médio na área urbana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45% superior</w:t>
      </w:r>
      <w:r>
        <w:rPr>
          <w:rFonts w:ascii="Calibri" w:cs="Calibri" w:eastAsia="Calibri" w:hAnsi="Calibri"/>
          <w:sz w:val="20"/>
          <w:szCs w:val="20"/>
        </w:rPr>
        <w:t xml:space="preserve"> ao da área rural. A diferença existe, mas é modesta diante da amplitude interna à própria área urbana — o que indica que a clivagem principal não é entre campo e cidade, e sim dentro da cidade.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4.5 Renda e perfil socioeconômico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Cruzando o rendimento com as demais variáveis do Censo por setor, obtêm-se os coeficientes de correlação abaixo. Valores próximos de zero indicam ausência de relação; próximos de 1 ou −1, relação forte.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000"/>
        <w:gridCol w:w="2200"/>
        <w:gridCol w:w="3546"/>
      </w:tblGrid>
      <w:tr>
        <w:trPr>
          <w:tblHeader/>
        </w:trPr>
        <w:tc>
          <w:tcPr>
            <w:tcW w:type="dxa" w:w="4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Correlação</w:t>
            </w:r>
          </w:p>
        </w:tc>
        <w:tc>
          <w:tcPr>
            <w:tcW w:type="dxa" w:w="3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Pretos e pardos (%)</w:t>
            </w:r>
          </w:p>
        </w:tc>
        <w:tc>
          <w:tcPr>
            <w:tcW w:type="dxa" w:w="22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-0,583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Negativa moderada a forte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Alfabetização 15+ (%)</w:t>
            </w:r>
          </w:p>
        </w:tc>
        <w:tc>
          <w:tcPr>
            <w:tcW w:type="dxa" w:w="2200"/>
            <w:shd w:fill="FFF3B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0,429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Positiva moderada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Crianças 0–9 (%)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-0,152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Negativa fraca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Idosos 60+ (%)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0,094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Praticamente nula</w:t>
            </w:r>
          </w:p>
        </w:tc>
      </w:tr>
      <w:tr>
        <w:tc>
          <w:tcPr>
            <w:tcW w:type="dxa" w:w="4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demográfica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0,012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Nula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achado mais relevante é a correlação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-0,583</w:t>
      </w:r>
      <w:r>
        <w:rPr>
          <w:rFonts w:ascii="Calibri" w:cs="Calibri" w:eastAsia="Calibri" w:hAnsi="Calibri"/>
          <w:sz w:val="20"/>
          <w:szCs w:val="20"/>
        </w:rPr>
        <w:t xml:space="preserve"> entre rendimento e proporção de pretos e pardos. É uma associação de magnitude considerável para dados territoriais: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quanto maior a proporção de população preta e parda no setor, menor o rendimento médio</w:t>
      </w:r>
      <w:r>
        <w:rPr>
          <w:rFonts w:ascii="Calibri" w:cs="Calibri" w:eastAsia="Calibri" w:hAnsi="Calibri"/>
          <w:sz w:val="20"/>
          <w:szCs w:val="20"/>
        </w:rPr>
        <w:t xml:space="preserve">. A desigualdade de renda em Bragança Paulista tem, portanto, dimensão racial mensurável e espacialmente organizada.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correlação com alfabetização,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0,429</w:t>
      </w:r>
      <w:r>
        <w:rPr>
          <w:rFonts w:ascii="Calibri" w:cs="Calibri" w:eastAsia="Calibri" w:hAnsi="Calibri"/>
          <w:sz w:val="20"/>
          <w:szCs w:val="20"/>
        </w:rPr>
        <w:t xml:space="preserve">, confirma a associação esperada entre escolaridade e renda, e reforça a leitura de que os setores de menor rendimento acumulam desvantagens.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Já a densidade demográfica não guarda relação com renda (coeficiente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0,012</w:t>
      </w:r>
      <w:r>
        <w:rPr>
          <w:rFonts w:ascii="Calibri" w:cs="Calibri" w:eastAsia="Calibri" w:hAnsi="Calibri"/>
          <w:sz w:val="20"/>
          <w:szCs w:val="20"/>
        </w:rPr>
        <w:t xml:space="preserve">). Isso desfaz uma suposição comum no planejamento: em Bragança, adensamento não é indicador de pobreza nem de riqueza. Há setores densos de alta e de baixa renda, e o mesmo vale para os rarefeitos.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Correlação não é causalidade.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Os coeficientes descrevem associação estatística entre variáveis medidas no mesmo território, e não relação de causa e efeito. Servem para orientar onde investigar, não para concluir.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Conclusão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Bragança Paulista tem rendimento médio do responsável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R$ 3.549</w:t>
      </w:r>
      <w:r>
        <w:rPr>
          <w:rFonts w:ascii="Calibri" w:cs="Calibri" w:eastAsia="Calibri" w:hAnsi="Calibri"/>
          <w:sz w:val="20"/>
          <w:szCs w:val="20"/>
        </w:rPr>
        <w:t xml:space="preserve">, pouco menos de três salários mínimos. Esse número, isolado, diz pouco.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que o mapa revela é a distribuição desse rendimento no território, e ela é acentuadamente desigual: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12,1 vezes entre o setor mais pobre e o mais rico</w:t>
      </w:r>
      <w:r>
        <w:rPr>
          <w:rFonts w:ascii="Calibri" w:cs="Calibri" w:eastAsia="Calibri" w:hAnsi="Calibri"/>
          <w:sz w:val="20"/>
          <w:szCs w:val="20"/>
        </w:rPr>
        <w:t xml:space="preserve">, e dois terços dos setores abaixo de dois salários mínimos.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Mais importante para o Plano Diretor, essa desigualdade não é aleatória no espaço. </w:t>
      </w:r>
      <w:r>
        <w:rPr>
          <w:rFonts w:ascii="Calibri" w:cs="Calibri" w:eastAsia="Calibri" w:hAnsi="Calibri"/>
          <w:sz w:val="20"/>
          <w:szCs w:val="20"/>
        </w:rPr>
        <w:t xml:space="preserve">Ela se correlaciona negativamente com a proporção de população preta e parda e positivamente com alfabetização — ou seja, os setores de menor rendimento tendem a ser os mesmos com maior proporção de pretos e pardos e menor escolaridade. Trata-se de desvantagem acumulada e territorialmente concentrada.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Delimitação de ZEIS. </w:t>
      </w:r>
      <w:r>
        <w:rPr>
          <w:rFonts w:ascii="Calibri" w:cs="Calibri" w:eastAsia="Calibri" w:hAnsi="Calibri"/>
          <w:sz w:val="19"/>
          <w:szCs w:val="19"/>
        </w:rPr>
        <w:t xml:space="preserve">Os setores de menor rendimento, cruzados com precariedade habitacional e déficit de infraestrutura, são candidatos naturais a Zonas Especiais de Interesse Social. Este mapa fornece o primeiro dos três critérios.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Priorização de investimento. </w:t>
      </w:r>
      <w:r>
        <w:rPr>
          <w:rFonts w:ascii="Calibri" w:cs="Calibri" w:eastAsia="Calibri" w:hAnsi="Calibri"/>
          <w:sz w:val="19"/>
          <w:szCs w:val="19"/>
        </w:rPr>
        <w:t xml:space="preserve">A concentração territorial da baixa renda indica onde a ausência de infraestrutura tem maior impacto social. Confrontar com os mapas de saneamento, mobilidade e equipamentos permite identificar sobreposições de carência.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Instrumentos de recuperação de mais-valia. </w:t>
      </w:r>
      <w:r>
        <w:rPr>
          <w:rFonts w:ascii="Calibri" w:cs="Calibri" w:eastAsia="Calibri" w:hAnsi="Calibri"/>
          <w:sz w:val="19"/>
          <w:szCs w:val="19"/>
        </w:rPr>
        <w:t xml:space="preserve">A amplitude de rendimento sugere diferenças expressivas no valor do solo. A outorga onerosa e demais instrumentos exigem, contudo, a Planta Genérica de Valores, que não integra os 30 mapas do cronograma e permanece como lacuna.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Dimensão racial da desigualdade. </w:t>
      </w:r>
      <w:r>
        <w:rPr>
          <w:rFonts w:ascii="Calibri" w:cs="Calibri" w:eastAsia="Calibri" w:hAnsi="Calibri"/>
          <w:sz w:val="19"/>
          <w:szCs w:val="19"/>
        </w:rPr>
        <w:t xml:space="preserve">A correlação encontrada recomenda que a revisão trate o recorte racial explicitamente no diagnóstico, e não apenas o recorte de renda.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Adensamento não é sinônimo de pobreza. </w:t>
      </w:r>
      <w:r>
        <w:rPr>
          <w:rFonts w:ascii="Calibri" w:cs="Calibri" w:eastAsia="Calibri" w:hAnsi="Calibri"/>
          <w:sz w:val="19"/>
          <w:szCs w:val="19"/>
        </w:rPr>
        <w:t xml:space="preserve">A ausência de correlação entre densidade e renda desautoriza tratar áreas densas como prioritárias por presunção. A priorização deve seguir indicadores diretos.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06_CENSO_2022_SETORES.gpkg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em EPSG:31983 com quatro camadas e projeto QGIS embutido, incluindo os estilos de renda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Arquivos .qml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Dezoito estilos, dos quais três de rendimento: setores em reais, setores em salários mínimos e bairros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.qgs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QGIS avulso, alternativo ao embutido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seleção de unidade territorial e variável, sete classes por quantil, popup comparativo, ranking por bairro e exportação em JPEG e PDF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Campos de renda no GeoPackage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2400"/>
        <w:gridCol w:w="43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Unidade</w:t>
            </w:r>
          </w:p>
        </w:tc>
        <w:tc>
          <w:tcPr>
            <w:tcW w:type="dxa" w:w="4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renda_media_reais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R$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Rendimento nominal médio mensal do responsável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renda_media_sm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salários mínimos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 mesmo valor dividido por R$ 1.212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renda_domicilios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domicílios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Domicílios com informação de rendimento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renda_moradores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pessoas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Moradores nesses domicílios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V06005_nao_identificada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Variável mantida sem interpretação. Ver seção 2.4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indicador refere-se ao responsável pelo domicílio, não à renda domiciliar total nem à renda per capita.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Por ser média, é sensível a valores extremos. Bairros de população pequena têm média instável.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Valores nominais de 2022, sem correção monetária.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Vinte e um setores não têm informação e foram excluídos de todos os cálculos.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variável V06005 permanece sem definição confirmada e não foi utilizada em nenhum indicador.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As correlações apresentadas descrevem associação estatística entre setores, não relação causal.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Renda por Setor Censitário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Renda por Setor Censitário — Relatório e Diagnóstico</dc:title>
  <dc:creator>Divisão de Planejamento — Prefeitura de Bragança Paulista</dc:creator>
  <cp:lastModifiedBy>Un-named</cp:lastModifiedBy>
  <cp:revision>1</cp:revision>
  <dcterms:created xsi:type="dcterms:W3CDTF">2026-08-20T16:35:24.713Z</dcterms:created>
  <dcterms:modified xsi:type="dcterms:W3CDTF">2026-08-20T16:35:24.716Z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