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107A" w14:textId="77777777" w:rsidR="008816B4" w:rsidRDefault="001F49E7">
      <w:pPr>
        <w:spacing w:after="80"/>
        <w:jc w:val="center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Roteiro de Apresentação — TCC</w:t>
      </w:r>
    </w:p>
    <w:p w14:paraId="1EFFE280" w14:textId="77777777" w:rsidR="008816B4" w:rsidRDefault="001F49E7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Comércio Noturno e Desenvolvimento Socioeconômico em Porto Alegre: Uma Análise por Bairros (2000–2010)</w:t>
      </w:r>
    </w:p>
    <w:p w14:paraId="59A11B98" w14:textId="77777777" w:rsidR="008816B4" w:rsidRDefault="001F49E7">
      <w:pPr>
        <w:spacing w:after="60"/>
        <w:jc w:val="center"/>
      </w:pPr>
      <w:r>
        <w:rPr>
          <w:rFonts w:ascii="Arial" w:eastAsia="Arial" w:hAnsi="Arial" w:cs="Arial"/>
          <w:i/>
          <w:iCs/>
          <w:color w:val="555555"/>
        </w:rPr>
        <w:t>Pedro Papini Almeida | Orientadora: Aline Kruger Dalcin | UFRGS — FCE</w:t>
      </w:r>
    </w:p>
    <w:p w14:paraId="14AC80EB" w14:textId="77777777" w:rsidR="008816B4" w:rsidRDefault="001F49E7">
      <w:pPr>
        <w:spacing w:after="200"/>
        <w:jc w:val="center"/>
      </w:pPr>
      <w:r>
        <w:rPr>
          <w:rFonts w:ascii="Arial" w:eastAsia="Arial" w:hAnsi="Arial" w:cs="Arial"/>
          <w:b/>
          <w:bCs/>
          <w:color w:val="555555"/>
        </w:rPr>
        <w:t>Duração total: 15 minutos</w:t>
      </w:r>
    </w:p>
    <w:p w14:paraId="38DA8406" w14:textId="77777777" w:rsidR="008816B4" w:rsidRDefault="008816B4">
      <w:pPr>
        <w:pBdr>
          <w:bottom w:val="thick" w:sz="8" w:space="1" w:color="1A3C6E"/>
        </w:pBdr>
        <w:spacing w:after="280"/>
      </w:pPr>
    </w:p>
    <w:p w14:paraId="3207AD0D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1. Abertura e problema de pesquisa</w:t>
      </w:r>
    </w:p>
    <w:p w14:paraId="60C0C3DF" w14:textId="46A6F397" w:rsidR="0018607A" w:rsidRDefault="0018607A" w:rsidP="0018607A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apresentação começa agradecendo a banca por disponibilizar o tempo de avaliar o meu trabalho de conclusão.</w:t>
      </w:r>
    </w:p>
    <w:p w14:paraId="6B86A183" w14:textId="725B7AFD" w:rsidR="008816B4" w:rsidRDefault="0018607A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>Posteriormente, inicia-se</w:t>
      </w:r>
      <w:r w:rsidR="001F49E7">
        <w:rPr>
          <w:rFonts w:ascii="Arial" w:eastAsia="Arial" w:hAnsi="Arial" w:cs="Arial"/>
          <w:sz w:val="22"/>
          <w:szCs w:val="22"/>
        </w:rPr>
        <w:t xml:space="preserve"> com uma breve contextualização: trata-se de um Trabalho de Conclusão de Curso em Ciências Econômicas pela UFRGS, sob orientação da professora Aline Kruger Dalcin. O tema surgiu da percepção de que o comércio noturno ocupa um papel econômico e social relevante nas cidades, mas permanece pouco estudado no Brasil sob a perspectiva da Economia Urbana — o que justifica a escolha do recorte.</w:t>
      </w:r>
    </w:p>
    <w:p w14:paraId="26EF1DF8" w14:textId="3A8A3D3D" w:rsidR="008816B4" w:rsidRDefault="001F49E7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 pergunta central que guia o trabalho é: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"Em que medida o comércio noturno está associado ao desenvolvimento socioeconômico dos bairros de Porto Alegre?" </w:t>
      </w:r>
      <w:r>
        <w:rPr>
          <w:rFonts w:ascii="Arial" w:eastAsia="Arial" w:hAnsi="Arial" w:cs="Arial"/>
          <w:sz w:val="22"/>
          <w:szCs w:val="22"/>
        </w:rPr>
        <w:t>O objetivo é analisar a relação entre a intensidade de estabelecimentos noturnos e indicadores de desenvolvimento — IDHM e renda média — nos bairros de Porto Alegre, com dados dos Censos de 2000 e 2010.</w:t>
      </w:r>
    </w:p>
    <w:p w14:paraId="645C146A" w14:textId="77D41BAC" w:rsidR="0018607A" w:rsidRDefault="0018607A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Buscando contribuir, com esse trabalho, um mapeamento do comércio noturno nos bairros de Porto Alegre, e fornecer </w:t>
      </w:r>
      <w:r w:rsidRPr="0018607A">
        <w:rPr>
          <w:rFonts w:ascii="Arial" w:eastAsia="Arial" w:hAnsi="Arial" w:cs="Arial"/>
          <w:sz w:val="22"/>
          <w:szCs w:val="22"/>
        </w:rPr>
        <w:t>subsídios para pesquisas futuras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Pr="0018607A">
        <w:rPr>
          <w:rFonts w:ascii="Arial" w:eastAsia="Arial" w:hAnsi="Arial" w:cs="Arial"/>
          <w:sz w:val="22"/>
          <w:szCs w:val="22"/>
        </w:rPr>
        <w:t>contribui</w:t>
      </w:r>
      <w:r>
        <w:rPr>
          <w:rFonts w:ascii="Arial" w:eastAsia="Arial" w:hAnsi="Arial" w:cs="Arial"/>
          <w:sz w:val="22"/>
          <w:szCs w:val="22"/>
        </w:rPr>
        <w:t>ndo</w:t>
      </w:r>
      <w:r w:rsidRPr="0018607A">
        <w:rPr>
          <w:rFonts w:ascii="Arial" w:eastAsia="Arial" w:hAnsi="Arial" w:cs="Arial"/>
          <w:sz w:val="22"/>
          <w:szCs w:val="22"/>
        </w:rPr>
        <w:t xml:space="preserve"> para um campo de estudo recentemente</w:t>
      </w:r>
      <w:r>
        <w:rPr>
          <w:rFonts w:ascii="Arial" w:eastAsia="Arial" w:hAnsi="Arial" w:cs="Arial"/>
          <w:sz w:val="22"/>
          <w:szCs w:val="22"/>
        </w:rPr>
        <w:t>.</w:t>
      </w:r>
    </w:p>
    <w:p w14:paraId="3E5D84D7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2. Referencial teórico</w:t>
      </w:r>
    </w:p>
    <w:p w14:paraId="24BE0C77" w14:textId="2A0586D9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O trabalho apoia-se em três eixos teóricos principais. O primeiro é a </w:t>
      </w:r>
      <w:r>
        <w:rPr>
          <w:rFonts w:ascii="Arial" w:eastAsia="Arial" w:hAnsi="Arial" w:cs="Arial"/>
          <w:b/>
          <w:bCs/>
          <w:sz w:val="22"/>
          <w:szCs w:val="22"/>
        </w:rPr>
        <w:t>Economia Urbana</w:t>
      </w:r>
      <w:r>
        <w:rPr>
          <w:rFonts w:ascii="Arial" w:eastAsia="Arial" w:hAnsi="Arial" w:cs="Arial"/>
          <w:sz w:val="22"/>
          <w:szCs w:val="22"/>
        </w:rPr>
        <w:t>: segundo Glaeser e O'Sullivan, as cidades existem porque a concentração de pessoas e atividades gera ganhos de aglomeração</w:t>
      </w:r>
      <w:r w:rsidR="00595AE3">
        <w:rPr>
          <w:rFonts w:ascii="Arial" w:eastAsia="Arial" w:hAnsi="Arial" w:cs="Arial"/>
          <w:sz w:val="22"/>
          <w:szCs w:val="22"/>
        </w:rPr>
        <w:t xml:space="preserve">, ou seja, </w:t>
      </w:r>
      <w:r w:rsidR="00595AE3" w:rsidRPr="00595AE3">
        <w:rPr>
          <w:rFonts w:ascii="Arial" w:eastAsia="Arial" w:hAnsi="Arial" w:cs="Arial"/>
          <w:b/>
          <w:bCs/>
          <w:sz w:val="22"/>
          <w:szCs w:val="22"/>
        </w:rPr>
        <w:t>“Economias de Aglomeração”</w:t>
      </w:r>
      <w:r>
        <w:rPr>
          <w:rFonts w:ascii="Arial" w:eastAsia="Arial" w:hAnsi="Arial" w:cs="Arial"/>
          <w:sz w:val="22"/>
          <w:szCs w:val="22"/>
        </w:rPr>
        <w:t xml:space="preserve"> — maior produtividade, variedade de serviços e inovação. </w:t>
      </w:r>
      <w:r w:rsidR="00595AE3">
        <w:rPr>
          <w:rFonts w:ascii="Arial" w:eastAsia="Arial" w:hAnsi="Arial" w:cs="Arial"/>
          <w:sz w:val="22"/>
          <w:szCs w:val="22"/>
        </w:rPr>
        <w:t xml:space="preserve">Isso incentiva a criação de </w:t>
      </w:r>
      <w:r w:rsidR="00595AE3" w:rsidRPr="00595AE3">
        <w:rPr>
          <w:rFonts w:ascii="Arial" w:eastAsia="Arial" w:hAnsi="Arial" w:cs="Arial"/>
          <w:b/>
          <w:bCs/>
          <w:sz w:val="22"/>
          <w:szCs w:val="22"/>
        </w:rPr>
        <w:t>“centralidades urbanas”</w:t>
      </w:r>
      <w:r w:rsidR="00595AE3">
        <w:rPr>
          <w:rFonts w:ascii="Arial" w:eastAsia="Arial" w:hAnsi="Arial" w:cs="Arial"/>
          <w:sz w:val="22"/>
          <w:szCs w:val="22"/>
        </w:rPr>
        <w:t xml:space="preserve"> — nós que unem fluxo de pessoas e dinheiro. Começou com o modelo </w:t>
      </w:r>
      <w:r w:rsidR="00595AE3" w:rsidRPr="00595AE3">
        <w:rPr>
          <w:rFonts w:ascii="Arial" w:eastAsia="Arial" w:hAnsi="Arial" w:cs="Arial"/>
          <w:b/>
          <w:bCs/>
          <w:sz w:val="22"/>
          <w:szCs w:val="22"/>
        </w:rPr>
        <w:t>monocêntrico</w:t>
      </w:r>
      <w:r w:rsidR="00595AE3">
        <w:rPr>
          <w:rFonts w:ascii="Arial" w:eastAsia="Arial" w:hAnsi="Arial" w:cs="Arial"/>
          <w:sz w:val="22"/>
          <w:szCs w:val="22"/>
        </w:rPr>
        <w:t xml:space="preserve"> (1 centralidade), entretanto, atualmente existe o modelo </w:t>
      </w:r>
      <w:r w:rsidR="00595AE3" w:rsidRPr="00595AE3">
        <w:rPr>
          <w:rFonts w:ascii="Arial" w:eastAsia="Arial" w:hAnsi="Arial" w:cs="Arial"/>
          <w:b/>
          <w:bCs/>
          <w:sz w:val="22"/>
          <w:szCs w:val="22"/>
        </w:rPr>
        <w:t>policêntrico</w:t>
      </w:r>
      <w:r w:rsidR="00595AE3">
        <w:rPr>
          <w:rFonts w:ascii="Arial" w:eastAsia="Arial" w:hAnsi="Arial" w:cs="Arial"/>
          <w:sz w:val="22"/>
          <w:szCs w:val="22"/>
        </w:rPr>
        <w:t xml:space="preserve"> (2/+ centralidades) que é mais próximo da realidade. O comércio noturno se insere no modelo policêntrico, visto que ele se distribui pelo desigualmente pelos territórios das cidades.</w:t>
      </w:r>
    </w:p>
    <w:p w14:paraId="29F0FB56" w14:textId="18AE101C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O segundo eixo é a perspectiva crítica sobre o </w:t>
      </w:r>
      <w:r>
        <w:rPr>
          <w:rFonts w:ascii="Arial" w:eastAsia="Arial" w:hAnsi="Arial" w:cs="Arial"/>
          <w:b/>
          <w:bCs/>
          <w:sz w:val="22"/>
          <w:szCs w:val="22"/>
        </w:rPr>
        <w:t>espaço urbano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Lefebvre</w:t>
      </w:r>
      <w:r>
        <w:rPr>
          <w:rFonts w:ascii="Arial" w:eastAsia="Arial" w:hAnsi="Arial" w:cs="Arial"/>
          <w:sz w:val="22"/>
          <w:szCs w:val="22"/>
        </w:rPr>
        <w:t xml:space="preserve"> distingue a cidade como obra coletiva da cidade como produto do capital;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Harvey</w:t>
      </w:r>
      <w:r>
        <w:rPr>
          <w:rFonts w:ascii="Arial" w:eastAsia="Arial" w:hAnsi="Arial" w:cs="Arial"/>
          <w:sz w:val="22"/>
          <w:szCs w:val="22"/>
        </w:rPr>
        <w:t xml:space="preserve"> mostra como a valorização do espaço é seletiva e reproduz desigualdades</w:t>
      </w:r>
      <w:r w:rsidR="00595AE3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154463">
        <w:rPr>
          <w:rFonts w:ascii="Arial" w:eastAsia="Arial" w:hAnsi="Arial" w:cs="Arial"/>
          <w:sz w:val="22"/>
          <w:szCs w:val="22"/>
        </w:rPr>
        <w:t xml:space="preserve">Dessa forma, a estruturação de cidades policêntricas representaria uma </w:t>
      </w:r>
      <w:r w:rsidR="00154463" w:rsidRPr="008C0C51">
        <w:rPr>
          <w:rFonts w:ascii="Arial" w:eastAsia="Arial" w:hAnsi="Arial" w:cs="Arial"/>
          <w:b/>
          <w:bCs/>
          <w:sz w:val="22"/>
          <w:szCs w:val="22"/>
        </w:rPr>
        <w:t>consequência negativa do capitalismo</w:t>
      </w:r>
      <w:r w:rsidR="00154463">
        <w:rPr>
          <w:rFonts w:ascii="Arial" w:eastAsia="Arial" w:hAnsi="Arial" w:cs="Arial"/>
          <w:sz w:val="22"/>
          <w:szCs w:val="22"/>
        </w:rPr>
        <w:t xml:space="preserve">, visto que amplia desigualdades. </w:t>
      </w:r>
      <w:r w:rsidR="008C0C51">
        <w:rPr>
          <w:rFonts w:ascii="Arial" w:eastAsia="Arial" w:hAnsi="Arial" w:cs="Arial"/>
          <w:sz w:val="22"/>
          <w:szCs w:val="22"/>
        </w:rPr>
        <w:t xml:space="preserve">Por outro lado,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Jacobs e Gehl</w:t>
      </w:r>
      <w:r>
        <w:rPr>
          <w:rFonts w:ascii="Arial" w:eastAsia="Arial" w:hAnsi="Arial" w:cs="Arial"/>
          <w:sz w:val="22"/>
          <w:szCs w:val="22"/>
        </w:rPr>
        <w:t xml:space="preserve"> argumentam que a diversidade de usos — inclusive noturnos — é o que torna a cidade viva e segura.</w:t>
      </w:r>
      <w:r w:rsidR="008C0C51">
        <w:rPr>
          <w:rFonts w:ascii="Arial" w:eastAsia="Arial" w:hAnsi="Arial" w:cs="Arial"/>
          <w:sz w:val="22"/>
          <w:szCs w:val="22"/>
        </w:rPr>
        <w:t xml:space="preserve"> Dessa forma, </w:t>
      </w:r>
      <w:r w:rsidR="008C0C51" w:rsidRPr="008C0C51">
        <w:rPr>
          <w:rFonts w:ascii="Arial" w:eastAsia="Arial" w:hAnsi="Arial" w:cs="Arial"/>
          <w:sz w:val="22"/>
          <w:szCs w:val="22"/>
        </w:rPr>
        <w:t xml:space="preserve">o processo de consolidação de cidades policêntrica pode gerar </w:t>
      </w:r>
      <w:r w:rsidR="008C0C51" w:rsidRPr="008C0C51">
        <w:rPr>
          <w:rFonts w:ascii="Arial" w:eastAsia="Arial" w:hAnsi="Arial" w:cs="Arial"/>
          <w:b/>
          <w:bCs/>
          <w:sz w:val="22"/>
          <w:szCs w:val="22"/>
        </w:rPr>
        <w:t>externalidades positivas para a vida dos habitantes</w:t>
      </w:r>
      <w:r w:rsidR="008C0C51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Essas lentes são fundamentais para entender por que bairros diferentes respondem de formas distintas à presença do comércio noturno.</w:t>
      </w:r>
    </w:p>
    <w:p w14:paraId="60838260" w14:textId="06C9CA21" w:rsidR="008C0C51" w:rsidRPr="008C0C51" w:rsidRDefault="001F49E7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terceiro eixo é a própria </w:t>
      </w:r>
      <w:r>
        <w:rPr>
          <w:rFonts w:ascii="Arial" w:eastAsia="Arial" w:hAnsi="Arial" w:cs="Arial"/>
          <w:b/>
          <w:bCs/>
          <w:sz w:val="22"/>
          <w:szCs w:val="22"/>
        </w:rPr>
        <w:t>economia noturna</w:t>
      </w:r>
      <w:r>
        <w:rPr>
          <w:rFonts w:ascii="Arial" w:eastAsia="Arial" w:hAnsi="Arial" w:cs="Arial"/>
          <w:sz w:val="22"/>
          <w:szCs w:val="22"/>
        </w:rPr>
        <w:t xml:space="preserve"> como objeto de estudo. Cruz e Tenório, e Roberts e Eldridge, mostram que a noite não é mera extensão do dia: ela tem lógicas próprias de consumo, sociabilidade e conflito</w:t>
      </w:r>
      <w:r w:rsidR="008C0C51">
        <w:rPr>
          <w:rFonts w:ascii="Arial" w:eastAsia="Arial" w:hAnsi="Arial" w:cs="Arial"/>
          <w:sz w:val="22"/>
          <w:szCs w:val="22"/>
        </w:rPr>
        <w:t xml:space="preserve">. </w:t>
      </w:r>
      <w:r w:rsidR="008C0C51" w:rsidRPr="008C0C51">
        <w:rPr>
          <w:rFonts w:ascii="Arial" w:eastAsia="Arial" w:hAnsi="Arial" w:cs="Arial"/>
          <w:sz w:val="22"/>
          <w:szCs w:val="22"/>
        </w:rPr>
        <w:t>Nesse sentido, esse conjunto de atividades se insere diretamente nas duas primeiras áreas de análise da economia urbana propostas por</w:t>
      </w:r>
      <w:r w:rsidR="008C0C51">
        <w:rPr>
          <w:rFonts w:ascii="Arial" w:eastAsia="Arial" w:hAnsi="Arial" w:cs="Arial"/>
          <w:sz w:val="22"/>
          <w:szCs w:val="22"/>
        </w:rPr>
        <w:t xml:space="preserve">: </w:t>
      </w:r>
      <w:r w:rsidR="008C0C51" w:rsidRPr="008C0C51">
        <w:rPr>
          <w:rFonts w:ascii="Arial" w:eastAsia="Arial" w:hAnsi="Arial" w:cs="Arial"/>
          <w:b/>
          <w:bCs/>
          <w:sz w:val="22"/>
          <w:szCs w:val="22"/>
        </w:rPr>
        <w:t>Forças de mercado</w:t>
      </w:r>
      <w:r w:rsidR="008C0C51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8C0C51">
        <w:rPr>
          <w:rFonts w:ascii="Arial" w:eastAsia="Arial" w:hAnsi="Arial" w:cs="Arial"/>
          <w:sz w:val="22"/>
          <w:szCs w:val="22"/>
        </w:rPr>
        <w:t xml:space="preserve">e </w:t>
      </w:r>
      <w:r w:rsidR="008C0C51" w:rsidRPr="008C0C51">
        <w:rPr>
          <w:rFonts w:ascii="Arial" w:eastAsia="Arial" w:hAnsi="Arial" w:cs="Arial"/>
          <w:b/>
          <w:bCs/>
          <w:sz w:val="22"/>
          <w:szCs w:val="22"/>
        </w:rPr>
        <w:t>Uso do solo urbano</w:t>
      </w:r>
      <w:r w:rsidR="008C0C51">
        <w:rPr>
          <w:rFonts w:ascii="Arial" w:eastAsia="Arial" w:hAnsi="Arial" w:cs="Arial"/>
          <w:b/>
          <w:bCs/>
          <w:sz w:val="22"/>
          <w:szCs w:val="22"/>
        </w:rPr>
        <w:t>.</w:t>
      </w:r>
    </w:p>
    <w:p w14:paraId="4DCA1FB1" w14:textId="66F0AE86" w:rsidR="008C0C51" w:rsidRDefault="008C0C51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 isso, é necessário entender o que é desenvolvimento socioeconômico.</w:t>
      </w:r>
      <w:r w:rsidR="001F49E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 w:rsidR="001F49E7">
        <w:rPr>
          <w:rFonts w:ascii="Arial" w:eastAsia="Arial" w:hAnsi="Arial" w:cs="Arial"/>
          <w:sz w:val="22"/>
          <w:szCs w:val="22"/>
        </w:rPr>
        <w:t xml:space="preserve"> noção de </w:t>
      </w:r>
      <w:r w:rsidR="001F49E7">
        <w:rPr>
          <w:rFonts w:ascii="Arial" w:eastAsia="Arial" w:hAnsi="Arial" w:cs="Arial"/>
          <w:b/>
          <w:bCs/>
          <w:sz w:val="22"/>
          <w:szCs w:val="22"/>
        </w:rPr>
        <w:t>desenvolvimento humano</w:t>
      </w:r>
      <w:r w:rsidR="001F49E7">
        <w:rPr>
          <w:rFonts w:ascii="Arial" w:eastAsia="Arial" w:hAnsi="Arial" w:cs="Arial"/>
          <w:sz w:val="22"/>
          <w:szCs w:val="22"/>
        </w:rPr>
        <w:t xml:space="preserve"> em </w:t>
      </w:r>
      <w:r>
        <w:rPr>
          <w:rFonts w:ascii="Arial" w:eastAsia="Arial" w:hAnsi="Arial" w:cs="Arial"/>
          <w:sz w:val="22"/>
          <w:szCs w:val="22"/>
        </w:rPr>
        <w:t xml:space="preserve">Sem </w:t>
      </w:r>
      <w:r w:rsidR="001F49E7">
        <w:rPr>
          <w:rFonts w:ascii="Arial" w:eastAsia="Arial" w:hAnsi="Arial" w:cs="Arial"/>
          <w:sz w:val="22"/>
          <w:szCs w:val="22"/>
        </w:rPr>
        <w:t>orienta a escolha das variáveis dependentes</w:t>
      </w:r>
      <w:r>
        <w:rPr>
          <w:rFonts w:ascii="Arial" w:eastAsia="Arial" w:hAnsi="Arial" w:cs="Arial"/>
          <w:sz w:val="22"/>
          <w:szCs w:val="22"/>
        </w:rPr>
        <w:t xml:space="preserve">, ao constatar que o desenvolvimento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não se refere somente ao aumento da renda dos indivíduos</w:t>
      </w:r>
      <w:r>
        <w:rPr>
          <w:rFonts w:ascii="Arial" w:eastAsia="Arial" w:hAnsi="Arial" w:cs="Arial"/>
          <w:sz w:val="22"/>
          <w:szCs w:val="22"/>
        </w:rPr>
        <w:t xml:space="preserve">. Para isso, o trabalho se utiliza a noção do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IDHM</w:t>
      </w:r>
      <w:r>
        <w:rPr>
          <w:rFonts w:ascii="Arial" w:eastAsia="Arial" w:hAnsi="Arial" w:cs="Arial"/>
          <w:sz w:val="22"/>
          <w:szCs w:val="22"/>
        </w:rPr>
        <w:t xml:space="preserve"> como motor de orientação para esse tema. Dessa forma, o </w:t>
      </w:r>
      <w:r>
        <w:rPr>
          <w:rFonts w:ascii="Arial" w:eastAsia="Arial" w:hAnsi="Arial" w:cs="Arial"/>
          <w:sz w:val="22"/>
          <w:szCs w:val="22"/>
        </w:rPr>
        <w:lastRenderedPageBreak/>
        <w:t xml:space="preserve">comércio noturno pode influenciar na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sub variável renda</w:t>
      </w:r>
      <w:r>
        <w:rPr>
          <w:rFonts w:ascii="Arial" w:eastAsia="Arial" w:hAnsi="Arial" w:cs="Arial"/>
          <w:sz w:val="22"/>
          <w:szCs w:val="22"/>
        </w:rPr>
        <w:t xml:space="preserve"> aumentando os empregos, na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sub variável educação</w:t>
      </w:r>
      <w:r>
        <w:rPr>
          <w:rFonts w:ascii="Arial" w:eastAsia="Arial" w:hAnsi="Arial" w:cs="Arial"/>
          <w:sz w:val="22"/>
          <w:szCs w:val="22"/>
        </w:rPr>
        <w:t xml:space="preserve"> de forma mais indireta e imprecisa, e na </w:t>
      </w:r>
      <w:r w:rsidRPr="008C0C51">
        <w:rPr>
          <w:rFonts w:ascii="Arial" w:eastAsia="Arial" w:hAnsi="Arial" w:cs="Arial"/>
          <w:b/>
          <w:bCs/>
          <w:sz w:val="22"/>
          <w:szCs w:val="22"/>
        </w:rPr>
        <w:t>sub variável de saúde</w:t>
      </w:r>
      <w:r>
        <w:rPr>
          <w:rFonts w:ascii="Arial" w:eastAsia="Arial" w:hAnsi="Arial" w:cs="Arial"/>
          <w:sz w:val="22"/>
          <w:szCs w:val="22"/>
        </w:rPr>
        <w:t xml:space="preserve"> ao aumentar as expectativas de vida com segurança e maior ampliação das atividades de lazer.</w:t>
      </w:r>
    </w:p>
    <w:p w14:paraId="3A644AF5" w14:textId="5A1B0E24" w:rsidR="008545E4" w:rsidRPr="008545E4" w:rsidRDefault="008545E4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Por fim, Hirsch afirma</w:t>
      </w:r>
      <w:r w:rsidRPr="008545E4">
        <w:rPr>
          <w:rFonts w:ascii="Arial" w:eastAsia="Arial" w:hAnsi="Arial" w:cs="Arial"/>
          <w:sz w:val="22"/>
          <w:szCs w:val="22"/>
        </w:rPr>
        <w:t xml:space="preserve"> que</w:t>
      </w:r>
      <w:r w:rsidRPr="008545E4">
        <w:rPr>
          <w:rFonts w:ascii="Arial" w:eastAsia="Arial" w:hAnsi="Arial" w:cs="Arial"/>
          <w:b/>
          <w:bCs/>
          <w:sz w:val="22"/>
          <w:szCs w:val="22"/>
        </w:rPr>
        <w:t xml:space="preserve"> instituições públicas bem organizadas</w:t>
      </w:r>
      <w:r>
        <w:rPr>
          <w:rFonts w:ascii="Arial" w:eastAsia="Arial" w:hAnsi="Arial" w:cs="Arial"/>
          <w:sz w:val="22"/>
          <w:szCs w:val="22"/>
        </w:rPr>
        <w:t>, podem ajudar no desenvolvimento de atividades comerciais, sem assim perpetuar desigualdades, e relações de poder.</w:t>
      </w:r>
    </w:p>
    <w:p w14:paraId="5FEDAAF7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3. Porto Alegre e os dois bairros em detalhe</w:t>
      </w:r>
    </w:p>
    <w:p w14:paraId="1E591D12" w14:textId="4BE7967E" w:rsidR="001C7054" w:rsidRDefault="001F49E7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Porto Alegre apresenta vida noturna heterogênea e uma estrutura urbana policêntrica, conforme descrita por Singer e por Soares e Fedozzi</w:t>
      </w:r>
      <w:r w:rsidR="001C7054">
        <w:rPr>
          <w:rFonts w:ascii="Arial" w:eastAsia="Arial" w:hAnsi="Arial" w:cs="Arial"/>
          <w:sz w:val="22"/>
          <w:szCs w:val="22"/>
        </w:rPr>
        <w:t>, por conta da história da urbanização desigual que aconteceu na cidade</w:t>
      </w:r>
      <w:r>
        <w:rPr>
          <w:rFonts w:ascii="Arial" w:eastAsia="Arial" w:hAnsi="Arial" w:cs="Arial"/>
          <w:sz w:val="22"/>
          <w:szCs w:val="22"/>
        </w:rPr>
        <w:t>.</w:t>
      </w:r>
      <w:r w:rsidR="001C7054">
        <w:rPr>
          <w:rFonts w:ascii="Arial" w:eastAsia="Arial" w:hAnsi="Arial" w:cs="Arial"/>
          <w:sz w:val="22"/>
          <w:szCs w:val="22"/>
        </w:rPr>
        <w:t xml:space="preserve"> A cidade foi construída em 4 fases principais: Açorianos -&gt; Alemães -&gt; Industrialização -&gt; Globalização. Em que o processo de globalização </w:t>
      </w:r>
      <w:r w:rsidR="00AC6060">
        <w:rPr>
          <w:rFonts w:ascii="Arial" w:eastAsia="Arial" w:hAnsi="Arial" w:cs="Arial"/>
          <w:sz w:val="22"/>
          <w:szCs w:val="22"/>
        </w:rPr>
        <w:t>fomentou a desindustrialização da cidade, polarizou grupos sociais, e modificou a paisagem urbana.</w:t>
      </w:r>
    </w:p>
    <w:p w14:paraId="04E1EAE8" w14:textId="1BE7E7C6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Entre 2000 e 2010, o setor noturno da cidade cresceu de forma expressiva: o número de estabelecimentos saltou de </w:t>
      </w:r>
      <w:r>
        <w:rPr>
          <w:rFonts w:ascii="Arial" w:eastAsia="Arial" w:hAnsi="Arial" w:cs="Arial"/>
          <w:b/>
          <w:bCs/>
          <w:sz w:val="22"/>
          <w:szCs w:val="22"/>
        </w:rPr>
        <w:t>2.878 para 7.268</w:t>
      </w:r>
      <w:r>
        <w:rPr>
          <w:rFonts w:ascii="Arial" w:eastAsia="Arial" w:hAnsi="Arial" w:cs="Arial"/>
          <w:sz w:val="22"/>
          <w:szCs w:val="22"/>
        </w:rPr>
        <w:t xml:space="preserve"> nos 82 bairros analisados, um aumento de mais de 4.300 estabelecimentos em apenas uma década.</w:t>
      </w:r>
      <w:r w:rsidR="00AC6060"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Dois bairros são usados como estudo de caso comparativo. A </w:t>
      </w:r>
      <w:r>
        <w:rPr>
          <w:rFonts w:ascii="Arial" w:eastAsia="Arial" w:hAnsi="Arial" w:cs="Arial"/>
          <w:b/>
          <w:bCs/>
          <w:sz w:val="22"/>
          <w:szCs w:val="22"/>
        </w:rPr>
        <w:t>Cidade Baixa</w:t>
      </w:r>
      <w:r>
        <w:rPr>
          <w:rFonts w:ascii="Arial" w:eastAsia="Arial" w:hAnsi="Arial" w:cs="Arial"/>
          <w:sz w:val="22"/>
          <w:szCs w:val="22"/>
        </w:rPr>
        <w:t xml:space="preserve"> tem perfil popular e estudantil, com forte identidade cultural. Seus estabelecimentos noturnos passaram de 62 para 215 entre 2000 e 2010; </w:t>
      </w:r>
      <w:r w:rsidR="00D06E6F"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 rend</w:t>
      </w:r>
      <w:r w:rsidR="00D06E6F">
        <w:rPr>
          <w:rFonts w:ascii="Arial" w:eastAsia="Arial" w:hAnsi="Arial" w:cs="Arial"/>
          <w:sz w:val="22"/>
          <w:szCs w:val="22"/>
        </w:rPr>
        <w:t>imento</w:t>
      </w:r>
      <w:r>
        <w:rPr>
          <w:rFonts w:ascii="Arial" w:eastAsia="Arial" w:hAnsi="Arial" w:cs="Arial"/>
          <w:sz w:val="22"/>
          <w:szCs w:val="22"/>
        </w:rPr>
        <w:t xml:space="preserve"> médi</w:t>
      </w:r>
      <w:r w:rsidR="00D06E6F"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 subiu de R$ </w:t>
      </w:r>
      <w:r w:rsidR="00D06E6F">
        <w:rPr>
          <w:rFonts w:ascii="Arial" w:eastAsia="Arial" w:hAnsi="Arial" w:cs="Arial"/>
          <w:sz w:val="22"/>
          <w:szCs w:val="22"/>
        </w:rPr>
        <w:t>1.677,61</w:t>
      </w:r>
      <w:r>
        <w:rPr>
          <w:rFonts w:ascii="Arial" w:eastAsia="Arial" w:hAnsi="Arial" w:cs="Arial"/>
          <w:sz w:val="22"/>
          <w:szCs w:val="22"/>
        </w:rPr>
        <w:t xml:space="preserve"> para R$ </w:t>
      </w:r>
      <w:r w:rsidR="00D06E6F"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.</w:t>
      </w:r>
      <w:r w:rsidR="00D06E6F">
        <w:rPr>
          <w:rFonts w:ascii="Arial" w:eastAsia="Arial" w:hAnsi="Arial" w:cs="Arial"/>
          <w:sz w:val="22"/>
          <w:szCs w:val="22"/>
        </w:rPr>
        <w:t>014,10</w:t>
      </w:r>
      <w:r>
        <w:rPr>
          <w:rFonts w:ascii="Arial" w:eastAsia="Arial" w:hAnsi="Arial" w:cs="Arial"/>
          <w:sz w:val="22"/>
          <w:szCs w:val="22"/>
        </w:rPr>
        <w:t xml:space="preserve"> e o IDHM avançou de 0,8</w:t>
      </w:r>
      <w:r w:rsidR="00D06E6F">
        <w:rPr>
          <w:rFonts w:ascii="Arial" w:eastAsia="Arial" w:hAnsi="Arial" w:cs="Arial"/>
          <w:sz w:val="22"/>
          <w:szCs w:val="22"/>
        </w:rPr>
        <w:t>75</w:t>
      </w:r>
      <w:r>
        <w:rPr>
          <w:rFonts w:ascii="Arial" w:eastAsia="Arial" w:hAnsi="Arial" w:cs="Arial"/>
          <w:sz w:val="22"/>
          <w:szCs w:val="22"/>
        </w:rPr>
        <w:t xml:space="preserve"> para 0,93</w:t>
      </w:r>
      <w:r w:rsidR="00D06E6F"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Os </w:t>
      </w:r>
      <w:r>
        <w:rPr>
          <w:rFonts w:ascii="Arial" w:eastAsia="Arial" w:hAnsi="Arial" w:cs="Arial"/>
          <w:b/>
          <w:bCs/>
          <w:sz w:val="22"/>
          <w:szCs w:val="22"/>
        </w:rPr>
        <w:t>Moinhos de Vento</w:t>
      </w:r>
      <w:r>
        <w:rPr>
          <w:rFonts w:ascii="Arial" w:eastAsia="Arial" w:hAnsi="Arial" w:cs="Arial"/>
          <w:sz w:val="22"/>
          <w:szCs w:val="22"/>
        </w:rPr>
        <w:t>, por sua vez, concentram consumo seletivo e oferta gastronômica de alto padrão: de 64 estabelecimentos em 2000 para 200 em 2010; renda de R$ 4.</w:t>
      </w:r>
      <w:r w:rsidR="00D06E6F">
        <w:rPr>
          <w:rFonts w:ascii="Arial" w:eastAsia="Arial" w:hAnsi="Arial" w:cs="Arial"/>
          <w:sz w:val="22"/>
          <w:szCs w:val="22"/>
        </w:rPr>
        <w:t>47,66</w:t>
      </w:r>
      <w:r>
        <w:rPr>
          <w:rFonts w:ascii="Arial" w:eastAsia="Arial" w:hAnsi="Arial" w:cs="Arial"/>
          <w:sz w:val="22"/>
          <w:szCs w:val="22"/>
        </w:rPr>
        <w:t xml:space="preserve"> para R$ </w:t>
      </w:r>
      <w:r w:rsidR="00D06E6F"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.</w:t>
      </w:r>
      <w:r w:rsidR="00D06E6F">
        <w:rPr>
          <w:rFonts w:ascii="Arial" w:eastAsia="Arial" w:hAnsi="Arial" w:cs="Arial"/>
          <w:sz w:val="22"/>
          <w:szCs w:val="22"/>
        </w:rPr>
        <w:t>180,40</w:t>
      </w:r>
      <w:r>
        <w:rPr>
          <w:rFonts w:ascii="Arial" w:eastAsia="Arial" w:hAnsi="Arial" w:cs="Arial"/>
          <w:sz w:val="22"/>
          <w:szCs w:val="22"/>
        </w:rPr>
        <w:t xml:space="preserve"> e IDHM de 0,93</w:t>
      </w:r>
      <w:r w:rsidR="00D06E6F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para 0,9</w:t>
      </w:r>
      <w:r w:rsidR="00D06E6F">
        <w:rPr>
          <w:rFonts w:ascii="Arial" w:eastAsia="Arial" w:hAnsi="Arial" w:cs="Arial"/>
          <w:sz w:val="22"/>
          <w:szCs w:val="22"/>
        </w:rPr>
        <w:t>58</w:t>
      </w:r>
      <w:r>
        <w:rPr>
          <w:rFonts w:ascii="Arial" w:eastAsia="Arial" w:hAnsi="Arial" w:cs="Arial"/>
          <w:sz w:val="22"/>
          <w:szCs w:val="22"/>
        </w:rPr>
        <w:t>.</w:t>
      </w:r>
    </w:p>
    <w:p w14:paraId="69FD8A50" w14:textId="4DBC50C9" w:rsidR="008816B4" w:rsidRDefault="001F49E7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expansão do setor noturno foi numericamente semelhante nos dois bairros, mas as trajetórias socioeconômicas são completamente distintas. Esse contraste ilustra a tese central: o comércio noturno reflete e reproduz as desigualdades preexistentes do espaço urbano, em vez de nivelá-las.</w:t>
      </w:r>
    </w:p>
    <w:p w14:paraId="3CD836D5" w14:textId="128657C0" w:rsidR="00D06E6F" w:rsidRPr="007D436C" w:rsidRDefault="007D436C">
      <w:pPr>
        <w:spacing w:before="100" w:after="1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Por fim, o uso do solo urbano de Porto Alegre é gerido pelo plano diretor da cidade, que, por sua vez, não possui atribuição específica para o comércio noturno, diferentemente de Londres e Bogotá. Londres possui um prefeito exclusivo para a questão da vida noturna, enquanto bogatá está com um plano de transformar a cidade em um ambiente 24 horas.</w:t>
      </w:r>
    </w:p>
    <w:p w14:paraId="3EB01C91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4. Metodologia</w:t>
      </w:r>
    </w:p>
    <w:p w14:paraId="0544CA09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A estratégia empírica utiliza um </w:t>
      </w:r>
      <w:r>
        <w:rPr>
          <w:rFonts w:ascii="Arial" w:eastAsia="Arial" w:hAnsi="Arial" w:cs="Arial"/>
          <w:b/>
          <w:bCs/>
          <w:sz w:val="22"/>
          <w:szCs w:val="22"/>
        </w:rPr>
        <w:t>painel de dados</w:t>
      </w:r>
      <w:r>
        <w:rPr>
          <w:rFonts w:ascii="Arial" w:eastAsia="Arial" w:hAnsi="Arial" w:cs="Arial"/>
          <w:sz w:val="22"/>
          <w:szCs w:val="22"/>
        </w:rPr>
        <w:t xml:space="preserve"> com os 82 bairros de Porto Alegre nos anos 2000 e 2010. As fontes são o Cadastro de Alvarás do ObservaPOA, que fornece o número de estabelecimentos noturnos, e os dados do Censo Demográfico do IBGE e do Atlas Brasil, que fornecem o IDHM e a renda média domiciliar per capita por bairro.</w:t>
      </w:r>
    </w:p>
    <w:p w14:paraId="3B076934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O modelo econométrico adotado é de </w:t>
      </w:r>
      <w:r>
        <w:rPr>
          <w:rFonts w:ascii="Arial" w:eastAsia="Arial" w:hAnsi="Arial" w:cs="Arial"/>
          <w:b/>
          <w:bCs/>
          <w:sz w:val="22"/>
          <w:szCs w:val="22"/>
        </w:rPr>
        <w:t>Efeitos Fixos em Duas Dimensões (Two-Way Fixed Effects)</w:t>
      </w:r>
      <w:r>
        <w:rPr>
          <w:rFonts w:ascii="Arial" w:eastAsia="Arial" w:hAnsi="Arial" w:cs="Arial"/>
          <w:sz w:val="22"/>
          <w:szCs w:val="22"/>
        </w:rPr>
        <w:t>. Esse método controla simultaneamente as características imutáveis de cada bairro — como localização, história e identidade — e os choques comuns a todos os bairros em cada período, como políticas macroeconômicas e ciclos nacionais. Em termos simples: o modelo olha apenas para o que mudou dentro de cada bairro ao longo do tempo, eliminando diferenças permanentes que poderiam confundir os resultados.</w:t>
      </w:r>
    </w:p>
    <w:p w14:paraId="265BB0A1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>Foram estimadas seis especificações para cada variável dependente — IDHM e renda — combinando diferentes formas funcionais (nível e logaritmo) e diferentes medidas da variável independente principal: número absoluto de estabelecimentos e densidade por habitante.</w:t>
      </w:r>
    </w:p>
    <w:p w14:paraId="2693E7EE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5. Resultados e discussão</w:t>
      </w:r>
    </w:p>
    <w:p w14:paraId="13356E54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Os resultados revelam um padrão aparentemente paradoxal. Para o </w:t>
      </w:r>
      <w:r>
        <w:rPr>
          <w:rFonts w:ascii="Arial" w:eastAsia="Arial" w:hAnsi="Arial" w:cs="Arial"/>
          <w:b/>
          <w:bCs/>
          <w:sz w:val="22"/>
          <w:szCs w:val="22"/>
        </w:rPr>
        <w:t>IDHM</w:t>
      </w:r>
      <w:r>
        <w:rPr>
          <w:rFonts w:ascii="Arial" w:eastAsia="Arial" w:hAnsi="Arial" w:cs="Arial"/>
          <w:sz w:val="22"/>
          <w:szCs w:val="22"/>
        </w:rPr>
        <w:t xml:space="preserve">, os modelos indicam uma associação negativa e estatisticamente significativa com o comércio noturno: bairros com mais estabelecimentos apresentam IDHM menor nos dados. Contudo, isso não significa que o comércio noturno prejudica o desenvolvimento humano. A interpretação correta é de </w:t>
      </w:r>
      <w:r>
        <w:rPr>
          <w:rFonts w:ascii="Arial" w:eastAsia="Arial" w:hAnsi="Arial" w:cs="Arial"/>
          <w:b/>
          <w:bCs/>
          <w:sz w:val="22"/>
          <w:szCs w:val="22"/>
        </w:rPr>
        <w:t>causalidade reversa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lastRenderedPageBreak/>
        <w:t>bairros com IDHM estruturalmente menor concentram historicamente mais estabelecimentos noturnos — o modelo capta essa estrutura preexistente, não uma relação de causa e efeito direta.</w:t>
      </w:r>
    </w:p>
    <w:p w14:paraId="03D65054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Para a </w:t>
      </w:r>
      <w:r>
        <w:rPr>
          <w:rFonts w:ascii="Arial" w:eastAsia="Arial" w:hAnsi="Arial" w:cs="Arial"/>
          <w:b/>
          <w:bCs/>
          <w:sz w:val="22"/>
          <w:szCs w:val="22"/>
        </w:rPr>
        <w:t>renda média</w:t>
      </w:r>
      <w:r>
        <w:rPr>
          <w:rFonts w:ascii="Arial" w:eastAsia="Arial" w:hAnsi="Arial" w:cs="Arial"/>
          <w:sz w:val="22"/>
          <w:szCs w:val="22"/>
        </w:rPr>
        <w:t>, a associação é positiva e significativa: maior intensidade do comércio noturno está correlacionada com maior renda local, o que é consistente com a geração de empregos e o dinamismo econômico do setor. Esse resultado é mais direto e intuitivo.</w:t>
      </w:r>
    </w:p>
    <w:p w14:paraId="4FD468C0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Em todos os modelos, o R² total é elevado, mas o R² within — que mede o quanto a variação do comércio noturno no tempo explica a variação dos indicadores no tempo — é baixo. Isso revela que o que verdadeiramente distingue os bairros é sua </w:t>
      </w:r>
      <w:r>
        <w:rPr>
          <w:rFonts w:ascii="Arial" w:eastAsia="Arial" w:hAnsi="Arial" w:cs="Arial"/>
          <w:b/>
          <w:bCs/>
          <w:sz w:val="22"/>
          <w:szCs w:val="22"/>
        </w:rPr>
        <w:t>trajetória histórica</w:t>
      </w:r>
      <w:r>
        <w:rPr>
          <w:rFonts w:ascii="Arial" w:eastAsia="Arial" w:hAnsi="Arial" w:cs="Arial"/>
          <w:sz w:val="22"/>
          <w:szCs w:val="22"/>
        </w:rPr>
        <w:t>, e não a variação do setor noturno entre 2000 e 2010. O comércio noturno contribui para a renda, mas não se converte automaticamente em desenvolvimento humano amplo, e não é capaz, por si só, de reverter desigualdades estruturais.</w:t>
      </w:r>
    </w:p>
    <w:p w14:paraId="22C37D78" w14:textId="77777777" w:rsidR="008816B4" w:rsidRDefault="001F49E7">
      <w:pPr>
        <w:pBdr>
          <w:bottom w:val="single" w:sz="6" w:space="4" w:color="1A3C6E"/>
        </w:pBdr>
        <w:spacing w:before="32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6. Conclusão e agenda futura</w:t>
      </w:r>
    </w:p>
    <w:p w14:paraId="40B137C4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>O trabalho conclui que o comércio noturno é economicamente relevante — gera renda, emprego, dinamismo e sociabilidade urbana —, mas seu impacto sobre o desenvolvimento humano é condicionado pela estrutura prévia de cada bairro e pela ausência de políticas públicas integradas. Porto Alegre não dispõe de um marco regulatório específico para a economia noturna, o que representa uma lacuna no Plano Diretor de Desenvolvimento Urbano Ambiental (PDDUA).</w:t>
      </w:r>
    </w:p>
    <w:p w14:paraId="69B52581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Referências internacionais mostram o potencial de uma governança ativa: Londres criou em 2016 o cargo de </w:t>
      </w:r>
      <w:r>
        <w:rPr>
          <w:rFonts w:ascii="Arial" w:eastAsia="Arial" w:hAnsi="Arial" w:cs="Arial"/>
          <w:i/>
          <w:iCs/>
          <w:sz w:val="22"/>
          <w:szCs w:val="22"/>
        </w:rPr>
        <w:t>Night Czar</w:t>
      </w:r>
      <w:r>
        <w:rPr>
          <w:rFonts w:ascii="Arial" w:eastAsia="Arial" w:hAnsi="Arial" w:cs="Arial"/>
          <w:sz w:val="22"/>
          <w:szCs w:val="22"/>
        </w:rPr>
        <w:t xml:space="preserve"> para coordenar a economia noturna; Bogotá implementou o programa </w:t>
      </w:r>
      <w:r>
        <w:rPr>
          <w:rFonts w:ascii="Arial" w:eastAsia="Arial" w:hAnsi="Arial" w:cs="Arial"/>
          <w:i/>
          <w:iCs/>
          <w:sz w:val="22"/>
          <w:szCs w:val="22"/>
        </w:rPr>
        <w:t>Bogotá 24 Horas</w:t>
      </w:r>
      <w:r>
        <w:rPr>
          <w:rFonts w:ascii="Arial" w:eastAsia="Arial" w:hAnsi="Arial" w:cs="Arial"/>
          <w:sz w:val="22"/>
          <w:szCs w:val="22"/>
        </w:rPr>
        <w:t>. Ambos os casos demonstram que intervenção pública qualificada pode transformar o potencial econômico do setor em desenvolvimento mais amplo e inclusivo.</w:t>
      </w:r>
    </w:p>
    <w:p w14:paraId="656CB4C1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sz w:val="22"/>
          <w:szCs w:val="22"/>
        </w:rPr>
        <w:t>Como agenda futura, o trabalho sugere: incorporar os dados do Censo 2022 quando disponíveis no nível de desagregação necessário; e explorar o impacto de políticas públicas específicas sobre os indicadores socioeconômicos dos bairros, avançando da análise associativa para a identificação causal.</w:t>
      </w:r>
    </w:p>
    <w:p w14:paraId="165F49BA" w14:textId="65B98797" w:rsidR="008816B4" w:rsidRDefault="008816B4">
      <w:pPr>
        <w:pBdr>
          <w:bottom w:val="single" w:sz="4" w:space="1" w:color="CCCCCC"/>
        </w:pBdr>
        <w:spacing w:before="280" w:after="200"/>
      </w:pPr>
    </w:p>
    <w:p w14:paraId="19939907" w14:textId="77777777" w:rsidR="001E0B75" w:rsidRDefault="001E0B75">
      <w:pPr>
        <w:pBdr>
          <w:bottom w:val="single" w:sz="4" w:space="1" w:color="CCCCCC"/>
        </w:pBdr>
        <w:spacing w:before="280" w:after="200"/>
      </w:pPr>
    </w:p>
    <w:p w14:paraId="609C107A" w14:textId="77777777" w:rsidR="008816B4" w:rsidRDefault="001F49E7">
      <w:pPr>
        <w:spacing w:after="12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Pontos para antecipar (possíveis perguntas da professora)</w:t>
      </w:r>
    </w:p>
    <w:p w14:paraId="5E310317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Limitações do estudo: </w:t>
      </w:r>
      <w:r>
        <w:rPr>
          <w:rFonts w:ascii="Arial" w:eastAsia="Arial" w:hAnsi="Arial" w:cs="Arial"/>
          <w:sz w:val="22"/>
          <w:szCs w:val="22"/>
        </w:rPr>
        <w:t>o painel cobre apenas dois períodos (2000 e 2010), o que restringe o poder analítico; os alvarás são usados como proxy do comércio noturno, mas não informam horário de funcionamento; a comparabilidade dos dados entre os dois Censos exigiu padronização dos limites de bairros.</w:t>
      </w:r>
    </w:p>
    <w:p w14:paraId="19508357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Por que não o Censo 2022? </w:t>
      </w:r>
      <w:r>
        <w:rPr>
          <w:rFonts w:ascii="Arial" w:eastAsia="Arial" w:hAnsi="Arial" w:cs="Arial"/>
          <w:sz w:val="22"/>
          <w:szCs w:val="22"/>
        </w:rPr>
        <w:t>Os dados do IDHM intramunicipal por bairro ainda não estão disponíveis para 2022 no nível de desagregação necessário para esta análise.</w:t>
      </w:r>
    </w:p>
    <w:p w14:paraId="40CB6F5B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Causalidade: </w:t>
      </w:r>
      <w:r>
        <w:rPr>
          <w:rFonts w:ascii="Arial" w:eastAsia="Arial" w:hAnsi="Arial" w:cs="Arial"/>
          <w:sz w:val="22"/>
          <w:szCs w:val="22"/>
        </w:rPr>
        <w:t>o modelo de efeitos fixos não garante identificação causal estrita — as estimativas são associações condicionais. Conforme Angrist e Pischke (2008), para afirmar causalidade seria necessário um experimento natural ou instrumento válido.</w:t>
      </w:r>
    </w:p>
    <w:p w14:paraId="577BCC3A" w14:textId="77777777" w:rsidR="008816B4" w:rsidRDefault="001F49E7">
      <w:pPr>
        <w:spacing w:before="100" w:after="12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Software utilizado: </w:t>
      </w:r>
      <w:r>
        <w:rPr>
          <w:rFonts w:ascii="Arial" w:eastAsia="Arial" w:hAnsi="Arial" w:cs="Arial"/>
          <w:sz w:val="22"/>
          <w:szCs w:val="22"/>
        </w:rPr>
        <w:t>R, com os pacotes fixest, dplyr, tidyr e readr.</w:t>
      </w:r>
    </w:p>
    <w:sectPr w:rsidR="008816B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79DA"/>
    <w:multiLevelType w:val="hybridMultilevel"/>
    <w:tmpl w:val="FA701E68"/>
    <w:lvl w:ilvl="0" w:tplc="D11813DA">
      <w:start w:val="1"/>
      <w:numFmt w:val="bullet"/>
      <w:lvlText w:val="●"/>
      <w:lvlJc w:val="left"/>
      <w:pPr>
        <w:ind w:left="720" w:hanging="360"/>
      </w:pPr>
    </w:lvl>
    <w:lvl w:ilvl="1" w:tplc="043A9E40">
      <w:start w:val="1"/>
      <w:numFmt w:val="bullet"/>
      <w:lvlText w:val="○"/>
      <w:lvlJc w:val="left"/>
      <w:pPr>
        <w:ind w:left="1440" w:hanging="360"/>
      </w:pPr>
    </w:lvl>
    <w:lvl w:ilvl="2" w:tplc="92C4E7D8">
      <w:start w:val="1"/>
      <w:numFmt w:val="bullet"/>
      <w:lvlText w:val="■"/>
      <w:lvlJc w:val="left"/>
      <w:pPr>
        <w:ind w:left="2160" w:hanging="360"/>
      </w:pPr>
    </w:lvl>
    <w:lvl w:ilvl="3" w:tplc="F1E0C1CA">
      <w:start w:val="1"/>
      <w:numFmt w:val="bullet"/>
      <w:lvlText w:val="●"/>
      <w:lvlJc w:val="left"/>
      <w:pPr>
        <w:ind w:left="2880" w:hanging="360"/>
      </w:pPr>
    </w:lvl>
    <w:lvl w:ilvl="4" w:tplc="E486A708">
      <w:start w:val="1"/>
      <w:numFmt w:val="bullet"/>
      <w:lvlText w:val="○"/>
      <w:lvlJc w:val="left"/>
      <w:pPr>
        <w:ind w:left="3600" w:hanging="360"/>
      </w:pPr>
    </w:lvl>
    <w:lvl w:ilvl="5" w:tplc="5BC4DF0E">
      <w:start w:val="1"/>
      <w:numFmt w:val="bullet"/>
      <w:lvlText w:val="■"/>
      <w:lvlJc w:val="left"/>
      <w:pPr>
        <w:ind w:left="4320" w:hanging="360"/>
      </w:pPr>
    </w:lvl>
    <w:lvl w:ilvl="6" w:tplc="A0C2B42E">
      <w:start w:val="1"/>
      <w:numFmt w:val="bullet"/>
      <w:lvlText w:val="●"/>
      <w:lvlJc w:val="left"/>
      <w:pPr>
        <w:ind w:left="5040" w:hanging="360"/>
      </w:pPr>
    </w:lvl>
    <w:lvl w:ilvl="7" w:tplc="E4A63FF6">
      <w:start w:val="1"/>
      <w:numFmt w:val="bullet"/>
      <w:lvlText w:val="●"/>
      <w:lvlJc w:val="left"/>
      <w:pPr>
        <w:ind w:left="5760" w:hanging="360"/>
      </w:pPr>
    </w:lvl>
    <w:lvl w:ilvl="8" w:tplc="539E62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6B4"/>
    <w:rsid w:val="00154463"/>
    <w:rsid w:val="0018607A"/>
    <w:rsid w:val="001C7054"/>
    <w:rsid w:val="001E0B75"/>
    <w:rsid w:val="001F49E7"/>
    <w:rsid w:val="00595AE3"/>
    <w:rsid w:val="007D436C"/>
    <w:rsid w:val="008545E4"/>
    <w:rsid w:val="008816B4"/>
    <w:rsid w:val="008C0C51"/>
    <w:rsid w:val="00AC6060"/>
    <w:rsid w:val="00D0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51D1"/>
  <w15:docId w15:val="{CFF7DA37-D1B0-4D1A-9CFE-BFDEB8E6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1606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Papini Almeida</cp:lastModifiedBy>
  <cp:revision>6</cp:revision>
  <cp:lastPrinted>2026-06-17T16:40:00Z</cp:lastPrinted>
  <dcterms:created xsi:type="dcterms:W3CDTF">2026-05-13T14:17:00Z</dcterms:created>
  <dcterms:modified xsi:type="dcterms:W3CDTF">2026-06-18T20:17:00Z</dcterms:modified>
</cp:coreProperties>
</file>