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Óbitos por doenças imunopreveníveis no Brasil, 2015–2024: o escopo de um instrumento oficial diante das causas com vacina disponível, e três limites que o delimitam</w:t>
      </w:r>
    </w:p>
    <w:p>
      <w:pPr>
        <w:spacing w:after="360"/>
      </w:pPr>
      <w:r>
        <w:rPr>
          <w:i/>
          <w:color w:val="52514E"/>
          <w:sz w:val="19"/>
        </w:rPr>
        <w:t>Manuscrito submetido sem identificação de autoria. As tabelas citadas no texto estão no material suplementar, ao final, com a mesma numeração precedida de S.</w:t>
      </w:r>
    </w:p>
    <w:p>
      <w:pPr>
        <w:pStyle w:val="Heading1"/>
      </w:pPr>
      <w:r>
        <w:t>Resumo</w:t>
      </w:r>
    </w:p>
    <w:p>
      <w:r>
        <w:rPr>
          <w:b/>
        </w:rPr>
        <w:t>Contexto.</w:t>
      </w:r>
      <w:r>
        <w:t xml:space="preserve"> A Lista Brasileira de Causas de Mortes Evitáveis é o instrumento oficial do Ministério da Saúde para classificar óbitos evitáveis por intervenção do SUS, e o seu subgrupo 1.1 reúne as causas "reduzíveis pelas ações de imunoprevenção". A lista foi publicada em 2007 e revista pela última vez entre 2010 e 2011. Desde então o Programa Nacional de Imunizações incorporou rotavírus, meningocócica C e ACWY, pneumocócica conjugada, varicela, HPV e, sobretudo, as vacinas contra a COVID-19.</w:t>
      </w:r>
    </w:p>
    <w:p>
      <w:r>
        <w:rPr>
          <w:b/>
        </w:rPr>
        <w:t>Objetivo.</w:t>
      </w:r>
      <w:r>
        <w:t xml:space="preserve"> Medir quantos óbitos o subgrupo 1.1 identifica no Brasil entre 2015 e 2024; comparar esse total com o conjunto de óbitos por doenças que têm vacina disponível no país; e caracterizar as razões estruturais da diferença.</w:t>
      </w:r>
    </w:p>
    <w:p>
      <w:r>
        <w:rPr>
          <w:b/>
        </w:rPr>
        <w:t>Métodos.</w:t>
      </w:r>
      <w:r>
        <w:t xml:space="preserve"> Todos os óbitos não fetais registrados no Sistema de Informações sobre Mortalidade entre 2015 e 2024, com a causa básica preservada em quatro caracteres da CID-10 — grão exigido pela própria lista oficial, que nomeia G00.0, P35.0 e P35.3, e pelo código que o Brasil usa para COVID-19, B34.2. O subgrupo 1.1 foi transcrito literalmente das notas técnicas do TabNet/DataSUS, nas suas duas versões etárias, e aplicado com a idade que cada versão determina. Um conjunto ampliado reúne, além dele, as demais doenças com vacina disponível no país, cada uma anotada com o ano de entrada no PNI; um terceiro grupo, de latência longa, é reportado à parte e nunca somado. Um cruzamento ecológico entre óbitos por influenza em 60 anos ou mais e doses de influenza por habitante dessa faixa, por unidade da federação, teve o critério de nulidade declarado antes da análise.</w:t>
      </w:r>
    </w:p>
    <w:p>
      <w:r>
        <w:rPr>
          <w:b/>
        </w:rPr>
        <w:t>Resultados.</w:t>
      </w:r>
      <w:r>
        <w:t xml:space="preserve"> Em 14.484.496 óbitos, o subgrupo 1.1 identifica 5.832 — 4,03 por 10 mil óbitos, sem tendência na década (Tabela S3). O conjunto ampliado sem COVID-19 — que é um </w:t>
      </w:r>
      <w:r>
        <w:rPr>
          <w:b/>
        </w:rPr>
        <w:t>teto</w:t>
      </w:r>
      <w:r>
        <w:t xml:space="preserve">, não uma estimativa de mortes evitáveis — soma 27.931 óbitos, razão de 4,79 sobre o instrumento oficial, e a COVID-19 sozinha soma 718.811 (Tabela S4). Três limitações estruturais explicam a diferença. A lista termina aos 74 anos, e 267.276 óbitos por causas com vacina — 35,8% do conjunto — ocorreram acima dessa idade, invisíveis por construção (Tabela S5). Ela antecede as vacinas incorporadas depois de 2010 e classifica influenza fora da imunoprevenção. E 3.189 dos 5.832 óbitos que ela conta são tuberculose miliar ou do sistema nervoso, dos quais 3.092 entre 5 e 74 anos — faixa em que a relação entre o óbito e a vacinação infantil é bem mais incerta do que a que a justificativa da lista invoca, ainda que a proteção conferida na infância possa persistir décadas [10]; excluída a tuberculose, restam 2.643 óbitos em dez anos (Tabela S6). O teto de medição é de codificação, não de epidemiologia: há 631.108 óbitos por pneumonia sem agente identificado (J18) contra 809 atribuídos ao pneumococo (J13), razão de 780,1 (Tabelas S12 e S13). Um cruzamento ecológico entre doses de influenza e mortalidade por influenza em idosos foi conduzido e </w:t>
      </w:r>
      <w:r>
        <w:rPr>
          <w:b/>
        </w:rPr>
        <w:t>é reportado apenas como nota de qualidade de dado</w:t>
      </w:r>
      <w:r>
        <w:t xml:space="preserve">: o registro </w:t>
      </w:r>
      <w:r>
        <w:rPr>
          <w:rFonts w:ascii="Consolas" w:hAnsi="Consolas"/>
          <w:sz w:val="19"/>
        </w:rPr>
        <w:t>INF3</w:t>
      </w:r>
      <w:r>
        <w:t xml:space="preserve"> cobre todas as idades a partir de 6 meses e, dividido pela população de 60 anos ou mais, produz mais de uma dose por habitante em todas as unidades da federação em 2024 (Tabela S14). O quociente não mede cobertura em idosos, e nenhuma inferência sobre vacinação é extraída dele.</w:t>
      </w:r>
    </w:p>
    <w:p>
      <w:r>
        <w:rPr>
          <w:b/>
        </w:rPr>
        <w:t>Conclusões.</w:t>
      </w:r>
      <w:r>
        <w:t xml:space="preserve"> O instrumento oficial brasileiro de evitabilidade por imunoprevenção não está errado: está defasado, e de três formas que se somam. Ele descreve um calendário vacinal que não é mais o do país, ignora a faixa etária onde a mortalidade por doença imunoprevenível se concentra, e é dominado internamente por uma causa cuja evitabilidade por vacina não se sustenta na idade em que ela ocorre. Atualizá-lo é decisão de vigilância, não exercício estatístico. Independentemente disso, a ausência de investigação etiológica na declaração de óbito impõe um teto ao que qualquer lista consegue medir.</w:t>
      </w:r>
    </w:p>
    <w:p>
      <w:r>
        <w:rPr>
          <w:b/>
        </w:rPr>
        <w:t>Palavras-chave:</w:t>
      </w:r>
      <w:r>
        <w:t xml:space="preserve"> imunização; mortes evitáveis; sistemas de informação em saúde; classificação internacional de doenças; Programa Nacional de Imunizações; vigilância epidemiológica.</w:t>
      </w:r>
    </w:p>
    <w:p>
      <w:pPr>
        <w:pStyle w:val="Heading1"/>
      </w:pPr>
      <w:r>
        <w:t>1. Introdução</w:t>
      </w:r>
    </w:p>
    <w:p>
      <w:r>
        <w:t>Perguntar quantas pessoas morrem no Brasil de doenças que uma vacina previne parece uma pergunta de epidemiologia, e é em boa parte uma pergunta de instrumento. Existe uma resposta oficial: a Lista Brasileira de Causas de Mortes Evitáveis, construída por grupo de trabalho coordenado pelo Ministério da Saúde, publicada em 2007 [1], revista em 2010 [2] e, para a faixa de cinco a setenta e quatro anos, em 2011 [3], e distribuída como nota técnica do TabNet/DataSUS em duas versões etárias [4, 5] — menores de cinco anos e de cinco a setenta e quatro anos. O primeiro subgrupo de ambas reúne as causas "reduzíveis pelas ações de imunoprevenção". Ele é o que o Brasil usa quando precisa dizer, com respaldo institucional, que uma morte poderia ter sido evitada por vacina.</w:t>
      </w:r>
    </w:p>
    <w:p>
      <w:r>
        <w:t xml:space="preserve">Entre a última revisão da lista e hoje, o Programa Nacional de Imunizações mudou. Entraram a varicela, em 2013, a ACWY, em 2020, e o HPV. Três outras — rotavírus, em 2006, e a meningocócica C e a pneumocócica 10-valente, ambas em 2010 (Tabela S7) — </w:t>
      </w:r>
      <w:r>
        <w:rPr>
          <w:b/>
        </w:rPr>
        <w:t>antecedem ou são contemporâneas</w:t>
      </w:r>
      <w:r>
        <w:t xml:space="preserve"> à revisão de 2010–2011, e a sua ausência do subgrupo de imunoprevenção não se explica por defasagem temporal: é decisão de escopo, e merece exame à parte. E entrou, em janeiro de 2021, a vacinação contra a COVID-19, que é a maior campanha da história do programa e responde à doença que mais matou brasileiros no período coberto por este trabalho. Uma lista de evitabilidade cujo último ajuste é anterior a tudo isso não descreve o que o SUS oferece hoje.</w:t>
      </w:r>
    </w:p>
    <w:p>
      <w:r>
        <w:rPr>
          <w:b/>
        </w:rPr>
        <w:t>Duas ausências são de naturezas diferentes, e só uma é esperada.</w:t>
      </w:r>
      <w:r>
        <w:t xml:space="preserve"> A ausência da COVID-19 não é crítica ao instrumento: a vacina não existia quando a lista foi revista, e nenhuma classificação poderia tê-la previsto. Já a </w:t>
      </w:r>
      <w:r>
        <w:rPr>
          <w:b/>
        </w:rPr>
        <w:t>pneumocócica conjugada</w:t>
      </w:r>
      <w:r>
        <w:t xml:space="preserve"> entrou no PNI em 2010 e a </w:t>
      </w:r>
      <w:r>
        <w:rPr>
          <w:b/>
        </w:rPr>
        <w:t>meningocócica C</w:t>
      </w:r>
      <w:r>
        <w:t xml:space="preserve"> em 2010, ambas no intervalo da própria revisão — que foi publicada entre 2010 e 2011. A ausência dessas duas do subgrupo de imunoprevenção não se explica por defasagem temporal, e merece exame à parte.</w:t>
      </w:r>
    </w:p>
    <w:p>
      <w:r>
        <w:rPr>
          <w:b/>
        </w:rPr>
        <w:t>A inclusão da COVID-19 já tem precedente institucional, e este trabalho não a propõe como novidade.</w:t>
      </w:r>
      <w:r>
        <w:t xml:space="preserve"> O boletim epidemiológico especial </w:t>
      </w:r>
      <w:r>
        <w:rPr>
          <w:i/>
        </w:rPr>
        <w:t>Saúde da mulher brasileira</w:t>
      </w:r>
      <w:r>
        <w:t xml:space="preserve">, do Ministério da Saúde, de março de 2023 [11], adaptou a classificação de Malta e colaboradores justamente para incluir a COVID-19 entre as causas redutíveis por ações de imunoprevenção, considerando a disponibilidade de vacina desde janeiro de 2021. É preciso, portanto, distinguir duas camadas que este artigo tratava como uma só: a </w:t>
      </w:r>
      <w:r>
        <w:rPr>
          <w:b/>
        </w:rPr>
        <w:t>lista formal disponibilizada no TabNet</w:t>
      </w:r>
      <w:r>
        <w:t xml:space="preserve">, cujo conteúdo é o que se audita aqui, e as </w:t>
      </w:r>
      <w:r>
        <w:rPr>
          <w:b/>
        </w:rPr>
        <w:t>adaptações analíticas</w:t>
      </w:r>
      <w:r>
        <w:t xml:space="preserve"> publicadas em relatórios do próprio Ministério, que já avançaram sobre essa questão. O que se reporta abaixo é a composição da primeira; a existência da segunda mostra que o debate sobre o escopo da lista está aberto dentro da instituição, e não apenas fora dela.</w:t>
      </w:r>
    </w:p>
    <w:p>
      <w:r>
        <w:t>A hipótese mais parcimoniosa, e a que os resultados deste trabalho sustentam, é que a ausência delas é consequência do problema de codificação e não de esquecimento: doença pneumocócica invasiva praticamente não aparece como causa básica no SIM — 809 óbitos em J13 contra 631.108 em J18 (§3.9) —, e uma causa que o registro não identifica não produz indicador utilizável, ainda que a vacina esteja no calendário. Se essa leitura estiver certa, ela reforça a conclusão central: o teto do instrumento é de investigação etiológica, não de escolha de códigos.</w:t>
      </w:r>
    </w:p>
    <w:p>
      <w:r>
        <w:t>A questão não é retórica. Listas de evitabilidade são usadas para monitorar desempenho de sistema de saúde, para priorizar território e para avaliar programa. Um instrumento que enxerga uma fração pequena e estável da carga de doença imunoprevenível produz, ano após ano, a mesma leitura tranquilizadora — e a produz não porque a carga seja pequena, mas porque a régua é curta.</w:t>
      </w:r>
    </w:p>
    <w:p>
      <w:r>
        <w:t>Este trabalho mede a distância entre a régua e o que ela deveria medir. A pergunta tem três partes:</w:t>
      </w:r>
    </w:p>
    <w:p>
      <w:pPr>
        <w:pStyle w:val="ListBullet"/>
      </w:pPr>
      <w:r>
        <w:t>quantos óbitos o subgrupo 1.1 identifica no Brasil, e como esse número se comporta ao longo de uma década?</w:t>
      </w:r>
    </w:p>
    <w:p>
      <w:pPr>
        <w:pStyle w:val="ListBullet"/>
      </w:pPr>
      <w:r>
        <w:t>quantos óbitos ocorreram, no mesmo período, por doenças para as quais existe vacina disponível no país?</w:t>
      </w:r>
    </w:p>
    <w:p>
      <w:pPr>
        <w:pStyle w:val="ListBullet"/>
      </w:pPr>
      <w:r>
        <w:t>a diferença entre os dois números é epidemiologia, ou é propriedade do instrumento?</w:t>
      </w:r>
    </w:p>
    <w:p>
      <w:r>
        <w:t xml:space="preserve">A terceira é a que organiza o texto, e responder a ela exige separar três coisas que se confundem com facilidade: a doença ter vacina, a vacina estar no calendário público, e a morte ter sido evitável. Este trabalho estabelece as duas primeiras com precisão e recusa a terceira. Contar óbitos por doenças com vacina disponível produz um </w:t>
      </w:r>
      <w:r>
        <w:rPr>
          <w:b/>
        </w:rPr>
        <w:t>teto</w:t>
      </w:r>
      <w:r>
        <w:t>; converter esse teto em mortes evitadas exigiria eficácia vacinal e situação vacinal individual, e o Sistema de Informações sobre Mortalidade não traz nenhuma das duas.</w:t>
      </w:r>
    </w:p>
    <w:p>
      <w:pPr>
        <w:pStyle w:val="Heading1"/>
      </w:pPr>
      <w:r>
        <w:t>2. Métodos</w:t>
      </w:r>
    </w:p>
    <w:p>
      <w:pPr>
        <w:pStyle w:val="Heading2"/>
      </w:pPr>
      <w:r>
        <w:t>2.1 Delineamento, fonte e definição de óbito</w:t>
      </w:r>
    </w:p>
    <w:p>
      <w:r>
        <w:t>Estudo ecológico descritivo de série temporal, com unidade de análise o óbito registrado. A fonte são os microdados do Sistema de Informações sobre Mortalidade (SIM), obtidos por duas rotas do DataSUS: os arquivos por unidade da federação do FTP (</w:t>
      </w:r>
      <w:r>
        <w:rPr>
          <w:rFonts w:ascii="Consolas" w:hAnsi="Consolas"/>
          <w:sz w:val="19"/>
        </w:rPr>
        <w:t>.dbc</w:t>
      </w:r>
      <w:r>
        <w:t>) para 2015–2021, 2024 e 2025, e os arquivos nacionais do OpenDataSUS para 2022 e 2023 [7], que conferem exatamente com a rota do FTP nesses dois anos.</w:t>
      </w:r>
    </w:p>
    <w:p>
      <w:r>
        <w:t xml:space="preserve">A definição de óbito não foi escrita para este trabalho. Ela é a de </w:t>
      </w:r>
      <w:r>
        <w:rPr>
          <w:rFonts w:ascii="Consolas" w:hAnsi="Consolas"/>
          <w:sz w:val="19"/>
        </w:rPr>
        <w:t>scripts/_sim_obitos.py</w:t>
      </w:r>
      <w:r>
        <w:t xml:space="preserve">, módulo compartilhado por todos os pipelines de mortalidade do repositório, e determina: exclusão de óbito fetal pelo campo </w:t>
      </w:r>
      <w:r>
        <w:rPr>
          <w:rFonts w:ascii="Consolas" w:hAnsi="Consolas"/>
          <w:sz w:val="19"/>
        </w:rPr>
        <w:t>TIPOBITO</w:t>
      </w:r>
      <w:r>
        <w:t xml:space="preserve">, decodificação do campo </w:t>
      </w:r>
      <w:r>
        <w:rPr>
          <w:rFonts w:ascii="Consolas" w:hAnsi="Consolas"/>
          <w:sz w:val="19"/>
        </w:rPr>
        <w:t>IDADE</w:t>
      </w:r>
      <w:r>
        <w:t xml:space="preserve"> em anos completos, e município de residência preservado como </w:t>
      </w:r>
      <w:r>
        <w:rPr>
          <w:rFonts w:ascii="Consolas" w:hAnsi="Consolas"/>
          <w:sz w:val="19"/>
        </w:rPr>
        <w:t>000000</w:t>
      </w:r>
      <w:r>
        <w:t xml:space="preserve"> quando ausente, para não desaparecer em junção. Compartilhar a definição em vez de reescrevê-la é decisão deliberada — duas cópias da mesma regra divergem em silêncio, e a divergência apareceria como um total de óbitos que não bate entre duas tabelas publicadas.</w:t>
      </w:r>
    </w:p>
    <w:p>
      <w:r>
        <w:t xml:space="preserve">O ano de 2025 aparece nas tabelas marcado como preliminar e </w:t>
      </w:r>
      <w:r>
        <w:rPr>
          <w:b/>
        </w:rPr>
        <w:t>não entra em nenhum total do texto</w:t>
      </w:r>
      <w:r>
        <w:t>. Dado preliminar tem a cauda incompleta: os seus valores só crescem, o que os torna piso e não estimativa.</w:t>
      </w:r>
    </w:p>
    <w:p>
      <w:pPr>
        <w:pStyle w:val="Heading2"/>
      </w:pPr>
      <w:r>
        <w:t>2.2 Por que quatro caracteres da CID-10</w:t>
      </w:r>
    </w:p>
    <w:p>
      <w:r>
        <w:t>Os produtos publicados deste projeto trabalham com a causa básica truncada em três caracteres, o grão de categoria da CID-10. Aqui isso não serve, por três razões simultâneas:</w:t>
      </w:r>
    </w:p>
    <w:p>
      <w:pPr>
        <w:pStyle w:val="ListBullet"/>
      </w:pPr>
      <w:r>
        <w:t xml:space="preserve">a própria lista oficial nomeia códigos de quatro caracteres — </w:t>
      </w:r>
      <w:r>
        <w:rPr>
          <w:b/>
        </w:rPr>
        <w:t>G00.0</w:t>
      </w:r>
      <w:r>
        <w:t xml:space="preserve"> (meningite por </w:t>
      </w:r>
      <w:r>
        <w:rPr>
          <w:i/>
        </w:rPr>
        <w:t>Haemophilus</w:t>
      </w:r>
      <w:r>
        <w:t xml:space="preserve">), </w:t>
      </w:r>
      <w:r>
        <w:rPr>
          <w:b/>
        </w:rPr>
        <w:t>P35.0</w:t>
      </w:r>
      <w:r>
        <w:t xml:space="preserve"> (síndrome da rubéola congênita) e </w:t>
      </w:r>
      <w:r>
        <w:rPr>
          <w:b/>
        </w:rPr>
        <w:t>P35.3</w:t>
      </w:r>
      <w:r>
        <w:t xml:space="preserve"> (hepatite viral congênita) —, e truncá-los os confunde com as demais meningites bacterianas e com as demais infecções congênitas;</w:t>
      </w:r>
    </w:p>
    <w:p>
      <w:pPr>
        <w:pStyle w:val="ListBullet"/>
      </w:pPr>
      <w:r>
        <w:t xml:space="preserve">o SIM brasileiro codifica COVID-19 como </w:t>
      </w:r>
      <w:r>
        <w:rPr>
          <w:b/>
        </w:rPr>
        <w:t>B34.2</w:t>
      </w:r>
      <w:r>
        <w:t>, e não como U07 da atualização da CID-10; truncada em três caracteres, a pandemia inteira vira "infecção viral não especificada";</w:t>
      </w:r>
    </w:p>
    <w:p>
      <w:pPr>
        <w:pStyle w:val="ListBullet"/>
      </w:pPr>
      <w:r>
        <w:t xml:space="preserve">a septicemia pneumocócica é </w:t>
      </w:r>
      <w:r>
        <w:rPr>
          <w:b/>
        </w:rPr>
        <w:t>A40.3</w:t>
      </w:r>
      <w:r>
        <w:t>, indistinguível de A40 sem o quarto caractere.</w:t>
      </w:r>
    </w:p>
    <w:p>
      <w:r>
        <w:t>A agregação foi refeita a partir do microdado preservando os quatro caracteres, mantendo intactas as demais regras de derivação.</w:t>
      </w:r>
    </w:p>
    <w:p>
      <w:pPr>
        <w:pStyle w:val="Heading2"/>
      </w:pPr>
      <w:r>
        <w:t>2.3 O instrumento oficial</w:t>
      </w:r>
    </w:p>
    <w:p>
      <w:r>
        <w:t>O subgrupo 1.1 foi transcrito literalmente das duas notas técnicas do TabNet/DataSUS [4, 5] (</w:t>
      </w:r>
      <w:r>
        <w:rPr>
          <w:rFonts w:ascii="Consolas" w:hAnsi="Consolas"/>
          <w:sz w:val="19"/>
        </w:rPr>
        <w:t>Obitos_Evitaveis_0_a_4_anos.pdf</w:t>
      </w:r>
      <w:r>
        <w:t xml:space="preserve"> e </w:t>
      </w:r>
      <w:r>
        <w:rPr>
          <w:rFonts w:ascii="Consolas" w:hAnsi="Consolas"/>
          <w:sz w:val="19"/>
        </w:rPr>
        <w:t>Obitos_Evitaveis_5_a_74_anos.pdf</w:t>
      </w:r>
      <w:r>
        <w:t>), e não reconstruído de memória nem de artigo secundário. As notas implementam a lista de 2007 [1] com as revisões de 2010 [2] e 2011 [3]. As duas versões diferem em cinco códigos, todos preservados: a versão de menores de cinco anos inclui tétano neonatal (A33), caxumba (B26), síndrome da rubéola congênita (P35.0) e hepatite viral congênita (P35.3), e exclui tétano obstétrico (A34), que só aparece na versão de 5 a 74 anos (Tabela S2).</w:t>
      </w:r>
    </w:p>
    <w:p>
      <w:r>
        <w:t xml:space="preserve">A aplicação respeita a idade que cada versão determina. Um óbito de menor de cinco anos é avaliado pela lista de menores de cinco; um óbito entre 5 e 74 anos, pela outra. </w:t>
      </w:r>
      <w:r>
        <w:rPr>
          <w:b/>
        </w:rPr>
        <w:t>Óbitos com 75 anos ou mais não são avaliados por nenhuma lista</w:t>
      </w:r>
      <w:r>
        <w:t>, porque nenhuma existe — o que é propriedade do instrumento e não recorte deste estudo, e cuja consequência quantitativa é medida na §3.3.</w:t>
      </w:r>
    </w:p>
    <w:p>
      <w:r>
        <w:t>O limite superior é explícito na própria revisão que o fixou: o título de 2011 é "Atualização da lista de causas de mortes evitáveis (5 a 74 anos de idade) por intervenções do Sistema Único de Saúde do Brasil" [3]. Não é omissão da nota técnica nem convenção de tabulação — é a delimitação declarada do instrumento.</w:t>
      </w:r>
    </w:p>
    <w:p>
      <w:pPr>
        <w:pStyle w:val="Heading2"/>
      </w:pPr>
      <w:r>
        <w:t>2.4 O conjunto ampliado e o critério de disponibilidade</w:t>
      </w:r>
    </w:p>
    <w:p>
      <w:r>
        <w:t xml:space="preserve">O conjunto ampliado reúne, além dos códigos do subgrupo 1.1, as demais doenças para as quais existe vacina, com os códigos de causa básica que as identificam sem ambiguidade. </w:t>
      </w:r>
      <w:r>
        <w:rPr>
          <w:b/>
        </w:rPr>
        <w:t>Ele é um teto, não uma estimativa de mortes evitáveis.</w:t>
      </w:r>
      <w:r>
        <w:t xml:space="preserve"> O que ele mede é a carga de óbitos por doenças para as quais existe vacina no país — grandeza que não desconta eficácia vacinal, não conhece a situação vacinal de quem morreu, e não verifica se a vacina era recomendada para aquela idade ou aquele território. Nenhum número do conjunto ampliado deve ser lido como o de mortes que teriam sido evitadas; todos devem ser lidos como o limite superior do que a vacinação poderia, no melhor caso, ter alcançado. Cada causa carrega um campo de </w:t>
      </w:r>
      <w:r>
        <w:rPr>
          <w:b/>
        </w:rPr>
        <w:t>disponibilidade</w:t>
      </w:r>
      <w:r>
        <w:t xml:space="preserve">, que registra desde quando a vacina existe na rede pública brasileira, e esse campo faz trabalho analítico, não decorativo: ele separa "a doença tem vacina" de "o SUS oferecia a vacina". O herpes zoster é o caso que obriga a distinção — tem vacina licenciada no Brasil, ela </w:t>
      </w:r>
      <w:r>
        <w:rPr>
          <w:b/>
        </w:rPr>
        <w:t>não</w:t>
      </w:r>
      <w:r>
        <w:t xml:space="preserve"> está no PNI, e contar os seus óbitos como evitáveis pelo SUS seria falso. Por isso a Tabela S7 traz dois subtotais, com e sem ele.</w:t>
      </w:r>
    </w:p>
    <w:p>
      <w:r>
        <w:t>A COVID-19 recebe tratamento próprio pelo mesmo motivo: a vacina passou a existir em janeiro de 2021, e nenhum óbito de 2020 poderia ter sido evitado por ela. Os totais do conjunto ampliado são sempre apresentados com e sem COVID-19.</w:t>
      </w:r>
    </w:p>
    <w:p>
      <w:r>
        <w:rPr>
          <w:b/>
        </w:rPr>
        <w:t>Quatro níveis de disponibilidade, e o que este trabalho consegue separar.</w:t>
      </w:r>
      <w:r>
        <w:t xml:space="preserve"> "Vacina disponível" não é um estado único. Ela se decompõe em pelo menos quatro condições, e elas não coincidem:</w:t>
      </w:r>
    </w:p>
    <w:p>
      <w:r>
        <w:t xml:space="preserve">1. </w:t>
      </w:r>
      <w:r>
        <w:rPr>
          <w:b/>
        </w:rPr>
        <w:t>licenciada</w:t>
      </w:r>
      <w:r>
        <w:t xml:space="preserve"> no país pela Anvisa;</w:t>
      </w:r>
    </w:p>
    <w:p>
      <w:r>
        <w:t xml:space="preserve">2. </w:t>
      </w:r>
      <w:r>
        <w:rPr>
          <w:b/>
        </w:rPr>
        <w:t>incorporada</w:t>
      </w:r>
      <w:r>
        <w:t xml:space="preserve"> ao SUS, isto é, ofertada pela rede pública;</w:t>
      </w:r>
    </w:p>
    <w:p>
      <w:r>
        <w:t xml:space="preserve">3. </w:t>
      </w:r>
      <w:r>
        <w:rPr>
          <w:b/>
        </w:rPr>
        <w:t>recomendada para aquela idade</w:t>
      </w:r>
      <w:r>
        <w:t>, porque o calendário é etário e a maioria das vacinas tem janela;</w:t>
      </w:r>
    </w:p>
    <w:p>
      <w:r>
        <w:t xml:space="preserve">4. </w:t>
      </w:r>
      <w:r>
        <w:rPr>
          <w:b/>
        </w:rPr>
        <w:t>recomendada para aquele território</w:t>
      </w:r>
      <w:r>
        <w:t>, porque parte das recomendações é geográfica.</w:t>
      </w:r>
    </w:p>
    <w:p>
      <w:r>
        <w:t xml:space="preserve">O campo de disponibilidade deste trabalho separa com segurança os níveis 1 e 2 — é o que exclui o herpes zoster do núcleo do conjunto ampliado. Os níveis 3 e 4 </w:t>
      </w:r>
      <w:r>
        <w:rPr>
          <w:b/>
        </w:rPr>
        <w:t>não</w:t>
      </w:r>
      <w:r>
        <w:t xml:space="preserve"> são aplicados óbito a óbito, e isso é uma limitação declarada, não um detalhe: um óbito por COVID-19 em 2021 numa faixa que só entrou na campanha meses depois conta no conjunto ampliado do mesmo modo que um óbito de quem já tinha a vacina à disposição.</w:t>
      </w:r>
    </w:p>
    <w:p>
      <w:r>
        <w:t xml:space="preserve">A febre amarela é o caso que torna o nível 4 visível: a vacina existe desde 1937 e é de dose única, mas a recomendação era territorial, e os 452 óbitos de 2017–2018 ocorreram em municípios que só entraram na área com recomendação </w:t>
      </w:r>
      <w:r>
        <w:rPr>
          <w:b/>
        </w:rPr>
        <w:t>depois</w:t>
      </w:r>
      <w:r>
        <w:t xml:space="preserve"> do surto (§3.6). Contá-los como "vacina disponível" é correto no nível 2 e falso no nível 4.</w:t>
      </w:r>
    </w:p>
    <w:p>
      <w:r>
        <w:t>Os anos de entrada foram compilados do Calendário Nacional de Vacinação do Ministério da Saúde e do seu histórico [6]. Eles são anotação de contexto, não variável de análise: nenhum resultado deste artigo depende do ano exato, e a §4.4 registra que não foram auditados ato normativo a ato normativo.</w:t>
      </w:r>
    </w:p>
    <w:p>
      <w:pPr>
        <w:pStyle w:val="Heading2"/>
      </w:pPr>
      <w:r>
        <w:t>2.5 O grupo de latência longa</w:t>
      </w:r>
    </w:p>
    <w:p>
      <w:r>
        <w:t xml:space="preserve">Três causas com relação estabelecida com vacina ficam </w:t>
      </w:r>
      <w:r>
        <w:rPr>
          <w:b/>
        </w:rPr>
        <w:t>fora de qualquer soma</w:t>
      </w:r>
      <w:r>
        <w:t xml:space="preserve"> e são reportadas à parte (Tabela S16): câncer de colo do útero (C53), câncer de fígado (C22) e hepatite B crônica e cirrose (B18.0–B18.1). O motivo é o intervalo entre a exposição evitável e a morte. A vacina contra HPV entrou no PNI em 2014 e a progressão da infecção ao carcinoma leva décadas: nenhuma morte por câncer de colo do útero registrada em 2024 poderia ter sido evitada por uma campanha de 2014, e somá-las inflaria o total com mortes que nenhuma política vacinal atual alcançaria. Para o fígado, some-se que a fração atribuível ao vírus da hepatite B não é separável na causa básica.</w:t>
      </w:r>
    </w:p>
    <w:p>
      <w:r>
        <w:t>Estas três causas estão no artigo porque são o argumento mais forte a favor da vacinação de hoje, e porque omiti-las esconderia esse argumento. Elas não estão nos totais porque somá-las seria a forma mais fácil de tornar o número grande e errado.</w:t>
      </w:r>
    </w:p>
    <w:p>
      <w:pPr>
        <w:pStyle w:val="Heading2"/>
      </w:pPr>
      <w:r>
        <w:t>2.6 O cruzamento ecológico e o critério declarado antes da análise</w:t>
      </w:r>
    </w:p>
    <w:p>
      <w:r>
        <w:t>Para testar se a variação territorial da mortalidade por influenza guarda relação com a intensidade da vacinação, foram cruzados, por unidade da federação e para 2023 e 2024, os óbitos por influenza (J09–J11) em pessoas de 60 anos ou mais, os denominadores populacionais dessa faixa [9] e as doses de influenza (</w:t>
      </w:r>
      <w:r>
        <w:rPr>
          <w:rFonts w:ascii="Consolas" w:hAnsi="Consolas"/>
          <w:sz w:val="19"/>
        </w:rPr>
        <w:t>INF3</w:t>
      </w:r>
      <w:r>
        <w:t>) registradas no PNI/RNDS [8] (Tabela S14).</w:t>
      </w:r>
    </w:p>
    <w:p>
      <w:r>
        <w:t xml:space="preserve">O critério de interpretação foi fixado </w:t>
      </w:r>
      <w:r>
        <w:rPr>
          <w:b/>
        </w:rPr>
        <w:t>antes</w:t>
      </w:r>
      <w:r>
        <w:t xml:space="preserve"> de observar o resultado: correlação de Spearman com módulo inferior a 0,30, ou sinal diferente entre os dois anos, seria tratada como ausência de sinal — e ausência de sinal seria reportada como resultado, não como convite a procurar outro recorte.</w:t>
      </w:r>
    </w:p>
    <w:p>
      <w:r>
        <w:t xml:space="preserve">Declarar o critério antes separa um achado nulo de uma busca por especificação, mas </w:t>
      </w:r>
      <w:r>
        <w:rPr>
          <w:b/>
        </w:rPr>
        <w:t>não protege contra exposição mal medida</w:t>
      </w:r>
      <w:r>
        <w:t>, que é o que ocorreu aqui. A §3.10 mostra que o quociente construído não mede cobertura vacinal em idosos, e por isso o cruzamento é reportado como nota de qualidade de dado, e não como teste. O critério pré-declarado fica registrado porque ele foi de fato declarado antes; o que ele não pode fazer é validar a medida sobre a qual foi aplicado.</w:t>
      </w:r>
    </w:p>
    <w:p>
      <w:pPr>
        <w:pStyle w:val="Heading2"/>
      </w:pPr>
      <w:r>
        <w:t>2.7 Guardas computacionais</w:t>
      </w:r>
    </w:p>
    <w:p>
      <w:r>
        <w:t>Quatro verificações interrompem a execução, em vez de emitir aviso, porque cada uma invalida um número do texto em vez de apenas torná-lo impreciso:</w:t>
      </w:r>
    </w:p>
    <w:p>
      <w:pPr>
        <w:pStyle w:val="ListBullet"/>
      </w:pPr>
      <w:r>
        <w:rPr>
          <w:b/>
        </w:rPr>
        <w:t>aparecimento de U07.</w:t>
      </w:r>
      <w:r>
        <w:t xml:space="preserve"> Se o DataSUS recodificar COVID-19 para o código da atualização da CID-10, o predicado baseado em B34.2 passa a contar a pandemia duas vezes ou nenhuma. A Tabela S1 reporta o valor observado, que é zero;</w:t>
      </w:r>
    </w:p>
    <w:p>
      <w:pPr>
        <w:pStyle w:val="ListBullet"/>
      </w:pPr>
      <w:r>
        <w:rPr>
          <w:b/>
        </w:rPr>
        <w:t>desaparecimento de B34.2</w:t>
      </w:r>
      <w:r>
        <w:t>, que indicaria rota de coleta quebrada;</w:t>
      </w:r>
    </w:p>
    <w:p>
      <w:pPr>
        <w:pStyle w:val="ListBullet"/>
      </w:pPr>
      <w:r>
        <w:rPr>
          <w:b/>
        </w:rPr>
        <w:t>ano sem nenhum óbito</w:t>
      </w:r>
      <w:r>
        <w:t>, que indicaria coleta incompleta silenciosa;</w:t>
      </w:r>
    </w:p>
    <w:p>
      <w:pPr>
        <w:pStyle w:val="ListBullet"/>
      </w:pPr>
      <w:r>
        <w:rPr>
          <w:b/>
        </w:rPr>
        <w:t>código da lista transcrita ausente do dicionário da CID-10</w:t>
      </w:r>
      <w:r>
        <w:t>. Erro de digitação numa lista copiada à mão não se manifesta como erro: manifesta-se como zero óbitos, que é indistinguível de "ninguém morreu desta causa".</w:t>
      </w:r>
    </w:p>
    <w:p>
      <w:pPr>
        <w:pStyle w:val="Heading2"/>
      </w:pPr>
      <w:r>
        <w:t>2.8 Aspectos éticos</w:t>
      </w:r>
    </w:p>
    <w:p>
      <w:r>
        <w:t>O trabalho usa exclusivamente dados de domínio público, agregados, sem identificação individual, dispensando apreciação por Comitê de Ética em Pesquisa nos termos da Resolução CNS nº 510/2016. Nenhum microdado individual é publicado.</w:t>
      </w:r>
    </w:p>
    <w:p>
      <w:pPr>
        <w:pStyle w:val="Heading1"/>
      </w:pPr>
      <w:r>
        <w:t>3. Resultados</w:t>
      </w:r>
    </w:p>
    <w:p>
      <w:pPr>
        <w:pStyle w:val="Heading2"/>
      </w:pPr>
      <w:r>
        <w:t>3.1 A base</w:t>
      </w:r>
    </w:p>
    <w:p>
      <w:r>
        <w:t xml:space="preserve">A guarda de U07 não disparou: zero óbitos nesse código em dez anos, e 718.811 em B34.2. O total de 14.484.496 óbitos inclui os registros cujo município de residência não é identificável — 27.278 óbitos em 25 códigos do tipo </w:t>
      </w:r>
      <w:r>
        <w:rPr>
          <w:rFonts w:ascii="Consolas" w:hAnsi="Consolas"/>
          <w:sz w:val="19"/>
        </w:rPr>
        <w:t>110000</w:t>
      </w:r>
      <w:r>
        <w:t xml:space="preserve">, "município ignorado" dentro da unidade da federação. Este desenho </w:t>
      </w:r>
      <w:r>
        <w:rPr>
          <w:b/>
        </w:rPr>
        <w:t>não</w:t>
      </w:r>
      <w:r>
        <w:t xml:space="preserve"> agrega por município e por isso os mantém; o manuscrito irmão sobre vigilância da água, que agrega por município, os exclui e trabalha com 14.457.218. Os dois números descrevem a mesma versão dos microdados, e a diferença é inteiramente a exigência de município utilizável. A proporção de causas mal definidas, 5,33%, é o confundidor de fundo de todo este trabalho e volta na §4.3.</w:t>
      </w:r>
    </w:p>
    <w:p>
      <w:pPr>
        <w:pStyle w:val="Heading2"/>
      </w:pPr>
      <w:r>
        <w:t>3.2 O instrumento oficial identifica 4,03 óbitos por 10 mil</w:t>
      </w:r>
    </w:p>
    <w:p>
      <w:r>
        <w:t xml:space="preserve">Duas leituras saltam da Tabela S2. A primeira é a distribuição interna: tuberculose miliar (2.430 óbitos) e do sistema nervoso (1.081) e hepatite aguda B (2.013) concentram a maior parte do total, enquanto sarampo, rubéola, difteria e caxumba somam, juntos, pouco mais de duzentos óbitos em dez anos. A segunda é a poliomielite: </w:t>
      </w:r>
      <w:r>
        <w:rPr>
          <w:b/>
        </w:rPr>
        <w:t>zero óbitos em toda a série</w:t>
      </w:r>
      <w:r>
        <w:t>, o que é a confirmação de um sucesso de saúde pública e, ao mesmo tempo, um código que ocupa lugar na lista sem contribuir com informação.</w:t>
      </w:r>
    </w:p>
    <w:p>
      <w:r>
        <w:t>Em dez anos, o instrumento oficial identifica 5.832 óbitos, 4,03 por 10 mil óbitos registrados. A série não tem tendência: 4,63 por 10 mil em 2015 e 4,11 em 2024, com o mínimo de 2,94 em 2021 — mínimo que é artefato do denominador, porque 2021 é o ano de maior mortalidade da série brasileira, e não sinal de melhora.</w:t>
      </w:r>
    </w:p>
    <w:p>
      <w:r>
        <w:t xml:space="preserve">A terceira coluna da Tabela S3 antecipa o resultado seguinte: os </w:t>
      </w:r>
      <w:r>
        <w:rPr>
          <w:b/>
        </w:rPr>
        <w:t>mesmos códigos</w:t>
      </w:r>
      <w:r>
        <w:t xml:space="preserve"> produzem 746 óbitos adicionais em pessoas de 75 anos ou mais, que a lista não conta porque não os alcança.</w:t>
      </w:r>
    </w:p>
    <w:p>
      <w:pPr>
        <w:spacing w:before="200" w:after="40"/>
        <w:jc w:val="center"/>
      </w:pPr>
      <w:r>
        <w:drawing>
          <wp:inline xmlns:a="http://schemas.openxmlformats.org/drawingml/2006/main" xmlns:pic="http://schemas.openxmlformats.org/drawingml/2006/picture">
            <wp:extent cx="5760720" cy="2924456"/>
            <wp:docPr id="1" name="Picture 1"/>
            <wp:cNvGraphicFramePr>
              <a:graphicFrameLocks noChangeAspect="1"/>
            </wp:cNvGraphicFramePr>
            <a:graphic>
              <a:graphicData uri="http://schemas.openxmlformats.org/drawingml/2006/picture">
                <pic:pic>
                  <pic:nvPicPr>
                    <pic:cNvPr id="0" name="figura_01_serie_oficial.png"/>
                    <pic:cNvPicPr/>
                  </pic:nvPicPr>
                  <pic:blipFill>
                    <a:blip r:embed="rId9"/>
                    <a:stretch>
                      <a:fillRect/>
                    </a:stretch>
                  </pic:blipFill>
                  <pic:spPr>
                    <a:xfrm>
                      <a:off x="0" y="0"/>
                      <a:ext cx="5760720" cy="2924456"/>
                    </a:xfrm>
                    <a:prstGeom prst="rect"/>
                  </pic:spPr>
                </pic:pic>
              </a:graphicData>
            </a:graphic>
          </wp:inline>
        </w:drawing>
      </w:r>
    </w:p>
    <w:p>
      <w:pPr>
        <w:spacing w:before="40" w:after="280"/>
      </w:pPr>
      <w:r>
        <w:rPr>
          <w:color w:val="52514E"/>
          <w:sz w:val="18"/>
        </w:rPr>
        <w:t>Figura 1. Óbitos identificados pelo subgrupo 1.1 da Lista Brasileira, 2015–2024. (A) Contagem anual, com os mesmos códigos em 75 anos ou mais — faixa que o instrumento não alcança por construção. (B) Óbitos por 10 mil óbitos do ano. A série não tem tendência na década. Fonte: Tabela S3.</w:t>
      </w:r>
    </w:p>
    <w:p>
      <w:pPr>
        <w:pStyle w:val="Heading2"/>
      </w:pPr>
      <w:r>
        <w:t>3.3 Um terço da carga está acima da idade que a lista cobre</w:t>
      </w:r>
    </w:p>
    <w:p>
      <w:r>
        <w:t xml:space="preserve">Dos 746.742 óbitos por causas com vacina disponível registrados na década, 267.276 — 35,8% — ocorreram em pessoas de 75 anos ou mais. Para essa faixa, a coluna do subgrupo 1.1 é </w:t>
      </w:r>
      <w:r>
        <w:rPr>
          <w:b/>
        </w:rPr>
        <w:t>zero por construção</w:t>
      </w:r>
      <w:r>
        <w:t>: não existe lista brasileira de evitabilidade acima dos 74 anos. A faixa que o instrumento cobre inteira, a de menores de cinco anos, responde por 3.883 óbitos, 0,5% do conjunto.</w:t>
      </w:r>
    </w:p>
    <w:p>
      <w:r>
        <w:t>O corte etário tem origem conceitual conhecida — listas de evitabilidade nasceram para monitorar mortalidade prematura —, e a consequência é específica desta aplicação: influenza, doença pneumocócica e COVID-19 matam predominantemente idosos. Um instrumento que exclui a idade em que a doença mata não subestima a carga por descuido de medida; ele a define para fora.</w:t>
      </w:r>
    </w:p>
    <w:p>
      <w:pPr>
        <w:spacing w:before="200" w:after="40"/>
        <w:jc w:val="center"/>
      </w:pPr>
      <w:r>
        <w:drawing>
          <wp:inline xmlns:a="http://schemas.openxmlformats.org/drawingml/2006/main" xmlns:pic="http://schemas.openxmlformats.org/drawingml/2006/picture">
            <wp:extent cx="5760720" cy="2975695"/>
            <wp:docPr id="2" name="Picture 2"/>
            <wp:cNvGraphicFramePr>
              <a:graphicFrameLocks noChangeAspect="1"/>
            </wp:cNvGraphicFramePr>
            <a:graphic>
              <a:graphicData uri="http://schemas.openxmlformats.org/drawingml/2006/picture">
                <pic:pic>
                  <pic:nvPicPr>
                    <pic:cNvPr id="0" name="figura_02_corte_etario.png"/>
                    <pic:cNvPicPr/>
                  </pic:nvPicPr>
                  <pic:blipFill>
                    <a:blip r:embed="rId10"/>
                    <a:stretch>
                      <a:fillRect/>
                    </a:stretch>
                  </pic:blipFill>
                  <pic:spPr>
                    <a:xfrm>
                      <a:off x="0" y="0"/>
                      <a:ext cx="5760720" cy="2975695"/>
                    </a:xfrm>
                    <a:prstGeom prst="rect"/>
                  </pic:spPr>
                </pic:pic>
              </a:graphicData>
            </a:graphic>
          </wp:inline>
        </w:drawing>
      </w:r>
    </w:p>
    <w:p>
      <w:pPr>
        <w:spacing w:before="40" w:after="280"/>
      </w:pPr>
      <w:r>
        <w:rPr>
          <w:color w:val="52514E"/>
          <w:sz w:val="18"/>
        </w:rPr>
        <w:t>Figura 2. Distribuição etária dos óbitos por causas com vacina disponível, 2015–2024. A Lista Brasileira termina aos 74 anos; 35,8% dos óbitos estão acima desse corte, invisíveis ao instrumento. Fonte: Tabela S5.</w:t>
      </w:r>
    </w:p>
    <w:p>
      <w:pPr>
        <w:pStyle w:val="Heading2"/>
      </w:pPr>
      <w:r>
        <w:t>3.4 Metade do que o instrumento conta é tuberculose de adulto</w:t>
      </w:r>
    </w:p>
    <w:p>
      <w:r>
        <w:t>Dos 5.832 óbitos do subgrupo 1.1, 3.189 são tuberculose miliar ou do sistema nervoso — 54,7% do total do instrumento. Destes, apenas 97 ocorreram em menores de cinco anos; 3.092, ou 53% de todo o subgrupo, ocorreram entre 5 e 74 anos.</w:t>
      </w:r>
    </w:p>
    <w:p>
      <w:r>
        <w:t xml:space="preserve">A distinção importa porque a evitabilidade atribuída a essas duas causas vem da BCG — e isso não é interpretação deste trabalho. É o que a revisão de 2011 declara ao explicar por que manteve A17 e A19 no subgrupo 1.1 e mandou os demais códigos de tuberculose para outro: "por serem as causas evitáveis de morte pela vacina BCG" [3]. A indicação estabelecida da BCG, e a justificativa que a própria revisão invoca, é a proteção contra as </w:t>
      </w:r>
      <w:r>
        <w:rPr>
          <w:b/>
        </w:rPr>
        <w:t>formas graves da tuberculose na criança</w:t>
      </w:r>
      <w:r>
        <w:t xml:space="preserve">. Não se trata, porém, de afirmar que a BCG não proteja adultos: um seguimento de 60 anos de coorte vacinada na infância encontrou eficácia de 52% (IC95% 27%–69%) persistindo por 50 a 60 anos, sem redução estatisticamente significativa ao longo do tempo [10]. O problema é outro, e é de correspondência entre critério e indicador: o critério enunciado pelos autores não restringe idade, e o indicador que dele resulta é </w:t>
      </w:r>
      <w:r>
        <w:rPr>
          <w:b/>
        </w:rPr>
        <w:t>dominado por morte adulta</w:t>
      </w:r>
      <w:r>
        <w:t>, cuja relação com a vacinação infantil é muito mais incerta do que a de uma forma grave em criança não vacinada — e depende de cepa, de esquema, de idade à vacinação e do contexto epidemiológico, nenhum dos quais o SIM registra. Manter A17 e A19 no subgrupo de imunoprevenção sem restrição etária faz com que mais da metade do que o instrumento oficial reporta como "morte evitável por vacina" seja tuberculose de adulto, para a qual a intervenção evitável é diagnóstico e tratamento — que a própria Lista Brasileira classifica em outro subgrupo, o 1.2, quando se trata das demais formas de tuberculose.</w:t>
      </w:r>
    </w:p>
    <w:p>
      <w:r>
        <w:t>Excluída a tuberculose, o núcleo do instrumento oficial fica em 2.643 óbitos em dez anos, 264,3 por ano no país inteiro.</w:t>
      </w:r>
    </w:p>
    <w:p>
      <w:pPr>
        <w:spacing w:before="200" w:after="40"/>
        <w:jc w:val="center"/>
      </w:pPr>
      <w:r>
        <w:drawing>
          <wp:inline xmlns:a="http://schemas.openxmlformats.org/drawingml/2006/main" xmlns:pic="http://schemas.openxmlformats.org/drawingml/2006/picture">
            <wp:extent cx="5760720" cy="2304288"/>
            <wp:docPr id="3" name="Picture 3"/>
            <wp:cNvGraphicFramePr>
              <a:graphicFrameLocks noChangeAspect="1"/>
            </wp:cNvGraphicFramePr>
            <a:graphic>
              <a:graphicData uri="http://schemas.openxmlformats.org/drawingml/2006/picture">
                <pic:pic>
                  <pic:nvPicPr>
                    <pic:cNvPr id="0" name="figura_03_composicao.png"/>
                    <pic:cNvPicPr/>
                  </pic:nvPicPr>
                  <pic:blipFill>
                    <a:blip r:embed="rId11"/>
                    <a:stretch>
                      <a:fillRect/>
                    </a:stretch>
                  </pic:blipFill>
                  <pic:spPr>
                    <a:xfrm>
                      <a:off x="0" y="0"/>
                      <a:ext cx="5760720" cy="2304288"/>
                    </a:xfrm>
                    <a:prstGeom prst="rect"/>
                  </pic:spPr>
                </pic:pic>
              </a:graphicData>
            </a:graphic>
          </wp:inline>
        </w:drawing>
      </w:r>
    </w:p>
    <w:p>
      <w:pPr>
        <w:spacing w:before="40" w:after="280"/>
      </w:pPr>
      <w:r>
        <w:rPr>
          <w:color w:val="52514E"/>
          <w:sz w:val="18"/>
        </w:rPr>
        <w:t>Figura 3. Composição interna do subgrupo 1.1. Em vermelho, a tuberculose miliar e do sistema nervoso em idade sem proteção estabelecida pela BCG; em azul, o que resta do subgrupo. Fonte: Tabela S6.</w:t>
      </w:r>
    </w:p>
    <w:p>
      <w:pPr>
        <w:pStyle w:val="Heading2"/>
      </w:pPr>
      <w:r>
        <w:t>3.5 O conjunto ampliado, causa a causa</w:t>
      </w:r>
    </w:p>
    <w:p>
      <w:r>
        <w:t>Sem a COVID-19, o conjunto ampliado soma 27.931 óbitos, razão de 4,79 sobre o instrumento oficial (Tabela S4); excluído também o herpes zoster, que tem vacina fora do PNI, ficam 26.688 e a razão cai para 4,58. Quatro causas ausentes do subgrupo 1.1 respondem sozinhas por mais óbitos do que ele inteiro: influenza (14.622), doença meningocócica (1.531), meningite pneumocócica (1.121) e pneumonia pneumocócica (809).</w:t>
      </w:r>
    </w:p>
    <w:p>
      <w:r>
        <w:t>A composição por disponibilidade é o que dá sentido ao número. Das causas com maior contagem, a influenza tem campanha anual desde 1999 e está classificada pela Lista Brasileira no subgrupo 1.2, entre as doenças infecciosas, e não no de imunoprevenção. A meningocócica ACWY, de 2020, não teria como constar de uma lista revista em 2011. A meningocócica C e a pneumocócica 10-valente, ambas incorporadas em 2010, teriam — e não constam. A defasagem, portanto, não é só o tempo que passou desde a última revisão: parte dela já existia no dia em que ela foi feita.</w:t>
      </w:r>
    </w:p>
    <w:p>
      <w:pPr>
        <w:spacing w:before="200" w:after="40"/>
        <w:jc w:val="center"/>
      </w:pPr>
      <w:r>
        <w:drawing>
          <wp:inline xmlns:a="http://schemas.openxmlformats.org/drawingml/2006/main" xmlns:pic="http://schemas.openxmlformats.org/drawingml/2006/picture">
            <wp:extent cx="5760720" cy="2068282"/>
            <wp:docPr id="4" name="Picture 4"/>
            <wp:cNvGraphicFramePr>
              <a:graphicFrameLocks noChangeAspect="1"/>
            </wp:cNvGraphicFramePr>
            <a:graphic>
              <a:graphicData uri="http://schemas.openxmlformats.org/drawingml/2006/picture">
                <pic:pic>
                  <pic:nvPicPr>
                    <pic:cNvPr id="0" name="figura_04_panorama.png"/>
                    <pic:cNvPicPr/>
                  </pic:nvPicPr>
                  <pic:blipFill>
                    <a:blip r:embed="rId12"/>
                    <a:stretch>
                      <a:fillRect/>
                    </a:stretch>
                  </pic:blipFill>
                  <pic:spPr>
                    <a:xfrm>
                      <a:off x="0" y="0"/>
                      <a:ext cx="5760720" cy="2068282"/>
                    </a:xfrm>
                    <a:prstGeom prst="rect"/>
                  </pic:spPr>
                </pic:pic>
              </a:graphicData>
            </a:graphic>
          </wp:inline>
        </w:drawing>
      </w:r>
    </w:p>
    <w:p>
      <w:pPr>
        <w:spacing w:before="40" w:after="280"/>
      </w:pPr>
      <w:r>
        <w:rPr>
          <w:color w:val="52514E"/>
          <w:sz w:val="18"/>
        </w:rPr>
        <w:t>Figura 4. O que o subgrupo 1.1 identifica, comparado ao conjunto ampliado de doenças com vacina disponível no país e à COVID-19. Escala logarítmica: a COVID-19 está duas ordens de grandeza acima das demais categorias, e uma escala linear achataria a comparação entre elas. Fonte: Tabela S4.</w:t>
      </w:r>
    </w:p>
    <w:p>
      <w:pPr>
        <w:pStyle w:val="Heading2"/>
      </w:pPr>
      <w:r>
        <w:t>3.5b De onde vem o desacordo entre os dois conjuntos (extensão exploratória)</w:t>
      </w:r>
    </w:p>
    <w:p>
      <w:r>
        <w:t xml:space="preserve">A razão de 4,79 entre o conjunto ampliado e o subgrupo 1.1 diz o </w:t>
      </w:r>
      <w:r>
        <w:rPr>
          <w:b/>
        </w:rPr>
        <w:t>tamanho</w:t>
      </w:r>
      <w:r>
        <w:t xml:space="preserve"> do</w:t>
      </w:r>
    </w:p>
    <w:p>
      <w:r>
        <w:t>desacordo e não a sua estrutura. As três causas possíveis pedem respostas</w:t>
      </w:r>
    </w:p>
    <w:p>
      <w:r>
        <w:t>diferentes: idade fora da janela se corrige mudando a janela, código fora da</w:t>
      </w:r>
    </w:p>
    <w:p>
      <w:r>
        <w:t>lista se corrige acrescentando código, e idade ignorada não se corrige por</w:t>
      </w:r>
    </w:p>
    <w:p>
      <w:r>
        <w:t>revisão nenhuma, porque é falha de registro e não decisão de escopo.</w:t>
      </w:r>
    </w:p>
    <w:p>
      <w:r>
        <w:t>Repartindo o conjunto ampliado em estados mutuamente exclusivos — cada óbito</w:t>
      </w:r>
    </w:p>
    <w:p>
      <w:r>
        <w:t>entra uma vez, e a soma reproduz o total:</w:t>
      </w:r>
    </w:p>
    <w:p>
      <w:r>
        <w:rPr>
          <w:b/>
        </w:rPr>
        <w:t>O desacordo é de conteúdo, não de idade.</w:t>
      </w:r>
      <w:r>
        <w:t xml:space="preserve"> Três quartos dele são códigos que</w:t>
      </w:r>
    </w:p>
    <w:p>
      <w:r>
        <w:t>não constam de nenhuma das duas versões do subgrupo 1.1 — influenza, doença</w:t>
      </w:r>
    </w:p>
    <w:p>
      <w:r>
        <w:t>pneumocócica, doença meningocócica, varicela, febre amarela. O corte aos 74 anos</w:t>
      </w:r>
    </w:p>
    <w:p>
      <w:r>
        <w:t>responde por 2,9% da diferença entre os dois conjuntos.</w:t>
      </w:r>
    </w:p>
    <w:p>
      <w:r>
        <w:t>Isso não contradiz a §3.3, e convém dizer por quê: lá a medida é a distribuição</w:t>
      </w:r>
    </w:p>
    <w:p>
      <w:r>
        <w:t xml:space="preserve">etária da </w:t>
      </w:r>
      <w:r>
        <w:rPr>
          <w:b/>
        </w:rPr>
        <w:t>carga</w:t>
      </w:r>
      <w:r>
        <w:t xml:space="preserve"> (35,8% dos óbitos por causa com vacina estão acima do</w:t>
      </w:r>
    </w:p>
    <w:p>
      <w:r>
        <w:t>corte), e ela é dominada pela COVID-19. Aqui a medida é a composição da</w:t>
      </w:r>
    </w:p>
    <w:p>
      <w:r>
        <w:rPr>
          <w:b/>
        </w:rPr>
        <w:t>diferença de contagem</w:t>
      </w:r>
      <w:r>
        <w:t xml:space="preserve"> entre os dois conjuntos, com a COVID-19 fora. As duas</w:t>
      </w:r>
    </w:p>
    <w:p>
      <w:r>
        <w:t>são verdadeiras e respondem a perguntas distintas: o corte etário importa para</w:t>
      </w:r>
    </w:p>
    <w:p>
      <w:r>
        <w:t>quem a lista deixa de enxergar, e a defasagem de códigos importa para o que ela</w:t>
      </w:r>
    </w:p>
    <w:p>
      <w:r>
        <w:t>deixa de contar.</w:t>
      </w:r>
    </w:p>
    <w:p>
      <w:r>
        <w:rPr>
          <w:b/>
        </w:rPr>
        <w:t>Um achado de validação, produzido por esta repartição.</w:t>
      </w:r>
      <w:r>
        <w:t xml:space="preserve"> Ao exigir que os</w:t>
      </w:r>
    </w:p>
    <w:p>
      <w:r>
        <w:t>estados somassem o universo, a conta revelou que 14 óbitos eram contados pelo</w:t>
      </w:r>
    </w:p>
    <w:p>
      <w:r>
        <w:t xml:space="preserve">subgrupo 1.1 e </w:t>
      </w:r>
      <w:r>
        <w:rPr>
          <w:b/>
        </w:rPr>
        <w:t>não</w:t>
      </w:r>
      <w:r>
        <w:t xml:space="preserve"> pelo conjunto ampliado: o código P35.3 (hepatite viral</w:t>
      </w:r>
    </w:p>
    <w:p>
      <w:r>
        <w:t>congênita) consta da versão de menores de 5 anos da lista oficial e não tinha</w:t>
      </w:r>
    </w:p>
    <w:p>
      <w:r>
        <w:t>correspondente no conjunto ampliado. O ampliado, portanto, não continha a lista</w:t>
      </w:r>
    </w:p>
    <w:p>
      <w:r>
        <w:t>que se propõe a superar — e um teto que não contém o piso não é teto. O código</w:t>
      </w:r>
    </w:p>
    <w:p>
      <w:r>
        <w:t>foi acrescentado e os totais desta versão já o incluem; a análise passa a abortar</w:t>
      </w:r>
    </w:p>
    <w:p>
      <w:r>
        <w:t>se algum código da lista oficial ficar descoberto. A diferença é pequena em</w:t>
      </w:r>
    </w:p>
    <w:p>
      <w:r>
        <w:t>óbitos e não muda conclusão alguma; o que ela mostra é que a diferença entre dois</w:t>
      </w:r>
    </w:p>
    <w:p>
      <w:r>
        <w:t>totais não revela a estrutura que os separa, que é exatamente o argumento desta</w:t>
      </w:r>
    </w:p>
    <w:p>
      <w:r>
        <w:t>seção.</w:t>
      </w:r>
    </w:p>
    <w:p>
      <w:r>
        <w:rPr>
          <w:b/>
        </w:rPr>
        <w:t>Esta extensão é exploratória e não pré-especificada.</w:t>
      </w:r>
      <w:r>
        <w:t xml:space="preserve"> Ela nasceu de auditoria</w:t>
      </w:r>
    </w:p>
    <w:p>
      <w:r>
        <w:t>externa, depois de os totais terem sido observados.</w:t>
      </w:r>
    </w:p>
    <w:p>
      <w:pPr>
        <w:pStyle w:val="Heading2"/>
      </w:pPr>
      <w:r>
        <w:t>3.6 Três eventos em que a vacina existia e a doença matou</w:t>
      </w:r>
    </w:p>
    <w:p>
      <w:r>
        <w:rPr>
          <w:b/>
        </w:rPr>
        <w:t>Febre amarela.</w:t>
      </w:r>
      <w:r>
        <w:t xml:space="preserve"> O surto de 2017 e 2018 produziu 452 óbitos, contra 4 em 2015 e 8 em 2016. O perfil é o clássico do ciclo silvestre: 86,5% no sexo masculino, idade média de 48,9 anos (Tabela S9). A vacina existe desde 1937 e é de dose única. O que faltava não era a vacina, era o </w:t>
      </w:r>
      <w:r>
        <w:rPr>
          <w:b/>
        </w:rPr>
        <w:t>mapa</w:t>
      </w:r>
      <w:r>
        <w:t xml:space="preserve"> — as áreas atingidas de Minas Gerais, Espírito Santo, São Paulo e Rio de Janeiro não estavam na recomendação de vacinação de rotina, que foi ampliada durante e depois do surto, até a recomendação nacional. É o caso mais nítido do conjunto: um óbito evitável não por adesão do indivíduo, mas por delimitação territorial da vigilância. O valor preliminar de 2025 na Tabela S8 merece acompanhamento.</w:t>
      </w:r>
    </w:p>
    <w:p>
      <w:r>
        <w:rPr>
          <w:b/>
        </w:rPr>
        <w:t>Sarampo.</w:t>
      </w:r>
      <w:r>
        <w:t xml:space="preserve"> Depois de três óbitos em 2015–2017, vieram 37 entre 2018 e 2021, com 19 deles em menores de 1 ano — crianças que ainda não tinham idade para a primeira dose da tríplice viral e dependiam inteiramente da imunidade coletiva. Foi o período em que o Brasil perdeu o certificado de eliminação do sarampo. A leitura relevante não é a magnitude, que é pequena, mas a direção: uma doença sem óbito no início da série volta a matar, e mata sobretudo quem não podia ser protegido diretamente.</w:t>
      </w:r>
    </w:p>
    <w:p>
      <w:r>
        <w:rPr>
          <w:b/>
        </w:rPr>
        <w:t>Coqueluche.</w:t>
      </w:r>
      <w:r>
        <w:t xml:space="preserve"> A série mostra um padrão que a leitura apressada inverteria. Não é um evento de 2024: são 42 óbitos em 2015, 40 deles em menores de 1 ano, caindo continuamente até 1 óbito em 2021 e nenhum em 2022 e 2023 — declínio compatível com a introdução da dTpa na gestante em 2014, cuja proteção alcança o lactente antes da primeira dose da pentavalente. O que 2024 mostra é o </w:t>
      </w:r>
      <w:r>
        <w:rPr>
          <w:b/>
        </w:rPr>
        <w:t>retorno</w:t>
      </w:r>
      <w:r>
        <w:t>: 22 óbitos, 21 deles em menores de 1 ano. A assinatura etária é a mesma do início da série, e é a assinatura de falha na vacinação da gestante somada a esquema básico atrasado.</w:t>
      </w:r>
    </w:p>
    <w:p>
      <w:pPr>
        <w:spacing w:before="200" w:after="40"/>
        <w:jc w:val="center"/>
      </w:pPr>
      <w:r>
        <w:drawing>
          <wp:inline xmlns:a="http://schemas.openxmlformats.org/drawingml/2006/main" xmlns:pic="http://schemas.openxmlformats.org/drawingml/2006/picture">
            <wp:extent cx="5760720" cy="1920240"/>
            <wp:docPr id="5" name="Picture 5"/>
            <wp:cNvGraphicFramePr>
              <a:graphicFrameLocks noChangeAspect="1"/>
            </wp:cNvGraphicFramePr>
            <a:graphic>
              <a:graphicData uri="http://schemas.openxmlformats.org/drawingml/2006/picture">
                <pic:pic>
                  <pic:nvPicPr>
                    <pic:cNvPr id="0" name="figura_05_tres_eventos.png"/>
                    <pic:cNvPicPr/>
                  </pic:nvPicPr>
                  <pic:blipFill>
                    <a:blip r:embed="rId13"/>
                    <a:stretch>
                      <a:fillRect/>
                    </a:stretch>
                  </pic:blipFill>
                  <pic:spPr>
                    <a:xfrm>
                      <a:off x="0" y="0"/>
                      <a:ext cx="5760720" cy="1920240"/>
                    </a:xfrm>
                    <a:prstGeom prst="rect"/>
                  </pic:spPr>
                </pic:pic>
              </a:graphicData>
            </a:graphic>
          </wp:inline>
        </w:drawing>
      </w:r>
    </w:p>
    <w:p>
      <w:pPr>
        <w:spacing w:before="40" w:after="280"/>
      </w:pPr>
      <w:r>
        <w:rPr>
          <w:color w:val="52514E"/>
          <w:sz w:val="18"/>
        </w:rPr>
        <w:t>Figura 5. Óbitos anuais por febre amarela, sarampo e coqueluche. A porção hachurada é a fração em menores de 1 ano. Sarampo (B05) e coqueluche (A37) JÁ constam do subgrupo 1.1 da Lista Brasileira; a febre amarela não. As duas primeiras ressurgiram no período com a lista já as incluindo, o que indica que a limitação do instrumento não se resolve apenas acrescentando códigos. Fonte: Tabela S8.</w:t>
      </w:r>
    </w:p>
    <w:p>
      <w:pPr>
        <w:pStyle w:val="Heading2"/>
      </w:pPr>
      <w:r>
        <w:t>3.7 Influenza: a série cresce e o instrumento não a vê</w:t>
      </w:r>
    </w:p>
    <w:p>
      <w:r>
        <w:t>A influenza é a única causa deste conjunto cuja janela de oportunidade se fecha e reabre todo ano. Os óbitos passam de 301 em 2015 a 2.458 em 2024, com pico intermediário de 3.249 em 2022 — ano em que 1.798 dos óbitos ocorreram em pessoas de 75 anos ou mais. O valor preliminar de 2025, 4.575 óbitos com 2.160 acima de 74 anos, já é o maior da série de onze anos, e por ser preliminar só pode crescer.</w:t>
      </w:r>
    </w:p>
    <w:p>
      <w:r>
        <w:t>Nenhum desses óbitos entra no subgrupo 1.1, por duas razões independentes e cumulativas: a Lista Brasileira classifica infecções respiratórias, inclusive influenza, no subgrupo 1.2; e a maior parte deles está acima da idade que a lista alcança.</w:t>
      </w:r>
    </w:p>
    <w:p>
      <w:pPr>
        <w:pStyle w:val="Heading2"/>
      </w:pPr>
      <w:r>
        <w:t>3.8 COVID-19 depois que a vacina existia</w:t>
      </w:r>
    </w:p>
    <w:p>
      <w:r>
        <w:t>A COVID-19 distorce qualquer comparação de série no período, e por isso aparece separada em todo este trabalho. Há, no entanto, um recorte que não é distorção. Em 2022, 2023 e 2024 — anos em que a vacinação estava disponível para toda a população brasileira, com esquema primário e reforços — foram registrados 81.643 óbitos por COVID-19, dos quais 46.974 em pessoas de 75 anos ou mais.</w:t>
      </w:r>
    </w:p>
    <w:p>
      <w:r>
        <w:t>Esse número é um teto e não uma estimativa de mortes evitáveis, pela mesma razão declarada na Introdução: a eficácia vacinal não é total e boa parte dessas pessoas estava vacinada. O que ele mede é a carga que persistiu depois que a ferramenta existia. Para efeito de comparação, em 2021 — ano em que a vacinação começou em janeiro e alcançou a população geral ao longo do segundo semestre — foram 424.461 óbitos, dos quais 150.350 entre 5 e 59 anos e 123.852 acima de 74.</w:t>
      </w:r>
    </w:p>
    <w:p>
      <w:pPr>
        <w:pStyle w:val="Heading2"/>
      </w:pPr>
      <w:r>
        <w:t>3.9 O teto de medição é de codificação</w:t>
      </w:r>
    </w:p>
    <w:p>
      <w:r>
        <w:t>Há 631.108 óbitos por pneumonia sem agente identificado (J18) e 809 atribuídos ao pneumococo (J13): razão de 780,1. Somando J15, "outra pneumonia bacteriana", são mais 160.949 óbitos sem agente nomeado. Em septicemia o padrão se repete, com 204.190 óbitos em A41.9 contra 793 em A40.3, razão de 257,5.</w:t>
      </w:r>
    </w:p>
    <w:p>
      <w:r>
        <w:t xml:space="preserve">A literatura internacional atribui ao pneumococo uma fração substancial da pneumonia adulta hospitalizada, e o SIM não permite recuperá-la, porque a etiologia não é investigada na maior parte dos óbitos e, quando é, não chega à declaração. A consequência é direta: </w:t>
      </w:r>
      <w:r>
        <w:rPr>
          <w:b/>
        </w:rPr>
        <w:t>a doença pneumocócica invasiva, alvo de duas vacinas do PNI, é estruturalmente incontável por causa básica no Brasil.</w:t>
      </w:r>
      <w:r>
        <w:t xml:space="preserve"> Todo valor deste artigo para pneumococo é piso, e um piso muito abaixo do real — o que torna o conjunto ampliado, ele próprio, um limite inferior.</w:t>
      </w:r>
    </w:p>
    <w:p>
      <w:pPr>
        <w:spacing w:before="200" w:after="40"/>
        <w:jc w:val="center"/>
      </w:pPr>
      <w:r>
        <w:drawing>
          <wp:inline xmlns:a="http://schemas.openxmlformats.org/drawingml/2006/main" xmlns:pic="http://schemas.openxmlformats.org/drawingml/2006/picture">
            <wp:extent cx="5760720" cy="2309774"/>
            <wp:docPr id="6" name="Picture 6"/>
            <wp:cNvGraphicFramePr>
              <a:graphicFrameLocks noChangeAspect="1"/>
            </wp:cNvGraphicFramePr>
            <a:graphic>
              <a:graphicData uri="http://schemas.openxmlformats.org/drawingml/2006/picture">
                <pic:pic>
                  <pic:nvPicPr>
                    <pic:cNvPr id="0" name="figura_06_teto_de_codificacao.png"/>
                    <pic:cNvPicPr/>
                  </pic:nvPicPr>
                  <pic:blipFill>
                    <a:blip r:embed="rId14"/>
                    <a:stretch>
                      <a:fillRect/>
                    </a:stretch>
                  </pic:blipFill>
                  <pic:spPr>
                    <a:xfrm>
                      <a:off x="0" y="0"/>
                      <a:ext cx="5760720" cy="2309774"/>
                    </a:xfrm>
                    <a:prstGeom prst="rect"/>
                  </pic:spPr>
                </pic:pic>
              </a:graphicData>
            </a:graphic>
          </wp:inline>
        </w:drawing>
      </w:r>
    </w:p>
    <w:p>
      <w:pPr>
        <w:spacing w:before="40" w:after="280"/>
      </w:pPr>
      <w:r>
        <w:rPr>
          <w:color w:val="52514E"/>
          <w:sz w:val="18"/>
        </w:rPr>
        <w:t>Figura 6. Óbitos por código da CID-10 segundo o agente etiológico seja nomeado (azul) ou não (cinza). Escala logarítmica. O teto de medição de doença bacteriana invasiva no Brasil é de codificação, não de epidemiologia. Fonte: Tabela S12.</w:t>
      </w:r>
    </w:p>
    <w:p>
      <w:pPr>
        <w:pStyle w:val="Heading2"/>
      </w:pPr>
      <w:r>
        <w:t>3.10 O cruzamento ecológico com o PNI dá nulo</w:t>
      </w:r>
    </w:p>
    <w:p>
      <w:r>
        <w:t xml:space="preserve">Pelo critério declarado na §2.6, o resultado é </w:t>
      </w:r>
      <w:r>
        <w:rPr>
          <w:b/>
        </w:rPr>
        <w:t>nulo</w:t>
      </w:r>
      <w:r>
        <w:t>: a correlação de Spearman é +0,389 em 2023 e −0,056 em 2024, com troca de sinal entre os anos e um deles abaixo do limiar de módulo.</w:t>
      </w:r>
    </w:p>
    <w:p>
      <w:r>
        <w:rPr>
          <w:b/>
        </w:rPr>
        <w:t>Este teste não deve ser lido como evidência sobre vacinação de idosos, e a razão é aritmética.</w:t>
      </w:r>
      <w:r>
        <w:t xml:space="preserve"> Auditoria posterior mostrou que o numerador e o denominador descrevem populações diferentes: </w:t>
      </w:r>
      <w:r>
        <w:rPr>
          <w:rFonts w:ascii="Consolas" w:hAnsi="Consolas"/>
          <w:sz w:val="19"/>
        </w:rPr>
        <w:t>INF3</w:t>
      </w:r>
      <w:r>
        <w:t xml:space="preserve"> é o registro de dose de influenza a partir dos 6 meses de idade, e inclui a campanha infantil e as demais estratégias, enquanto o denominador é a população de 60 anos ou mais. A consequência aparece na própria Tabela S14: em 2024, </w:t>
      </w:r>
      <w:r>
        <w:rPr>
          <w:b/>
        </w:rPr>
        <w:t>as 27 unidades da federação</w:t>
      </w:r>
      <w:r>
        <w:t xml:space="preserve"> têm mais de uma dose por habitante de 60 anos ou mais, de 1,145 a 2,837. Nenhuma cobertura pode exceder 1, e a razão excede em todas — prova direta de que o quociente não mede cobertura em idosos. Um nulo obtido sobre uma exposição mal medida não informa ausência de associação; informa que a exposição não foi medida.</w:t>
      </w:r>
    </w:p>
    <w:p>
      <w:r>
        <w:t xml:space="preserve">A Tabela S14 permanece publicada como </w:t>
      </w:r>
      <w:r>
        <w:rPr>
          <w:b/>
        </w:rPr>
        <w:t>nota de qualidade de dado</w:t>
      </w:r>
      <w:r>
        <w:t xml:space="preserve">, e não como teste: ela documenta que o total </w:t>
      </w:r>
      <w:r>
        <w:rPr>
          <w:rFonts w:ascii="Consolas" w:hAnsi="Consolas"/>
          <w:sz w:val="19"/>
        </w:rPr>
        <w:t>INF3</w:t>
      </w:r>
      <w:r>
        <w:t xml:space="preserve"> não serve de denominador de cobertura em 60 anos ou mais, e que a série de 2023 chegou incompleta ao registro nacional. As duas observações valem para além deste artigo. O que sai é a inferência: este trabalho não estima relação entre intensidade de vacinação e mortalidade por influenza, e a pergunta exigiria doses estratificadas por idade, definição de campanha e tratamento de sazonalidade e causalidade reversa.</w:t>
      </w:r>
    </w:p>
    <w:p>
      <w:r>
        <w:t>Três razões desaconselham insistir com outra especificação. A campanha responde ao surto, o que inverte a direção causal esperada. A unidade de análise é a unidade da federação, sujeita à falácia ecológica com menos de trinta pontos por ano (Tabela S15). E, decisiva, a fonte do denominador está incompleta em um dos dois anos: o PNI/RNDS registra 16.621.107 doses de influenza em 2023 contra 54.215.093 em 2024, enquanto o total de doses de todos os imunobiológicos quase não varia entre os dois anos. Não é queda de campanha; é a campanha de 2023 que não chegou inteira ao registro nacional. Dose de influenza de 2023 nessa base não serve de denominador — observação que vale para além deste artigo.</w:t>
      </w:r>
    </w:p>
    <w:p>
      <w:pPr>
        <w:pStyle w:val="Heading2"/>
      </w:pPr>
      <w:r>
        <w:t>3.11 O grupo de latência longa</w:t>
      </w:r>
    </w:p>
    <w:p>
      <w:r>
        <w:t>O câncer de colo do útero soma 65.999 óbitos na década e cresce 30,8% entre 2015 e 2024; o câncer de fígado, 106.018 óbitos e crescimento de 20,4%. Ambos têm relação estabelecida com agentes contra os quais o PNI vacina — HPV desde 2014, hepatite B desde os anos 1990. Nenhum dos dois pode ser lido como falha vacinal contemporânea: as mortes de hoje decorrem de infecções de décadas atrás, e é justamente por isso que o efeito da vacinação atual sobre esses números só será observável em torno de 2040.</w:t>
      </w:r>
    </w:p>
    <w:p>
      <w:r>
        <w:t>Registrá-los fora da soma preserva as duas verdades ao mesmo tempo: que são a maior justificativa de longo prazo para a vacinação em curso, e que não pertencem a nenhuma contagem de mortalidade evitável no presente.</w:t>
      </w:r>
    </w:p>
    <w:p>
      <w:pPr>
        <w:pStyle w:val="Heading1"/>
      </w:pPr>
      <w:r>
        <w:t>4. Discussão</w:t>
      </w:r>
    </w:p>
    <w:p>
      <w:pPr>
        <w:pStyle w:val="Heading2"/>
      </w:pPr>
      <w:r>
        <w:t>4.1 O achado principal</w:t>
      </w:r>
    </w:p>
    <w:p>
      <w:r>
        <w:t>O instrumento oficial brasileiro para mortes evitáveis por imunoprevenção identifica 4,03 óbitos por 10 mil no país, sem tendência ao longo de dez anos. O número não decorre de o Brasil ter resolvido a mortalidade por doença imunoprevenível — decorre de três propriedades do instrumento que se somam, cada uma delas mensurável e nenhuma delas erro de cálculo.</w:t>
      </w:r>
    </w:p>
    <w:p>
      <w:r>
        <w:t>A primeira é o corte etário. Um terço da carga por causas com vacina disponível está acima dos 74 anos, faixa para a qual não existe lista brasileira de evitabilidade. Não é subestimação: é exclusão definicional.</w:t>
      </w:r>
    </w:p>
    <w:p>
      <w:r>
        <w:t>A segunda é a data. A lista descreve o calendário vacinal anterior a 2011, e o calendário mudou. Ela não tem como conter COVID-19, e isso é justo; mas também não contém rotavírus, meningococo, pneumococo, varicela e HPV, e classifica influenza fora da imunoprevenção apesar de a campanha anual ser anterior à própria lista.</w:t>
      </w:r>
    </w:p>
    <w:p>
      <w:r>
        <w:t>A terceira é interna. Mais da metade do que ela conta é tuberculose miliar e do sistema nervoso em pessoas de 5 a 74 anos, atribuída à imunoprevenção por conta da BCG — critério que a revisão de 2011 enuncia explicitamente [3] e que não restringe a idade, embora a proteção estabelecida da vacina seja contra as formas graves na criança. Não é um detalhe de classificação: é a maior componente do indicador.</w:t>
      </w:r>
    </w:p>
    <w:p>
      <w:pPr>
        <w:pStyle w:val="Heading2"/>
      </w:pPr>
      <w:r>
        <w:t>4.2 O que muda se o instrumento for atualizado</w:t>
      </w:r>
    </w:p>
    <w:p>
      <w:r>
        <w:t xml:space="preserve">A comparação entre o subgrupo 1.1 e o conjunto ampliado dá a ordem de grandeza do que está fora: razão de 4,79 para o conjunto sem a COVID-19, e de 123,25 para a COVID-19 sozinha (Tabela S4). Mas a implicação mais útil não é o total: é que os componentes de fora são </w:t>
      </w:r>
      <w:r>
        <w:rPr>
          <w:b/>
        </w:rPr>
        <w:t>os que se movem</w:t>
      </w:r>
      <w:r>
        <w:t>.</w:t>
      </w:r>
    </w:p>
    <w:p>
      <w:r>
        <w:t>O subgrupo 1.1 é composto de causas raras e estáveis, e por isso não responde a política vacinal alguma no horizonte de uma década. As causas de fora, ao contrário, produziram na mesma década um surto de febre amarela com 452 óbitos, a perda do certificado de eliminação do sarampo, o retorno da coqueluche em lactentes e uma série de influenza cujo maior valor é o do ano mais recente, ainda preliminar. Uma lista atualizada não seria apenas maior; seria sensível — mostraria variação onde a atual mostra ruído.</w:t>
      </w:r>
    </w:p>
    <w:p>
      <w:r>
        <w:t>Três acréscimos são consequências diretas dos resultados: incluir influenza no subgrupo de imunoprevenção, incluir doença meningocócica e doença pneumocócica invasiva, e estender a lista acima dos 74 anos ou explicitar que o indicador é de mortalidade prematura e não de evitabilidade. A restrição etária de A17 e A19 aos menores de cinco anos é a quarta, e a mais barata: não exige dado novo, apenas coerência com o mecanismo que fundamenta a inclusão.</w:t>
      </w:r>
    </w:p>
    <w:p>
      <w:pPr>
        <w:pStyle w:val="Heading2"/>
      </w:pPr>
      <w:r>
        <w:t>4.3 O limite que nenhuma lista atravessa</w:t>
      </w:r>
    </w:p>
    <w:p>
      <w:r>
        <w:t>A atualização da lista não resolve o problema de fundo. Com 631.108 óbitos por pneumonia sem agente identificado contra 809 atribuídos ao pneumococo, e 772.173 óbitos em causas mal definidas, o que se pode contar por causa básica é uma fração pequena e enviesada do que existe. Incluir doença pneumocócica invasiva numa lista atualizada é correto e, sozinho, produzirá um número pequeno — não porque o pneumococo mate pouco, mas porque ele quase nunca é nomeado.</w:t>
      </w:r>
    </w:p>
    <w:p>
      <w:r>
        <w:t>Isso desloca parte do problema da vigilância para o registro. O ganho de sensibilidade viria menos de reclassificar códigos e mais de investigação etiológica nos óbitos por pneumonia e septicemia — e, na ausência dela, de métodos de redistribuição de causas inespecíficas, que este trabalho deliberadamente não aplicou por não haver base empírica brasileira para as proporções de redistribuição neste recorte.</w:t>
      </w:r>
    </w:p>
    <w:p>
      <w:pPr>
        <w:pStyle w:val="Heading2"/>
      </w:pPr>
      <w:r>
        <w:t>4.4 O que este desenho não pode dizer</w:t>
      </w:r>
    </w:p>
    <w:p>
      <w:r>
        <w:t>A limitação central não é de método: é de fonte, e vale para toda a literatura de evitabilidade construída sobre declaração de óbito.</w:t>
      </w:r>
    </w:p>
    <w:p>
      <w:pPr>
        <w:pStyle w:val="ListBullet"/>
      </w:pPr>
      <w:r>
        <w:rPr>
          <w:b/>
        </w:rPr>
        <w:t>Contar óbitos por doença com vacina não é contar mortes evitáveis.</w:t>
      </w:r>
      <w:r>
        <w:t xml:space="preserve"> Faltam a eficácia vacinal, que nunca é total, e a situação vacinal individual, que o SIM não registra. Uma pessoa vacinada que morre da doença representa falha de proteção, não falha de imunização, e as duas exigem respostas de política diferentes. Todos os totais aqui são teto.</w:t>
      </w:r>
    </w:p>
    <w:p>
      <w:pPr>
        <w:pStyle w:val="ListBullet"/>
      </w:pPr>
      <w:r>
        <w:rPr>
          <w:b/>
        </w:rPr>
        <w:t>A causa básica é uma escolha de codificação.</w:t>
      </w:r>
      <w:r>
        <w:t xml:space="preserve"> Óbitos com doença imunoprevenível como causa contribuinte, e não básica, não aparecem — situação frequente na COVID-19 e na influenza em pessoas com comorbidade. A direção do viés é conhecida: subcontagem.</w:t>
      </w:r>
    </w:p>
    <w:p>
      <w:pPr>
        <w:pStyle w:val="ListBullet"/>
      </w:pPr>
      <w:r>
        <w:rPr>
          <w:b/>
        </w:rPr>
        <w:t>O grupo de latência longa foi excluído por argumento, não por medida.</w:t>
      </w:r>
      <w:r>
        <w:t xml:space="preserve"> A fração de câncer de fígado atribuível ao vírus da hepatite B não foi estimada aqui; ela existe na literatura e sua incorporação exigiria premissas que este desenho não sustenta.</w:t>
      </w:r>
    </w:p>
    <w:p>
      <w:pPr>
        <w:pStyle w:val="ListBullet"/>
      </w:pPr>
      <w:r>
        <w:rPr>
          <w:b/>
        </w:rPr>
        <w:t>A disponibilidade da vacina é nacional e por ano.</w:t>
      </w:r>
      <w:r>
        <w:t xml:space="preserve"> Ela não captura variação territorial de recomendação — que é exatamente o mecanismo do surto de febre amarela — nem descontinuidade de estoque. Uma versão futura poderia usar a recomendação vigente por município e ano, dado que existe em normativa e não em base estruturada.</w:t>
      </w:r>
    </w:p>
    <w:p>
      <w:pPr>
        <w:pStyle w:val="ListBullet"/>
      </w:pPr>
      <w:r>
        <w:rPr>
          <w:b/>
        </w:rPr>
        <w:t>Os anos de entrada no PNI não foram auditados um a um.</w:t>
      </w:r>
      <w:r>
        <w:t xml:space="preserve"> Foram compilados do Calendário Nacional de Vacinação [6], e não da sequência de portarias e notas informativas que os instituíram. Servem para separar "tem vacina" de "o SUS oferecia a vacina", que é o uso que o artigo lhes dá, e não sustentariam uma análise de tempo até a incorporação.</w:t>
      </w:r>
    </w:p>
    <w:p>
      <w:pPr>
        <w:pStyle w:val="ListBullet"/>
      </w:pPr>
      <w:r>
        <w:rPr>
          <w:b/>
        </w:rPr>
        <w:t>O cruzamento ecológico é ecológico.</w:t>
      </w:r>
      <w:r>
        <w:t xml:space="preserve"> Ainda que a fonte de 2023 estivesse íntegra, correlação entre agregados por unidade da federação não sustenta inferência sobre indivíduos.</w:t>
      </w:r>
    </w:p>
    <w:p>
      <w:pPr>
        <w:pStyle w:val="Heading1"/>
      </w:pPr>
      <w:r>
        <w:t>5. Conclusão</w:t>
      </w:r>
    </w:p>
    <w:p>
      <w:r>
        <w:t>O Brasil dispõe de um instrumento oficial para contar mortes evitáveis por vacina, e ele identifica quatro óbitos em cada dez mil registrados, número que não se move há uma década. A estabilidade não é epidemiológica. Ela decorre de o instrumento parar aos 74 anos, classificar a evitabilidade com as evidências e as tecnologias disponíveis antes da expansão recente do PNI e ser dominado internamente por uma causa cuja evitabilidade por vacina não se sustenta na idade em que ocorre.</w:t>
      </w:r>
    </w:p>
    <w:p>
      <w:r>
        <w:t xml:space="preserve">No mesmo período, doenças com vacina disponível produziram um surto de febre amarela com 452 óbitos em áreas fora da recomendação vigente — essa, sim, ausente do subgrupo 1.1 —, a perda do certificado de eliminação do sarampo com 19 óbitos em lactentes, o retorno da coqueluche em menores de 1 ano e uma série de influenza cujo valor mais recente é o maior de onze anos. </w:t>
      </w:r>
      <w:r>
        <w:rPr>
          <w:b/>
        </w:rPr>
        <w:t>Sarampo e coqueluche já constam da lista</w:t>
      </w:r>
      <w:r>
        <w:t>, e ressurgiram assim mesmo: o problema do instrumento não se reduz a quais códigos ele inclui. Um indicador de evitabilidade que não registra nenhum desses eventos não está medindo mal: está medindo outra coisa.</w:t>
      </w:r>
    </w:p>
    <w:p>
      <w:r>
        <w:t>Atualizar a Lista Brasileira é decisão de vigilância, não exercício estatístico, e as quatro mudanças que os resultados sustentam são explícitas. Nenhuma delas, porém, atravessa o teto imposto pela ausência de investigação etiológica na declaração de óbito — que continua sendo, no Brasil, o fator que mais limita o que qualquer lista de causas evitáveis consegue enxergar.</w:t>
      </w:r>
    </w:p>
    <w:p>
      <w:pPr>
        <w:pStyle w:val="Heading1"/>
      </w:pPr>
      <w:r>
        <w:t>6. Figuras</w:t>
      </w:r>
    </w:p>
    <w:p>
      <w:r>
        <w:t xml:space="preserve">As seis figuras são geradas por </w:t>
      </w:r>
      <w:r>
        <w:rPr>
          <w:rFonts w:ascii="Consolas" w:hAnsi="Consolas"/>
          <w:sz w:val="19"/>
        </w:rPr>
        <w:t>artigo-imunopreveniveis/gerar_figuras.py</w:t>
      </w:r>
      <w:r>
        <w:t xml:space="preserve"> a</w:t>
      </w:r>
    </w:p>
    <w:p>
      <w:r>
        <w:t>partir das mesmas tabelas deste manuscrito, sem nenhum cálculo próprio. Cada</w:t>
      </w:r>
    </w:p>
    <w:p>
      <w:r>
        <w:t>legenda aponta a tabela de origem, de modo que todo valor lido no gráfico pode</w:t>
      </w:r>
    </w:p>
    <w:p>
      <w:r>
        <w:t>ser conferido no número exato.</w:t>
      </w:r>
    </w:p>
    <w:p>
      <w:r>
        <w:rPr>
          <w:b/>
        </w:rPr>
        <w:t>Figura 1.</w:t>
      </w:r>
      <w:r>
        <w:t xml:space="preserve"> Óbitos do subgrupo 1.1 por ano, em contagem absoluta e por 10 mil</w:t>
      </w:r>
    </w:p>
    <w:p>
      <w:r>
        <w:t>óbitos do ano, com a linha dos mesmos códigos em 75 anos ou mais — a faixa que o</w:t>
      </w:r>
    </w:p>
    <w:p>
      <w:r>
        <w:t xml:space="preserve">instrumento não alcança. </w:t>
      </w:r>
      <w:r>
        <w:rPr>
          <w:i/>
        </w:rPr>
        <w:t>Fonte: Tabela S3.</w:t>
      </w:r>
    </w:p>
    <w:p>
      <w:r>
        <w:rPr>
          <w:b/>
        </w:rPr>
        <w:t>Figura 2.</w:t>
      </w:r>
      <w:r>
        <w:t xml:space="preserve"> Distribuição etária dos óbitos por causas com vacina disponível.</w:t>
      </w:r>
    </w:p>
    <w:p>
      <w:r>
        <w:t>A lista termina aos 74 anos, e 35,8% dos óbitos estão acima desse corte.</w:t>
      </w:r>
    </w:p>
    <w:p>
      <w:r>
        <w:rPr>
          <w:i/>
        </w:rPr>
        <w:t>Fonte: Tabela S5.</w:t>
      </w:r>
    </w:p>
    <w:p>
      <w:r>
        <w:rPr>
          <w:b/>
        </w:rPr>
        <w:t>Figura 3.</w:t>
      </w:r>
      <w:r>
        <w:t xml:space="preserve"> Composição interna do subgrupo 1.1. Em vermelho, a tuberculose em</w:t>
      </w:r>
    </w:p>
    <w:p>
      <w:r>
        <w:t xml:space="preserve">idade em que a relação entre o óbito e a vacinação infantil é incerta; em azul, o que resta. </w:t>
      </w:r>
      <w:r>
        <w:rPr>
          <w:i/>
        </w:rPr>
        <w:t>Fonte: Tabela S6.</w:t>
      </w:r>
    </w:p>
    <w:p>
      <w:r>
        <w:rPr>
          <w:b/>
        </w:rPr>
        <w:t>Figura 4.</w:t>
      </w:r>
      <w:r>
        <w:t xml:space="preserve"> O que o subgrupo 1.1 conta, comparado ao conjunto ampliado de</w:t>
      </w:r>
    </w:p>
    <w:p>
      <w:r>
        <w:t>doenças com vacina disponível e à COVID-19. Escala logarítmica, porque a</w:t>
      </w:r>
    </w:p>
    <w:p>
      <w:r>
        <w:t>COVID-19 está duas ordens de grandeza acima do resto e uma escala linear</w:t>
      </w:r>
    </w:p>
    <w:p>
      <w:r>
        <w:t xml:space="preserve">achataria a comparação que importa. </w:t>
      </w:r>
      <w:r>
        <w:rPr>
          <w:i/>
        </w:rPr>
        <w:t>Fonte: Tabela S4.</w:t>
      </w:r>
    </w:p>
    <w:p>
      <w:r>
        <w:rPr>
          <w:b/>
        </w:rPr>
        <w:t>Figura 5.</w:t>
      </w:r>
      <w:r>
        <w:t xml:space="preserve"> Febre amarela, sarampo e coqueluche ano a ano. A parte hachurada é</w:t>
      </w:r>
    </w:p>
    <w:p>
      <w:r>
        <w:t>a fração em menores de 1 ano. **Sarampo (B05) e coqueluche (A37) já constam do</w:t>
      </w:r>
    </w:p>
    <w:p>
      <w:r>
        <w:t>subgrupo 1.1**; a febre amarela não. As duas primeiras ressurgiram no período</w:t>
      </w:r>
    </w:p>
    <w:p>
      <w:r>
        <w:t>com a lista já as incluindo — o que indica que a limitação do instrumento não se</w:t>
      </w:r>
    </w:p>
    <w:p>
      <w:r>
        <w:t xml:space="preserve">resolve apenas acrescentando códigos. </w:t>
      </w:r>
      <w:r>
        <w:rPr>
          <w:i/>
        </w:rPr>
        <w:t>Fonte: Tabela S8.</w:t>
      </w:r>
    </w:p>
    <w:p>
      <w:r>
        <w:rPr>
          <w:b/>
        </w:rPr>
        <w:t>Figura 6.</w:t>
      </w:r>
      <w:r>
        <w:t xml:space="preserve"> O teto de codificação: óbitos por código com agente etiológico</w:t>
      </w:r>
    </w:p>
    <w:p>
      <w:r>
        <w:t xml:space="preserve">nomeado (azul) e sem (cinza). Escala logarítmica. </w:t>
      </w:r>
      <w:r>
        <w:rPr>
          <w:i/>
        </w:rPr>
        <w:t>Fonte: Tabela S12.</w:t>
      </w:r>
    </w:p>
    <w:p>
      <w:pPr>
        <w:pStyle w:val="Heading1"/>
      </w:pPr>
      <w:r>
        <w:t>7. Disponibilidade de dados e código</w:t>
      </w:r>
    </w:p>
    <w:p>
      <w:r>
        <w:t xml:space="preserve">Todas as fontes são de domínio público. Os microdados do Sistema de Informações sobre Mortalidade são distribuídos pelo DataSUS e pelo OpenDataSUS; as doses aplicadas, pelo PNI/RNDS via OpenDataSUS; os denominadores populacionais, pelo IBGE. As duas notas técnicas que definem a Lista Brasileira estão publicadas pelo TabNet/DataSUS [4, 5], e os artigos que a propõem e revisam, na revista </w:t>
      </w:r>
      <w:r>
        <w:rPr>
          <w:i/>
        </w:rPr>
        <w:t>Epidemiologia e Serviços de Saúde</w:t>
      </w:r>
      <w:r>
        <w:t xml:space="preserve"> [1-3]. Nenhum dado individual é publicado — apenas agregados.</w:t>
      </w:r>
    </w:p>
    <w:p>
      <w:r>
        <w:t>Os cálculos são reproduzidos por dois scripts abertos:</w:t>
      </w:r>
    </w:p>
    <w:p>
      <w:pPr>
        <w:pStyle w:val="ListBullet"/>
      </w:pPr>
      <w:r>
        <w:rPr>
          <w:rFonts w:ascii="Consolas" w:hAnsi="Consolas"/>
          <w:sz w:val="19"/>
        </w:rPr>
        <w:t>scripts/analise_mortes_imunopreveniveis.py</w:t>
      </w:r>
      <w:r>
        <w:t xml:space="preserve"> — contém as listas de CID-10 transcritas, a derivação do óbito em quatro caracteres, as guardas e as tabelas de análise, gravadas em </w:t>
      </w:r>
      <w:r>
        <w:rPr>
          <w:rFonts w:ascii="Consolas" w:hAnsi="Consolas"/>
          <w:sz w:val="19"/>
        </w:rPr>
        <w:t>data/analises/</w:t>
      </w:r>
      <w:r>
        <w:t>;</w:t>
      </w:r>
    </w:p>
    <w:p>
      <w:pPr>
        <w:pStyle w:val="ListBullet"/>
      </w:pPr>
      <w:r>
        <w:rPr>
          <w:rFonts w:ascii="Consolas" w:hAnsi="Consolas"/>
          <w:sz w:val="19"/>
        </w:rPr>
        <w:t>artigo-imunopreveniveis/gerar_tabelas.py</w:t>
      </w:r>
      <w:r>
        <w:t xml:space="preserve"> — importa as definições do anterior, reagrega o microdado e formata as dezesseis tabelas deste manuscrito em </w:t>
      </w:r>
      <w:r>
        <w:rPr>
          <w:rFonts w:ascii="Consolas" w:hAnsi="Consolas"/>
          <w:sz w:val="19"/>
        </w:rPr>
        <w:t>artigo-imunopreveniveis/tabelas/</w:t>
      </w:r>
      <w:r>
        <w:t>.</w:t>
      </w:r>
    </w:p>
    <w:p>
      <w:r>
        <w:t xml:space="preserve">Nenhum número deste texto é digitado: cada valor citado existe em um dos CSVs de </w:t>
      </w:r>
      <w:r>
        <w:rPr>
          <w:rFonts w:ascii="Consolas" w:hAnsi="Consolas"/>
          <w:sz w:val="19"/>
        </w:rPr>
        <w:t>artigo-imunopreveniveis/tabelas/</w:t>
      </w:r>
      <w:r>
        <w:t xml:space="preserve">, e as tabelas do manuscrito são regeradas a partir deles por </w:t>
      </w:r>
      <w:r>
        <w:rPr>
          <w:rFonts w:ascii="Consolas" w:hAnsi="Consolas"/>
          <w:sz w:val="19"/>
        </w:rPr>
        <w:t>artigo/sincronizar_tabelas.py --dir artigo-imunopreveniveis</w:t>
      </w:r>
      <w:r>
        <w:t xml:space="preserve">, com regressão em </w:t>
      </w:r>
      <w:r>
        <w:rPr>
          <w:rFonts w:ascii="Consolas" w:hAnsi="Consolas"/>
          <w:sz w:val="19"/>
        </w:rPr>
        <w:t>tests/test_manuscrito.py</w:t>
      </w:r>
      <w:r>
        <w:t>. Um número no texto que não esteja em nenhum CSV é um número sem procedência.</w:t>
      </w:r>
    </w:p>
    <w:p>
      <w:pPr>
        <w:pStyle w:val="Heading1"/>
      </w:pPr>
      <w:r>
        <w:t>8. Notas sobre o que ainda não foi feito</w:t>
      </w:r>
    </w:p>
    <w:p>
      <w:r>
        <w:t>Itens conhecidos e não resolvidos, listados para que não sejam confundidos com decisões:</w:t>
      </w:r>
    </w:p>
    <w:p>
      <w:pPr>
        <w:pStyle w:val="ListBullet"/>
      </w:pPr>
      <w:r>
        <w:rPr>
          <w:b/>
        </w:rPr>
        <w:t>a causa contribuinte não foi examinada.</w:t>
      </w:r>
      <w:r>
        <w:t xml:space="preserve"> O SIM traz as linhas da declaração de óbito além da causa básica, e elas permitiriam medir quantos óbitos têm doença imunoprevenível como causa associada. É o caminho mais direto para transformar o teto deste artigo em faixa, com piso e limite superior, e exige recoletar colunas que o recorte em disco não traz;</w:t>
      </w:r>
    </w:p>
    <w:p>
      <w:pPr>
        <w:pStyle w:val="ListBullet"/>
      </w:pPr>
      <w:r>
        <w:rPr>
          <w:b/>
        </w:rPr>
        <w:t>a série do PNI anterior a 2020 não foi incorporada.</w:t>
      </w:r>
      <w:r>
        <w:t xml:space="preserve"> O legado do SI-PNI está no FTP do DataSUS (prefixos </w:t>
      </w:r>
      <w:r>
        <w:rPr>
          <w:rFonts w:ascii="Consolas" w:hAnsi="Consolas"/>
          <w:sz w:val="19"/>
        </w:rPr>
        <w:t>DPNI</w:t>
      </w:r>
      <w:r>
        <w:t xml:space="preserve"> e </w:t>
      </w:r>
      <w:r>
        <w:rPr>
          <w:rFonts w:ascii="Consolas" w:hAnsi="Consolas"/>
          <w:sz w:val="19"/>
        </w:rPr>
        <w:t>CPNI</w:t>
      </w:r>
      <w:r>
        <w:t>, 1994–2019) e permitiria estender o eixo de doses para além de 2023. Há quebra metodológica em 2020, na migração para a RNDS: são duas séries, não uma, e tratá-las como contínuas produziria tendência falsa;</w:t>
      </w:r>
    </w:p>
    <w:p>
      <w:pPr>
        <w:pStyle w:val="ListBullet"/>
      </w:pPr>
      <w:r>
        <w:rPr>
          <w:b/>
        </w:rPr>
        <w:t>a recomendação de febre amarela por município e ano não está estruturada.</w:t>
      </w:r>
      <w:r>
        <w:t xml:space="preserve"> Ela existe em normativa do Ministério da Saúde e é o dado que converteria a §3.6 de argumento em medida: permitiria classificar cada óbito conforme a área estivesse ou não sob recomendação na data;</w:t>
      </w:r>
    </w:p>
    <w:p>
      <w:pPr>
        <w:pStyle w:val="ListBullet"/>
      </w:pPr>
      <w:r>
        <w:rPr>
          <w:b/>
        </w:rPr>
        <w:t>a fração atribuível não foi aplicada a nenhuma causa.</w:t>
      </w:r>
      <w:r>
        <w:t xml:space="preserve"> Para pneumococo em pneumonia sem agente, e para hepatite B em câncer de fígado, existem estimativas na literatura. Aplicá-las produziria a única estimativa de carga com ordem de grandeza realista, ao custo de premissas importadas de outras populações — decisão que merece ser tomada explicitamente, e não por conveniência;</w:t>
      </w:r>
    </w:p>
    <w:p>
      <w:pPr>
        <w:pStyle w:val="ListBullet"/>
      </w:pPr>
      <w:r>
        <w:rPr>
          <w:b/>
        </w:rPr>
        <w:t>a mortalidade não foi padronizada por idade nem apresentada como taxa populacional.</w:t>
      </w:r>
      <w:r>
        <w:t xml:space="preserve"> Como o objeto do artigo é a cobertura do instrumento, e não a comparação entre territórios, os números são contagens e proporções sobre o total de óbitos. Uma versão que compare unidades da federação exigiria padronização, e o repositório já dispõe do denominador por faixa;</w:t>
      </w:r>
    </w:p>
    <w:p>
      <w:pPr>
        <w:pStyle w:val="ListBullet"/>
      </w:pPr>
      <w:r>
        <w:rPr>
          <w:b/>
        </w:rPr>
        <w:t>a situação vacinal individual é o dado que falta e existe.</w:t>
      </w:r>
      <w:r>
        <w:t xml:space="preserve"> O PNI/RNDS registra dose com identificador pseudonimizado do paciente; o SIM registra óbito. A vinculação entre as duas bases não é possível com os dados públicos e transformaria todo este desenho — de contagem de teto em medida de falha de proteção.</w:t>
      </w:r>
    </w:p>
    <w:p>
      <w:pPr>
        <w:pStyle w:val="Heading1"/>
      </w:pPr>
      <w:r>
        <w:t>9. Referências</w:t>
      </w:r>
    </w:p>
    <w:p>
      <w:pPr>
        <w:pStyle w:val="ListBullet"/>
      </w:pPr>
      <w:r>
        <w:rPr>
          <w:b/>
        </w:rPr>
        <w:t>[1]</w:t>
      </w:r>
      <w:r>
        <w:t xml:space="preserve"> Malta DC, Duarte EC, Almeida MF, Dias MAS. Lista de causas de mortes evitáveis por intervenções do Sistema Único de Saúde do Brasil. </w:t>
      </w:r>
      <w:r>
        <w:rPr>
          <w:i/>
        </w:rPr>
        <w:t>Epidemiologia e Serviços de Saúde</w:t>
      </w:r>
      <w:r>
        <w:t>. 2007;16(4):233-244.</w:t>
      </w:r>
    </w:p>
    <w:p>
      <w:pPr>
        <w:pStyle w:val="ListBullet"/>
      </w:pPr>
      <w:r>
        <w:rPr>
          <w:b/>
        </w:rPr>
        <w:t>[2]</w:t>
      </w:r>
      <w:r>
        <w:t xml:space="preserve"> Malta DC, Sardinha LMV, Moura L, Lansky S, Leal MC, Szwarcwald CL, França E. Atualização da lista de causas de mortes evitáveis por intervenções do Sistema Único de Saúde do Brasil. </w:t>
      </w:r>
      <w:r>
        <w:rPr>
          <w:i/>
        </w:rPr>
        <w:t>Epidemiologia e Serviços de Saúde</w:t>
      </w:r>
      <w:r>
        <w:t>. 2010;19(2):173-176.</w:t>
      </w:r>
    </w:p>
    <w:p>
      <w:pPr>
        <w:pStyle w:val="ListBullet"/>
      </w:pPr>
      <w:r>
        <w:rPr>
          <w:b/>
        </w:rPr>
        <w:t>[3]</w:t>
      </w:r>
      <w:r>
        <w:t xml:space="preserve"> Malta DC, França E, Abreu DX, Oliveira H, Monteiro RA, Sardinha LMV, Duarte EC, Silva GA. Atualização da lista de causas de mortes evitáveis (5 a 74 anos de idade) por intervenções do Sistema Único de Saúde do Brasil. </w:t>
      </w:r>
      <w:r>
        <w:rPr>
          <w:i/>
        </w:rPr>
        <w:t>Epidemiologia e Serviços de Saúde</w:t>
      </w:r>
      <w:r>
        <w:t>. 2011;20(3):409-412.</w:t>
      </w:r>
    </w:p>
    <w:p>
      <w:pPr>
        <w:pStyle w:val="ListBullet"/>
      </w:pPr>
      <w:r>
        <w:rPr>
          <w:b/>
        </w:rPr>
        <w:t>[4]</w:t>
      </w:r>
      <w:r>
        <w:t xml:space="preserve"> Brasil. Ministério da Saúde. DATASUS. </w:t>
      </w:r>
      <w:r>
        <w:rPr>
          <w:i/>
        </w:rPr>
        <w:t>Óbitos por causas evitáveis — 0 a 4 anos: notas técnicas</w:t>
      </w:r>
      <w:r>
        <w:t xml:space="preserve">. Disponível em </w:t>
      </w:r>
      <w:r>
        <w:rPr>
          <w:rFonts w:ascii="Consolas" w:hAnsi="Consolas"/>
          <w:sz w:val="19"/>
        </w:rPr>
        <w:t>tabnet.datasus.gov.br/cgi/sim/Obitos_Evitaveis_0_a_4_anos.pdf</w:t>
      </w:r>
    </w:p>
    <w:p>
      <w:pPr>
        <w:pStyle w:val="ListBullet"/>
      </w:pPr>
      <w:r>
        <w:rPr>
          <w:b/>
        </w:rPr>
        <w:t>[5]</w:t>
      </w:r>
      <w:r>
        <w:t xml:space="preserve"> Brasil. Ministério da Saúde. DATASUS. </w:t>
      </w:r>
      <w:r>
        <w:rPr>
          <w:i/>
        </w:rPr>
        <w:t>Óbitos por causas evitáveis — 5 a 74 anos: notas técnicas</w:t>
      </w:r>
      <w:r>
        <w:t xml:space="preserve">. Disponível em </w:t>
      </w:r>
      <w:r>
        <w:rPr>
          <w:rFonts w:ascii="Consolas" w:hAnsi="Consolas"/>
          <w:sz w:val="19"/>
        </w:rPr>
        <w:t>tabnet.datasus.gov.br/cgi/sim/Obitos_Evitaveis_5_a_74_anos.pdf</w:t>
      </w:r>
    </w:p>
    <w:p>
      <w:pPr>
        <w:pStyle w:val="ListBullet"/>
      </w:pPr>
      <w:r>
        <w:rPr>
          <w:b/>
        </w:rPr>
        <w:t>[6]</w:t>
      </w:r>
      <w:r>
        <w:t xml:space="preserve"> Brasil. Ministério da Saúde. </w:t>
      </w:r>
      <w:r>
        <w:rPr>
          <w:i/>
        </w:rPr>
        <w:t>Calendário Nacional de Vacinação</w:t>
      </w:r>
      <w:r>
        <w:t xml:space="preserve">. Disponível em </w:t>
      </w:r>
      <w:r>
        <w:rPr>
          <w:rFonts w:ascii="Consolas" w:hAnsi="Consolas"/>
          <w:sz w:val="19"/>
        </w:rPr>
        <w:t>gov.br/saude/pt-br/vacinacao/calendario</w:t>
      </w:r>
    </w:p>
    <w:p>
      <w:pPr>
        <w:pStyle w:val="ListBullet"/>
      </w:pPr>
      <w:r>
        <w:rPr>
          <w:b/>
        </w:rPr>
        <w:t>[7]</w:t>
      </w:r>
      <w:r>
        <w:t xml:space="preserve"> Brasil. Ministério da Saúde. </w:t>
      </w:r>
      <w:r>
        <w:rPr>
          <w:i/>
        </w:rPr>
        <w:t>Sistema de Informações sobre Mortalidade (SIM): microdados</w:t>
      </w:r>
      <w:r>
        <w:t>. DATASUS e OpenDataSUS. Arquivos por unidade da federação e nacionais, competências de 2015 a 2025.</w:t>
      </w:r>
    </w:p>
    <w:p>
      <w:pPr>
        <w:pStyle w:val="ListBullet"/>
      </w:pPr>
      <w:r>
        <w:rPr>
          <w:b/>
        </w:rPr>
        <w:t>[8]</w:t>
      </w:r>
      <w:r>
        <w:t xml:space="preserve"> Brasil. Ministério da Saúde. </w:t>
      </w:r>
      <w:r>
        <w:rPr>
          <w:i/>
        </w:rPr>
        <w:t>Programa Nacional de Imunizações: doses aplicadas</w:t>
      </w:r>
      <w:r>
        <w:t>. OpenDataSUS, competências mensais de 2023 a 2026.</w:t>
      </w:r>
    </w:p>
    <w:p>
      <w:pPr>
        <w:pStyle w:val="ListBullet"/>
      </w:pPr>
      <w:r>
        <w:rPr>
          <w:b/>
        </w:rPr>
        <w:t>[9]</w:t>
      </w:r>
      <w:r>
        <w:t xml:space="preserve"> Instituto Brasileiro de Geografia e Estatística. </w:t>
      </w:r>
      <w:r>
        <w:rPr>
          <w:i/>
        </w:rPr>
        <w:t>Censo Demográfico 2022</w:t>
      </w:r>
      <w:r>
        <w:t xml:space="preserve"> e </w:t>
      </w:r>
      <w:r>
        <w:rPr>
          <w:i/>
        </w:rPr>
        <w:t>Estimativas da população residente</w:t>
      </w:r>
      <w:r>
        <w:t>. Rio de Janeiro: IBGE.</w:t>
      </w:r>
    </w:p>
    <w:p>
      <w:pPr>
        <w:pStyle w:val="ListBullet"/>
      </w:pPr>
      <w:r>
        <w:rPr>
          <w:b/>
        </w:rPr>
        <w:t>[10]</w:t>
      </w:r>
      <w:r>
        <w:t xml:space="preserve"> Aronson NE, Santosham M, Comstock GW, Howard RS, Moulton LH, Rhoades ER, Harrison LH. Long-term efficacy of BCG vaccine in American Indians and Alaska Natives: a 60-year follow-up study. </w:t>
      </w:r>
      <w:r>
        <w:rPr>
          <w:i/>
        </w:rPr>
        <w:t>JAMA</w:t>
      </w:r>
      <w:r>
        <w:t>. 2004;291(17):2086–91. doi:10.1001/jama.291.17.2086</w:t>
      </w:r>
    </w:p>
    <w:p>
      <w:pPr>
        <w:pStyle w:val="ListBullet"/>
      </w:pPr>
      <w:r>
        <w:rPr>
          <w:b/>
        </w:rPr>
        <w:t>[11]</w:t>
      </w:r>
      <w:r>
        <w:t xml:space="preserve"> Brasil. Ministério da Saúde. Secretaria de Vigilância em Saúde e Ambiente. </w:t>
      </w:r>
      <w:r>
        <w:rPr>
          <w:i/>
        </w:rPr>
        <w:t>Saúde da mulher brasileira: uma perspectiva integrada entre vigilância e atenção à saúde</w:t>
      </w:r>
      <w:r>
        <w:t xml:space="preserve">. Boletim Epidemiológico, número especial. Brasília: Ministério da Saúde; mar. 2023. p. 20. Disponível em </w:t>
      </w:r>
      <w:r>
        <w:rPr>
          <w:rFonts w:ascii="Consolas" w:hAnsi="Consolas"/>
          <w:sz w:val="19"/>
        </w:rPr>
        <w:t>gov.br/saude/pt-br/centrais-de-conteudo/publicacoes/boletins/epidemiologicos/especiais/2023</w:t>
      </w:r>
      <w:r>
        <w:t>. Acesso em 12 set. 2026.</w:t>
      </w:r>
    </w:p>
    <w:p>
      <w:pPr>
        <w:sectPr>
          <w:pgSz w:w="12240" w:h="15840"/>
          <w:pgMar w:top="1417" w:right="1417" w:bottom="1417" w:left="1417" w:header="720" w:footer="720" w:gutter="0"/>
          <w:cols w:space="720"/>
          <w:docGrid w:linePitch="360"/>
        </w:sectPr>
      </w:pPr>
    </w:p>
    <w:p>
      <w:pPr>
        <w:pStyle w:val="Heading1"/>
      </w:pPr>
      <w:r>
        <w:t>Material suplementar</w:t>
      </w:r>
    </w:p>
    <w:p>
      <w:r>
        <w:t>As tabelas a seguir são as citadas no corpo do artigo, na mesma ordem e com a mesma numeração. Cada uma é gerada por script a partir dos microdados; nenhum valor foi transcrito à mão.</w:t>
      </w:r>
    </w:p>
    <w:p>
      <w:pPr>
        <w:spacing w:before="240" w:after="80"/>
      </w:pPr>
      <w:r>
        <w:rPr>
          <w:b/>
          <w:sz w:val="20"/>
        </w:rPr>
        <w:t>Tabela S1. A base analisada</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Item</w:t>
            </w:r>
          </w:p>
        </w:tc>
        <w:tc>
          <w:tcPr>
            <w:tcW w:type="dxa" w:w="4536"/>
          </w:tcPr>
          <w:p>
            <w:r/>
            <w:r>
              <w:rPr>
                <w:b/>
                <w:sz w:val="16"/>
              </w:rPr>
              <w:t>Valor</w:t>
            </w:r>
          </w:p>
        </w:tc>
      </w:tr>
      <w:tr>
        <w:tc>
          <w:tcPr>
            <w:tcW w:type="dxa" w:w="4536"/>
          </w:tcPr>
          <w:p>
            <w:r/>
            <w:r>
              <w:rPr>
                <w:sz w:val="16"/>
              </w:rPr>
              <w:t>Óbitos não fetais, 2015–2024</w:t>
            </w:r>
          </w:p>
        </w:tc>
        <w:tc>
          <w:tcPr>
            <w:tcW w:type="dxa" w:w="4536"/>
          </w:tcPr>
          <w:p>
            <w:r/>
            <w:r>
              <w:rPr>
                <w:sz w:val="16"/>
              </w:rPr>
              <w:t>14484496.0</w:t>
            </w:r>
          </w:p>
        </w:tc>
      </w:tr>
      <w:tr>
        <w:tc>
          <w:tcPr>
            <w:tcW w:type="dxa" w:w="4536"/>
          </w:tcPr>
          <w:p>
            <w:r/>
            <w:r>
              <w:rPr>
                <w:sz w:val="16"/>
              </w:rPr>
              <w:t>Óbitos não fetais, 2025 (preliminar)</w:t>
            </w:r>
          </w:p>
        </w:tc>
        <w:tc>
          <w:tcPr>
            <w:tcW w:type="dxa" w:w="4536"/>
          </w:tcPr>
          <w:p>
            <w:r/>
            <w:r>
              <w:rPr>
                <w:sz w:val="16"/>
              </w:rPr>
              <w:t>1534588.0</w:t>
            </w:r>
          </w:p>
        </w:tc>
      </w:tr>
      <w:tr>
        <w:tc>
          <w:tcPr>
            <w:tcW w:type="dxa" w:w="4536"/>
          </w:tcPr>
          <w:p>
            <w:r/>
            <w:r>
              <w:rPr>
                <w:sz w:val="16"/>
              </w:rPr>
              <w:t>Códigos de município de residência distintos</w:t>
            </w:r>
          </w:p>
        </w:tc>
        <w:tc>
          <w:tcPr>
            <w:tcW w:type="dxa" w:w="4536"/>
          </w:tcPr>
          <w:p>
            <w:r/>
            <w:r>
              <w:rPr>
                <w:sz w:val="16"/>
              </w:rPr>
              <w:t>5595.0</w:t>
            </w:r>
          </w:p>
        </w:tc>
      </w:tr>
      <w:tr>
        <w:tc>
          <w:tcPr>
            <w:tcW w:type="dxa" w:w="4536"/>
          </w:tcPr>
          <w:p>
            <w:r/>
            <w:r>
              <w:rPr>
                <w:sz w:val="16"/>
              </w:rPr>
              <w:t>Códigos da CID-10 (4 caracteres) presentes</w:t>
            </w:r>
          </w:p>
        </w:tc>
        <w:tc>
          <w:tcPr>
            <w:tcW w:type="dxa" w:w="4536"/>
          </w:tcPr>
          <w:p>
            <w:r/>
            <w:r>
              <w:rPr>
                <w:sz w:val="16"/>
              </w:rPr>
              <w:t>7746.0</w:t>
            </w:r>
          </w:p>
        </w:tc>
      </w:tr>
      <w:tr>
        <w:tc>
          <w:tcPr>
            <w:tcW w:type="dxa" w:w="4536"/>
          </w:tcPr>
          <w:p>
            <w:r/>
            <w:r>
              <w:rPr>
                <w:sz w:val="16"/>
              </w:rPr>
              <w:t>Óbitos com causa mal definida (R00–R99)</w:t>
            </w:r>
          </w:p>
        </w:tc>
        <w:tc>
          <w:tcPr>
            <w:tcW w:type="dxa" w:w="4536"/>
          </w:tcPr>
          <w:p>
            <w:r/>
            <w:r>
              <w:rPr>
                <w:sz w:val="16"/>
              </w:rPr>
              <w:t>772173.0</w:t>
            </w:r>
          </w:p>
        </w:tc>
      </w:tr>
      <w:tr>
        <w:tc>
          <w:tcPr>
            <w:tcW w:type="dxa" w:w="4536"/>
          </w:tcPr>
          <w:p>
            <w:r/>
            <w:r>
              <w:rPr>
                <w:sz w:val="16"/>
              </w:rPr>
              <w:t>Óbitos com idade ignorada</w:t>
            </w:r>
          </w:p>
        </w:tc>
        <w:tc>
          <w:tcPr>
            <w:tcW w:type="dxa" w:w="4536"/>
          </w:tcPr>
          <w:p>
            <w:r/>
            <w:r>
              <w:rPr>
                <w:sz w:val="16"/>
              </w:rPr>
              <w:t>25344.0</w:t>
            </w:r>
          </w:p>
        </w:tc>
      </w:tr>
      <w:tr>
        <w:tc>
          <w:tcPr>
            <w:tcW w:type="dxa" w:w="4536"/>
          </w:tcPr>
          <w:p>
            <w:r/>
            <w:r>
              <w:rPr>
                <w:sz w:val="16"/>
              </w:rPr>
              <w:t>Óbitos codificados em U07 (COVID-19 da CID-10)</w:t>
            </w:r>
          </w:p>
        </w:tc>
        <w:tc>
          <w:tcPr>
            <w:tcW w:type="dxa" w:w="4536"/>
          </w:tcPr>
          <w:p>
            <w:r/>
            <w:r>
              <w:rPr>
                <w:sz w:val="16"/>
              </w:rPr>
              <w:t>0.0</w:t>
            </w:r>
          </w:p>
        </w:tc>
      </w:tr>
      <w:tr>
        <w:tc>
          <w:tcPr>
            <w:tcW w:type="dxa" w:w="4536"/>
          </w:tcPr>
          <w:p>
            <w:r/>
            <w:r>
              <w:rPr>
                <w:sz w:val="16"/>
              </w:rPr>
              <w:t>Óbitos codificados em B34.2 (COVID-19 no SIM brasileiro)</w:t>
            </w:r>
          </w:p>
        </w:tc>
        <w:tc>
          <w:tcPr>
            <w:tcW w:type="dxa" w:w="4536"/>
          </w:tcPr>
          <w:p>
            <w:r/>
            <w:r>
              <w:rPr>
                <w:sz w:val="16"/>
              </w:rPr>
              <w:t>718811.0</w:t>
            </w:r>
          </w:p>
        </w:tc>
      </w:tr>
      <w:tr>
        <w:tc>
          <w:tcPr>
            <w:tcW w:type="dxa" w:w="4536"/>
          </w:tcPr>
          <w:p>
            <w:r/>
            <w:r>
              <w:rPr>
                <w:sz w:val="16"/>
              </w:rPr>
              <w:t>Causas mal definidas, em % dos óbitos</w:t>
            </w:r>
          </w:p>
        </w:tc>
        <w:tc>
          <w:tcPr>
            <w:tcW w:type="dxa" w:w="4536"/>
          </w:tcPr>
          <w:p>
            <w:r/>
            <w:r>
              <w:rPr>
                <w:sz w:val="16"/>
              </w:rPr>
              <w:t>5.33</w:t>
            </w:r>
          </w:p>
        </w:tc>
      </w:tr>
    </w:tbl>
    <w:p>
      <w:pPr>
        <w:spacing w:before="240" w:after="80"/>
      </w:pPr>
      <w:r>
        <w:rPr>
          <w:b/>
          <w:sz w:val="20"/>
        </w:rPr>
        <w:t>Tabela S2. Os códigos do subgrupo 1.1 da Lista Brasileira, por versão etária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Doença</w:t>
            </w:r>
          </w:p>
        </w:tc>
        <w:tc>
          <w:tcPr>
            <w:tcW w:type="dxa" w:w="1814"/>
          </w:tcPr>
          <w:p>
            <w:r/>
            <w:r>
              <w:rPr>
                <w:b/>
                <w:sz w:val="16"/>
              </w:rPr>
              <w:t>CID-10</w:t>
            </w:r>
          </w:p>
        </w:tc>
        <w:tc>
          <w:tcPr>
            <w:tcW w:type="dxa" w:w="1814"/>
          </w:tcPr>
          <w:p>
            <w:r/>
            <w:r>
              <w:rPr>
                <w:b/>
                <w:sz w:val="16"/>
              </w:rPr>
              <w:t>Menores de 5 anos</w:t>
            </w:r>
          </w:p>
        </w:tc>
        <w:tc>
          <w:tcPr>
            <w:tcW w:type="dxa" w:w="1814"/>
          </w:tcPr>
          <w:p>
            <w:r/>
            <w:r>
              <w:rPr>
                <w:b/>
                <w:sz w:val="16"/>
              </w:rPr>
              <w:t>5 a 74 anos</w:t>
            </w:r>
          </w:p>
        </w:tc>
        <w:tc>
          <w:tcPr>
            <w:tcW w:type="dxa" w:w="1814"/>
          </w:tcPr>
          <w:p>
            <w:r/>
            <w:r>
              <w:rPr>
                <w:b/>
                <w:sz w:val="16"/>
              </w:rPr>
              <w:t>Óbitos 2015–2024, todas as idades</w:t>
            </w:r>
          </w:p>
        </w:tc>
      </w:tr>
      <w:tr>
        <w:tc>
          <w:tcPr>
            <w:tcW w:type="dxa" w:w="1814"/>
          </w:tcPr>
          <w:p>
            <w:r/>
            <w:r>
              <w:rPr>
                <w:sz w:val="16"/>
              </w:rPr>
              <w:t>Tuberculose do sistema nervoso</w:t>
            </w:r>
          </w:p>
        </w:tc>
        <w:tc>
          <w:tcPr>
            <w:tcW w:type="dxa" w:w="1814"/>
          </w:tcPr>
          <w:p>
            <w:r/>
            <w:r>
              <w:rPr>
                <w:sz w:val="16"/>
              </w:rPr>
              <w:t>A17</w:t>
            </w:r>
          </w:p>
        </w:tc>
        <w:tc>
          <w:tcPr>
            <w:tcW w:type="dxa" w:w="1814"/>
          </w:tcPr>
          <w:p>
            <w:r/>
            <w:r>
              <w:rPr>
                <w:sz w:val="16"/>
              </w:rPr>
              <w:t>sim</w:t>
            </w:r>
          </w:p>
        </w:tc>
        <w:tc>
          <w:tcPr>
            <w:tcW w:type="dxa" w:w="1814"/>
          </w:tcPr>
          <w:p>
            <w:r/>
            <w:r>
              <w:rPr>
                <w:sz w:val="16"/>
              </w:rPr>
              <w:t>sim</w:t>
            </w:r>
          </w:p>
        </w:tc>
        <w:tc>
          <w:tcPr>
            <w:tcW w:type="dxa" w:w="1814"/>
          </w:tcPr>
          <w:p>
            <w:r/>
            <w:r>
              <w:rPr>
                <w:sz w:val="16"/>
              </w:rPr>
              <w:t>1081</w:t>
            </w:r>
          </w:p>
        </w:tc>
      </w:tr>
      <w:tr>
        <w:tc>
          <w:tcPr>
            <w:tcW w:type="dxa" w:w="1814"/>
          </w:tcPr>
          <w:p>
            <w:r/>
            <w:r>
              <w:rPr>
                <w:sz w:val="16"/>
              </w:rPr>
              <w:t>Tuberculose miliar</w:t>
            </w:r>
          </w:p>
        </w:tc>
        <w:tc>
          <w:tcPr>
            <w:tcW w:type="dxa" w:w="1814"/>
          </w:tcPr>
          <w:p>
            <w:r/>
            <w:r>
              <w:rPr>
                <w:sz w:val="16"/>
              </w:rPr>
              <w:t>A19</w:t>
            </w:r>
          </w:p>
        </w:tc>
        <w:tc>
          <w:tcPr>
            <w:tcW w:type="dxa" w:w="1814"/>
          </w:tcPr>
          <w:p>
            <w:r/>
            <w:r>
              <w:rPr>
                <w:sz w:val="16"/>
              </w:rPr>
              <w:t>sim</w:t>
            </w:r>
          </w:p>
        </w:tc>
        <w:tc>
          <w:tcPr>
            <w:tcW w:type="dxa" w:w="1814"/>
          </w:tcPr>
          <w:p>
            <w:r/>
            <w:r>
              <w:rPr>
                <w:sz w:val="16"/>
              </w:rPr>
              <w:t>sim</w:t>
            </w:r>
          </w:p>
        </w:tc>
        <w:tc>
          <w:tcPr>
            <w:tcW w:type="dxa" w:w="1814"/>
          </w:tcPr>
          <w:p>
            <w:r/>
            <w:r>
              <w:rPr>
                <w:sz w:val="16"/>
              </w:rPr>
              <w:t>2430</w:t>
            </w:r>
          </w:p>
        </w:tc>
      </w:tr>
      <w:tr>
        <w:tc>
          <w:tcPr>
            <w:tcW w:type="dxa" w:w="1814"/>
          </w:tcPr>
          <w:p>
            <w:r/>
            <w:r>
              <w:rPr>
                <w:sz w:val="16"/>
              </w:rPr>
              <w:t>Tétano neonatal</w:t>
            </w:r>
          </w:p>
        </w:tc>
        <w:tc>
          <w:tcPr>
            <w:tcW w:type="dxa" w:w="1814"/>
          </w:tcPr>
          <w:p>
            <w:r/>
            <w:r>
              <w:rPr>
                <w:sz w:val="16"/>
              </w:rPr>
              <w:t>A33</w:t>
            </w:r>
          </w:p>
        </w:tc>
        <w:tc>
          <w:tcPr>
            <w:tcW w:type="dxa" w:w="1814"/>
          </w:tcPr>
          <w:p>
            <w:r/>
            <w:r>
              <w:rPr>
                <w:sz w:val="16"/>
              </w:rPr>
              <w:t>sim</w:t>
            </w:r>
          </w:p>
        </w:tc>
        <w:tc>
          <w:tcPr>
            <w:tcW w:type="dxa" w:w="1814"/>
          </w:tcPr>
          <w:p>
            <w:r/>
            <w:r>
              <w:rPr>
                <w:sz w:val="16"/>
              </w:rPr>
              <w:t>não</w:t>
            </w:r>
          </w:p>
        </w:tc>
        <w:tc>
          <w:tcPr>
            <w:tcW w:type="dxa" w:w="1814"/>
          </w:tcPr>
          <w:p>
            <w:r/>
            <w:r>
              <w:rPr>
                <w:sz w:val="16"/>
              </w:rPr>
              <w:t>4</w:t>
            </w:r>
          </w:p>
        </w:tc>
      </w:tr>
      <w:tr>
        <w:tc>
          <w:tcPr>
            <w:tcW w:type="dxa" w:w="1814"/>
          </w:tcPr>
          <w:p>
            <w:r/>
            <w:r>
              <w:rPr>
                <w:sz w:val="16"/>
              </w:rPr>
              <w:t>Tétano obstétrico</w:t>
            </w:r>
          </w:p>
        </w:tc>
        <w:tc>
          <w:tcPr>
            <w:tcW w:type="dxa" w:w="1814"/>
          </w:tcPr>
          <w:p>
            <w:r/>
            <w:r>
              <w:rPr>
                <w:sz w:val="16"/>
              </w:rPr>
              <w:t>A34</w:t>
            </w:r>
          </w:p>
        </w:tc>
        <w:tc>
          <w:tcPr>
            <w:tcW w:type="dxa" w:w="1814"/>
          </w:tcPr>
          <w:p>
            <w:r/>
            <w:r>
              <w:rPr>
                <w:sz w:val="16"/>
              </w:rPr>
              <w:t>não</w:t>
            </w:r>
          </w:p>
        </w:tc>
        <w:tc>
          <w:tcPr>
            <w:tcW w:type="dxa" w:w="1814"/>
          </w:tcPr>
          <w:p>
            <w:r/>
            <w:r>
              <w:rPr>
                <w:sz w:val="16"/>
              </w:rPr>
              <w:t>sim</w:t>
            </w:r>
          </w:p>
        </w:tc>
        <w:tc>
          <w:tcPr>
            <w:tcW w:type="dxa" w:w="1814"/>
          </w:tcPr>
          <w:p>
            <w:r/>
            <w:r>
              <w:rPr>
                <w:sz w:val="16"/>
              </w:rPr>
              <w:t>0</w:t>
            </w:r>
          </w:p>
        </w:tc>
      </w:tr>
      <w:tr>
        <w:tc>
          <w:tcPr>
            <w:tcW w:type="dxa" w:w="1814"/>
          </w:tcPr>
          <w:p>
            <w:r/>
            <w:r>
              <w:rPr>
                <w:sz w:val="16"/>
              </w:rPr>
              <w:t>Tétano (outras formas)</w:t>
            </w:r>
          </w:p>
        </w:tc>
        <w:tc>
          <w:tcPr>
            <w:tcW w:type="dxa" w:w="1814"/>
          </w:tcPr>
          <w:p>
            <w:r/>
            <w:r>
              <w:rPr>
                <w:sz w:val="16"/>
              </w:rPr>
              <w:t>A35</w:t>
            </w:r>
          </w:p>
        </w:tc>
        <w:tc>
          <w:tcPr>
            <w:tcW w:type="dxa" w:w="1814"/>
          </w:tcPr>
          <w:p>
            <w:r/>
            <w:r>
              <w:rPr>
                <w:sz w:val="16"/>
              </w:rPr>
              <w:t>sim</w:t>
            </w:r>
          </w:p>
        </w:tc>
        <w:tc>
          <w:tcPr>
            <w:tcW w:type="dxa" w:w="1814"/>
          </w:tcPr>
          <w:p>
            <w:r/>
            <w:r>
              <w:rPr>
                <w:sz w:val="16"/>
              </w:rPr>
              <w:t>sim</w:t>
            </w:r>
          </w:p>
        </w:tc>
        <w:tc>
          <w:tcPr>
            <w:tcW w:type="dxa" w:w="1814"/>
          </w:tcPr>
          <w:p>
            <w:r/>
            <w:r>
              <w:rPr>
                <w:sz w:val="16"/>
              </w:rPr>
              <w:t>692</w:t>
            </w:r>
          </w:p>
        </w:tc>
      </w:tr>
      <w:tr>
        <w:tc>
          <w:tcPr>
            <w:tcW w:type="dxa" w:w="1814"/>
          </w:tcPr>
          <w:p>
            <w:r/>
            <w:r>
              <w:rPr>
                <w:sz w:val="16"/>
              </w:rPr>
              <w:t>Difteria</w:t>
            </w:r>
          </w:p>
        </w:tc>
        <w:tc>
          <w:tcPr>
            <w:tcW w:type="dxa" w:w="1814"/>
          </w:tcPr>
          <w:p>
            <w:r/>
            <w:r>
              <w:rPr>
                <w:sz w:val="16"/>
              </w:rPr>
              <w:t>A36</w:t>
            </w:r>
          </w:p>
        </w:tc>
        <w:tc>
          <w:tcPr>
            <w:tcW w:type="dxa" w:w="1814"/>
          </w:tcPr>
          <w:p>
            <w:r/>
            <w:r>
              <w:rPr>
                <w:sz w:val="16"/>
              </w:rPr>
              <w:t>sim</w:t>
            </w:r>
          </w:p>
        </w:tc>
        <w:tc>
          <w:tcPr>
            <w:tcW w:type="dxa" w:w="1814"/>
          </w:tcPr>
          <w:p>
            <w:r/>
            <w:r>
              <w:rPr>
                <w:sz w:val="16"/>
              </w:rPr>
              <w:t>sim</w:t>
            </w:r>
          </w:p>
        </w:tc>
        <w:tc>
          <w:tcPr>
            <w:tcW w:type="dxa" w:w="1814"/>
          </w:tcPr>
          <w:p>
            <w:r/>
            <w:r>
              <w:rPr>
                <w:sz w:val="16"/>
              </w:rPr>
              <w:t>46</w:t>
            </w:r>
          </w:p>
        </w:tc>
      </w:tr>
      <w:tr>
        <w:tc>
          <w:tcPr>
            <w:tcW w:type="dxa" w:w="1814"/>
          </w:tcPr>
          <w:p>
            <w:r/>
            <w:r>
              <w:rPr>
                <w:sz w:val="16"/>
              </w:rPr>
              <w:t>Coqueluche</w:t>
            </w:r>
          </w:p>
        </w:tc>
        <w:tc>
          <w:tcPr>
            <w:tcW w:type="dxa" w:w="1814"/>
          </w:tcPr>
          <w:p>
            <w:r/>
            <w:r>
              <w:rPr>
                <w:sz w:val="16"/>
              </w:rPr>
              <w:t>A37</w:t>
            </w:r>
          </w:p>
        </w:tc>
        <w:tc>
          <w:tcPr>
            <w:tcW w:type="dxa" w:w="1814"/>
          </w:tcPr>
          <w:p>
            <w:r/>
            <w:r>
              <w:rPr>
                <w:sz w:val="16"/>
              </w:rPr>
              <w:t>sim</w:t>
            </w:r>
          </w:p>
        </w:tc>
        <w:tc>
          <w:tcPr>
            <w:tcW w:type="dxa" w:w="1814"/>
          </w:tcPr>
          <w:p>
            <w:r/>
            <w:r>
              <w:rPr>
                <w:sz w:val="16"/>
              </w:rPr>
              <w:t>sim</w:t>
            </w:r>
          </w:p>
        </w:tc>
        <w:tc>
          <w:tcPr>
            <w:tcW w:type="dxa" w:w="1814"/>
          </w:tcPr>
          <w:p>
            <w:r/>
            <w:r>
              <w:rPr>
                <w:sz w:val="16"/>
              </w:rPr>
              <w:t>110</w:t>
            </w:r>
          </w:p>
        </w:tc>
      </w:tr>
      <w:tr>
        <w:tc>
          <w:tcPr>
            <w:tcW w:type="dxa" w:w="1814"/>
          </w:tcPr>
          <w:p>
            <w:r/>
            <w:r>
              <w:rPr>
                <w:sz w:val="16"/>
              </w:rPr>
              <w:t>Poliomielite aguda</w:t>
            </w:r>
          </w:p>
        </w:tc>
        <w:tc>
          <w:tcPr>
            <w:tcW w:type="dxa" w:w="1814"/>
          </w:tcPr>
          <w:p>
            <w:r/>
            <w:r>
              <w:rPr>
                <w:sz w:val="16"/>
              </w:rPr>
              <w:t>A80</w:t>
            </w:r>
          </w:p>
        </w:tc>
        <w:tc>
          <w:tcPr>
            <w:tcW w:type="dxa" w:w="1814"/>
          </w:tcPr>
          <w:p>
            <w:r/>
            <w:r>
              <w:rPr>
                <w:sz w:val="16"/>
              </w:rPr>
              <w:t>sim</w:t>
            </w:r>
          </w:p>
        </w:tc>
        <w:tc>
          <w:tcPr>
            <w:tcW w:type="dxa" w:w="1814"/>
          </w:tcPr>
          <w:p>
            <w:r/>
            <w:r>
              <w:rPr>
                <w:sz w:val="16"/>
              </w:rPr>
              <w:t>sim</w:t>
            </w:r>
          </w:p>
        </w:tc>
        <w:tc>
          <w:tcPr>
            <w:tcW w:type="dxa" w:w="1814"/>
          </w:tcPr>
          <w:p>
            <w:r/>
            <w:r>
              <w:rPr>
                <w:sz w:val="16"/>
              </w:rPr>
              <w:t>0</w:t>
            </w:r>
          </w:p>
        </w:tc>
      </w:tr>
      <w:tr>
        <w:tc>
          <w:tcPr>
            <w:tcW w:type="dxa" w:w="1814"/>
          </w:tcPr>
          <w:p>
            <w:r/>
            <w:r>
              <w:rPr>
                <w:sz w:val="16"/>
              </w:rPr>
              <w:t>Sarampo</w:t>
            </w:r>
          </w:p>
        </w:tc>
        <w:tc>
          <w:tcPr>
            <w:tcW w:type="dxa" w:w="1814"/>
          </w:tcPr>
          <w:p>
            <w:r/>
            <w:r>
              <w:rPr>
                <w:sz w:val="16"/>
              </w:rPr>
              <w:t>B05</w:t>
            </w:r>
          </w:p>
        </w:tc>
        <w:tc>
          <w:tcPr>
            <w:tcW w:type="dxa" w:w="1814"/>
          </w:tcPr>
          <w:p>
            <w:r/>
            <w:r>
              <w:rPr>
                <w:sz w:val="16"/>
              </w:rPr>
              <w:t>sim</w:t>
            </w:r>
          </w:p>
        </w:tc>
        <w:tc>
          <w:tcPr>
            <w:tcW w:type="dxa" w:w="1814"/>
          </w:tcPr>
          <w:p>
            <w:r/>
            <w:r>
              <w:rPr>
                <w:sz w:val="16"/>
              </w:rPr>
              <w:t>sim</w:t>
            </w:r>
          </w:p>
        </w:tc>
        <w:tc>
          <w:tcPr>
            <w:tcW w:type="dxa" w:w="1814"/>
          </w:tcPr>
          <w:p>
            <w:r/>
            <w:r>
              <w:rPr>
                <w:sz w:val="16"/>
              </w:rPr>
              <w:t>41</w:t>
            </w:r>
          </w:p>
        </w:tc>
      </w:tr>
      <w:tr>
        <w:tc>
          <w:tcPr>
            <w:tcW w:type="dxa" w:w="1814"/>
          </w:tcPr>
          <w:p>
            <w:r/>
            <w:r>
              <w:rPr>
                <w:sz w:val="16"/>
              </w:rPr>
              <w:t>Rubéola</w:t>
            </w:r>
          </w:p>
        </w:tc>
        <w:tc>
          <w:tcPr>
            <w:tcW w:type="dxa" w:w="1814"/>
          </w:tcPr>
          <w:p>
            <w:r/>
            <w:r>
              <w:rPr>
                <w:sz w:val="16"/>
              </w:rPr>
              <w:t>B06</w:t>
            </w:r>
          </w:p>
        </w:tc>
        <w:tc>
          <w:tcPr>
            <w:tcW w:type="dxa" w:w="1814"/>
          </w:tcPr>
          <w:p>
            <w:r/>
            <w:r>
              <w:rPr>
                <w:sz w:val="16"/>
              </w:rPr>
              <w:t>sim</w:t>
            </w:r>
          </w:p>
        </w:tc>
        <w:tc>
          <w:tcPr>
            <w:tcW w:type="dxa" w:w="1814"/>
          </w:tcPr>
          <w:p>
            <w:r/>
            <w:r>
              <w:rPr>
                <w:sz w:val="16"/>
              </w:rPr>
              <w:t>sim</w:t>
            </w:r>
          </w:p>
        </w:tc>
        <w:tc>
          <w:tcPr>
            <w:tcW w:type="dxa" w:w="1814"/>
          </w:tcPr>
          <w:p>
            <w:r/>
            <w:r>
              <w:rPr>
                <w:sz w:val="16"/>
              </w:rPr>
              <w:t>23</w:t>
            </w:r>
          </w:p>
        </w:tc>
      </w:tr>
      <w:tr>
        <w:tc>
          <w:tcPr>
            <w:tcW w:type="dxa" w:w="1814"/>
          </w:tcPr>
          <w:p>
            <w:r/>
            <w:r>
              <w:rPr>
                <w:sz w:val="16"/>
              </w:rPr>
              <w:t>Hepatite aguda B</w:t>
            </w:r>
          </w:p>
        </w:tc>
        <w:tc>
          <w:tcPr>
            <w:tcW w:type="dxa" w:w="1814"/>
          </w:tcPr>
          <w:p>
            <w:r/>
            <w:r>
              <w:rPr>
                <w:sz w:val="16"/>
              </w:rPr>
              <w:t>B16</w:t>
            </w:r>
          </w:p>
        </w:tc>
        <w:tc>
          <w:tcPr>
            <w:tcW w:type="dxa" w:w="1814"/>
          </w:tcPr>
          <w:p>
            <w:r/>
            <w:r>
              <w:rPr>
                <w:sz w:val="16"/>
              </w:rPr>
              <w:t>sim</w:t>
            </w:r>
          </w:p>
        </w:tc>
        <w:tc>
          <w:tcPr>
            <w:tcW w:type="dxa" w:w="1814"/>
          </w:tcPr>
          <w:p>
            <w:r/>
            <w:r>
              <w:rPr>
                <w:sz w:val="16"/>
              </w:rPr>
              <w:t>sim</w:t>
            </w:r>
          </w:p>
        </w:tc>
        <w:tc>
          <w:tcPr>
            <w:tcW w:type="dxa" w:w="1814"/>
          </w:tcPr>
          <w:p>
            <w:r/>
            <w:r>
              <w:rPr>
                <w:sz w:val="16"/>
              </w:rPr>
              <w:t>2013</w:t>
            </w:r>
          </w:p>
        </w:tc>
      </w:tr>
      <w:tr>
        <w:tc>
          <w:tcPr>
            <w:tcW w:type="dxa" w:w="1814"/>
          </w:tcPr>
          <w:p>
            <w:r/>
            <w:r>
              <w:rPr>
                <w:sz w:val="16"/>
              </w:rPr>
              <w:t>Caxumba</w:t>
            </w:r>
          </w:p>
        </w:tc>
        <w:tc>
          <w:tcPr>
            <w:tcW w:type="dxa" w:w="1814"/>
          </w:tcPr>
          <w:p>
            <w:r/>
            <w:r>
              <w:rPr>
                <w:sz w:val="16"/>
              </w:rPr>
              <w:t>B26</w:t>
            </w:r>
          </w:p>
        </w:tc>
        <w:tc>
          <w:tcPr>
            <w:tcW w:type="dxa" w:w="1814"/>
          </w:tcPr>
          <w:p>
            <w:r/>
            <w:r>
              <w:rPr>
                <w:sz w:val="16"/>
              </w:rPr>
              <w:t>sim</w:t>
            </w:r>
          </w:p>
        </w:tc>
        <w:tc>
          <w:tcPr>
            <w:tcW w:type="dxa" w:w="1814"/>
          </w:tcPr>
          <w:p>
            <w:r/>
            <w:r>
              <w:rPr>
                <w:sz w:val="16"/>
              </w:rPr>
              <w:t>não</w:t>
            </w:r>
          </w:p>
        </w:tc>
        <w:tc>
          <w:tcPr>
            <w:tcW w:type="dxa" w:w="1814"/>
          </w:tcPr>
          <w:p>
            <w:r/>
            <w:r>
              <w:rPr>
                <w:sz w:val="16"/>
              </w:rPr>
              <w:t>105</w:t>
            </w:r>
          </w:p>
        </w:tc>
      </w:tr>
      <w:tr>
        <w:tc>
          <w:tcPr>
            <w:tcW w:type="dxa" w:w="1814"/>
          </w:tcPr>
          <w:p>
            <w:r/>
            <w:r>
              <w:rPr>
                <w:sz w:val="16"/>
              </w:rPr>
              <w:t>Meningite por Haemophilus</w:t>
            </w:r>
          </w:p>
        </w:tc>
        <w:tc>
          <w:tcPr>
            <w:tcW w:type="dxa" w:w="1814"/>
          </w:tcPr>
          <w:p>
            <w:r/>
            <w:r>
              <w:rPr>
                <w:sz w:val="16"/>
              </w:rPr>
              <w:t>G00.0</w:t>
            </w:r>
          </w:p>
        </w:tc>
        <w:tc>
          <w:tcPr>
            <w:tcW w:type="dxa" w:w="1814"/>
          </w:tcPr>
          <w:p>
            <w:r/>
            <w:r>
              <w:rPr>
                <w:sz w:val="16"/>
              </w:rPr>
              <w:t>sim</w:t>
            </w:r>
          </w:p>
        </w:tc>
        <w:tc>
          <w:tcPr>
            <w:tcW w:type="dxa" w:w="1814"/>
          </w:tcPr>
          <w:p>
            <w:r/>
            <w:r>
              <w:rPr>
                <w:sz w:val="16"/>
              </w:rPr>
              <w:t>sim</w:t>
            </w:r>
          </w:p>
        </w:tc>
        <w:tc>
          <w:tcPr>
            <w:tcW w:type="dxa" w:w="1814"/>
          </w:tcPr>
          <w:p>
            <w:r/>
            <w:r>
              <w:rPr>
                <w:sz w:val="16"/>
              </w:rPr>
              <w:t>108</w:t>
            </w:r>
          </w:p>
        </w:tc>
      </w:tr>
      <w:tr>
        <w:tc>
          <w:tcPr>
            <w:tcW w:type="dxa" w:w="1814"/>
          </w:tcPr>
          <w:p>
            <w:r/>
            <w:r>
              <w:rPr>
                <w:sz w:val="16"/>
              </w:rPr>
              <w:t>Síndrome da rubéola congênita</w:t>
            </w:r>
          </w:p>
        </w:tc>
        <w:tc>
          <w:tcPr>
            <w:tcW w:type="dxa" w:w="1814"/>
          </w:tcPr>
          <w:p>
            <w:r/>
            <w:r>
              <w:rPr>
                <w:sz w:val="16"/>
              </w:rPr>
              <w:t>P35.0</w:t>
            </w:r>
          </w:p>
        </w:tc>
        <w:tc>
          <w:tcPr>
            <w:tcW w:type="dxa" w:w="1814"/>
          </w:tcPr>
          <w:p>
            <w:r/>
            <w:r>
              <w:rPr>
                <w:sz w:val="16"/>
              </w:rPr>
              <w:t>sim</w:t>
            </w:r>
          </w:p>
        </w:tc>
        <w:tc>
          <w:tcPr>
            <w:tcW w:type="dxa" w:w="1814"/>
          </w:tcPr>
          <w:p>
            <w:r/>
            <w:r>
              <w:rPr>
                <w:sz w:val="16"/>
              </w:rPr>
              <w:t>não</w:t>
            </w:r>
          </w:p>
        </w:tc>
        <w:tc>
          <w:tcPr>
            <w:tcW w:type="dxa" w:w="1814"/>
          </w:tcPr>
          <w:p>
            <w:r/>
            <w:r>
              <w:rPr>
                <w:sz w:val="16"/>
              </w:rPr>
              <w:t>23</w:t>
            </w:r>
          </w:p>
        </w:tc>
      </w:tr>
      <w:tr>
        <w:tc>
          <w:tcPr>
            <w:tcW w:type="dxa" w:w="1814"/>
          </w:tcPr>
          <w:p>
            <w:r/>
            <w:r>
              <w:rPr>
                <w:sz w:val="16"/>
              </w:rPr>
              <w:t>Hepatite viral congênita</w:t>
            </w:r>
          </w:p>
        </w:tc>
        <w:tc>
          <w:tcPr>
            <w:tcW w:type="dxa" w:w="1814"/>
          </w:tcPr>
          <w:p>
            <w:r/>
            <w:r>
              <w:rPr>
                <w:sz w:val="16"/>
              </w:rPr>
              <w:t>P35.3</w:t>
            </w:r>
          </w:p>
        </w:tc>
        <w:tc>
          <w:tcPr>
            <w:tcW w:type="dxa" w:w="1814"/>
          </w:tcPr>
          <w:p>
            <w:r/>
            <w:r>
              <w:rPr>
                <w:sz w:val="16"/>
              </w:rPr>
              <w:t>sim</w:t>
            </w:r>
          </w:p>
        </w:tc>
        <w:tc>
          <w:tcPr>
            <w:tcW w:type="dxa" w:w="1814"/>
          </w:tcPr>
          <w:p>
            <w:r/>
            <w:r>
              <w:rPr>
                <w:sz w:val="16"/>
              </w:rPr>
              <w:t>não</w:t>
            </w:r>
          </w:p>
        </w:tc>
        <w:tc>
          <w:tcPr>
            <w:tcW w:type="dxa" w:w="1814"/>
          </w:tcPr>
          <w:p>
            <w:r/>
            <w:r>
              <w:rPr>
                <w:sz w:val="16"/>
              </w:rPr>
              <w:t>14</w:t>
            </w:r>
          </w:p>
        </w:tc>
      </w:tr>
    </w:tbl>
    <w:p>
      <w:pPr>
        <w:spacing w:before="240" w:after="80"/>
      </w:pPr>
      <w:r>
        <w:rPr>
          <w:b/>
          <w:sz w:val="20"/>
        </w:rPr>
        <w:t>Tabela S3. Óbitos do subgrupo 1.1 por ano, e o mesmo conjunto de códigos acima de 74 anos</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Ano</w:t>
            </w:r>
          </w:p>
        </w:tc>
        <w:tc>
          <w:tcPr>
            <w:tcW w:type="dxa" w:w="1814"/>
          </w:tcPr>
          <w:p>
            <w:r/>
            <w:r>
              <w:rPr>
                <w:b/>
                <w:sz w:val="16"/>
              </w:rPr>
              <w:t>Óbitos do subgrupo 1.1</w:t>
            </w:r>
          </w:p>
        </w:tc>
        <w:tc>
          <w:tcPr>
            <w:tcW w:type="dxa" w:w="1814"/>
          </w:tcPr>
          <w:p>
            <w:r/>
            <w:r>
              <w:rPr>
                <w:b/>
                <w:sz w:val="16"/>
              </w:rPr>
              <w:t>Mesmos códigos em 75 anos ou mais</w:t>
            </w:r>
          </w:p>
        </w:tc>
        <w:tc>
          <w:tcPr>
            <w:tcW w:type="dxa" w:w="1814"/>
          </w:tcPr>
          <w:p>
            <w:r/>
            <w:r>
              <w:rPr>
                <w:b/>
                <w:sz w:val="16"/>
              </w:rPr>
              <w:t>Óbitos totais do ano</w:t>
            </w:r>
          </w:p>
        </w:tc>
        <w:tc>
          <w:tcPr>
            <w:tcW w:type="dxa" w:w="1814"/>
          </w:tcPr>
          <w:p>
            <w:r/>
            <w:r>
              <w:rPr>
                <w:b/>
                <w:sz w:val="16"/>
              </w:rPr>
              <w:t>Subgrupo 1.1 por 10 mil óbitos</w:t>
            </w:r>
          </w:p>
        </w:tc>
      </w:tr>
      <w:tr>
        <w:tc>
          <w:tcPr>
            <w:tcW w:type="dxa" w:w="1814"/>
          </w:tcPr>
          <w:p>
            <w:r/>
            <w:r>
              <w:rPr>
                <w:sz w:val="16"/>
              </w:rPr>
              <w:t>2015</w:t>
            </w:r>
          </w:p>
        </w:tc>
        <w:tc>
          <w:tcPr>
            <w:tcW w:type="dxa" w:w="1814"/>
          </w:tcPr>
          <w:p>
            <w:r/>
            <w:r>
              <w:rPr>
                <w:sz w:val="16"/>
              </w:rPr>
              <w:t>585</w:t>
            </w:r>
          </w:p>
        </w:tc>
        <w:tc>
          <w:tcPr>
            <w:tcW w:type="dxa" w:w="1814"/>
          </w:tcPr>
          <w:p>
            <w:r/>
            <w:r>
              <w:rPr>
                <w:sz w:val="16"/>
              </w:rPr>
              <w:t>70</w:t>
            </w:r>
          </w:p>
        </w:tc>
        <w:tc>
          <w:tcPr>
            <w:tcW w:type="dxa" w:w="1814"/>
          </w:tcPr>
          <w:p>
            <w:r/>
            <w:r>
              <w:rPr>
                <w:sz w:val="16"/>
              </w:rPr>
              <w:t>1264175</w:t>
            </w:r>
          </w:p>
        </w:tc>
        <w:tc>
          <w:tcPr>
            <w:tcW w:type="dxa" w:w="1814"/>
          </w:tcPr>
          <w:p>
            <w:r/>
            <w:r>
              <w:rPr>
                <w:sz w:val="16"/>
              </w:rPr>
              <w:t>4.63</w:t>
            </w:r>
          </w:p>
        </w:tc>
      </w:tr>
      <w:tr>
        <w:tc>
          <w:tcPr>
            <w:tcW w:type="dxa" w:w="1814"/>
          </w:tcPr>
          <w:p>
            <w:r/>
            <w:r>
              <w:rPr>
                <w:sz w:val="16"/>
              </w:rPr>
              <w:t>2016</w:t>
            </w:r>
          </w:p>
        </w:tc>
        <w:tc>
          <w:tcPr>
            <w:tcW w:type="dxa" w:w="1814"/>
          </w:tcPr>
          <w:p>
            <w:r/>
            <w:r>
              <w:rPr>
                <w:sz w:val="16"/>
              </w:rPr>
              <w:t>580</w:t>
            </w:r>
          </w:p>
        </w:tc>
        <w:tc>
          <w:tcPr>
            <w:tcW w:type="dxa" w:w="1814"/>
          </w:tcPr>
          <w:p>
            <w:r/>
            <w:r>
              <w:rPr>
                <w:sz w:val="16"/>
              </w:rPr>
              <w:t>68</w:t>
            </w:r>
          </w:p>
        </w:tc>
        <w:tc>
          <w:tcPr>
            <w:tcW w:type="dxa" w:w="1814"/>
          </w:tcPr>
          <w:p>
            <w:r/>
            <w:r>
              <w:rPr>
                <w:sz w:val="16"/>
              </w:rPr>
              <w:t>1309774</w:t>
            </w:r>
          </w:p>
        </w:tc>
        <w:tc>
          <w:tcPr>
            <w:tcW w:type="dxa" w:w="1814"/>
          </w:tcPr>
          <w:p>
            <w:r/>
            <w:r>
              <w:rPr>
                <w:sz w:val="16"/>
              </w:rPr>
              <w:t>4.43</w:t>
            </w:r>
          </w:p>
        </w:tc>
      </w:tr>
      <w:tr>
        <w:tc>
          <w:tcPr>
            <w:tcW w:type="dxa" w:w="1814"/>
          </w:tcPr>
          <w:p>
            <w:r/>
            <w:r>
              <w:rPr>
                <w:sz w:val="16"/>
              </w:rPr>
              <w:t>2017</w:t>
            </w:r>
          </w:p>
        </w:tc>
        <w:tc>
          <w:tcPr>
            <w:tcW w:type="dxa" w:w="1814"/>
          </w:tcPr>
          <w:p>
            <w:r/>
            <w:r>
              <w:rPr>
                <w:sz w:val="16"/>
              </w:rPr>
              <w:t>586</w:t>
            </w:r>
          </w:p>
        </w:tc>
        <w:tc>
          <w:tcPr>
            <w:tcW w:type="dxa" w:w="1814"/>
          </w:tcPr>
          <w:p>
            <w:r/>
            <w:r>
              <w:rPr>
                <w:sz w:val="16"/>
              </w:rPr>
              <w:t>81</w:t>
            </w:r>
          </w:p>
        </w:tc>
        <w:tc>
          <w:tcPr>
            <w:tcW w:type="dxa" w:w="1814"/>
          </w:tcPr>
          <w:p>
            <w:r/>
            <w:r>
              <w:rPr>
                <w:sz w:val="16"/>
              </w:rPr>
              <w:t>1312663</w:t>
            </w:r>
          </w:p>
        </w:tc>
        <w:tc>
          <w:tcPr>
            <w:tcW w:type="dxa" w:w="1814"/>
          </w:tcPr>
          <w:p>
            <w:r/>
            <w:r>
              <w:rPr>
                <w:sz w:val="16"/>
              </w:rPr>
              <w:t>4.46</w:t>
            </w:r>
          </w:p>
        </w:tc>
      </w:tr>
      <w:tr>
        <w:tc>
          <w:tcPr>
            <w:tcW w:type="dxa" w:w="1814"/>
          </w:tcPr>
          <w:p>
            <w:r/>
            <w:r>
              <w:rPr>
                <w:sz w:val="16"/>
              </w:rPr>
              <w:t>2018</w:t>
            </w:r>
          </w:p>
        </w:tc>
        <w:tc>
          <w:tcPr>
            <w:tcW w:type="dxa" w:w="1814"/>
          </w:tcPr>
          <w:p>
            <w:r/>
            <w:r>
              <w:rPr>
                <w:sz w:val="16"/>
              </w:rPr>
              <w:t>632</w:t>
            </w:r>
          </w:p>
        </w:tc>
        <w:tc>
          <w:tcPr>
            <w:tcW w:type="dxa" w:w="1814"/>
          </w:tcPr>
          <w:p>
            <w:r/>
            <w:r>
              <w:rPr>
                <w:sz w:val="16"/>
              </w:rPr>
              <w:t>67</w:t>
            </w:r>
          </w:p>
        </w:tc>
        <w:tc>
          <w:tcPr>
            <w:tcW w:type="dxa" w:w="1814"/>
          </w:tcPr>
          <w:p>
            <w:r/>
            <w:r>
              <w:rPr>
                <w:sz w:val="16"/>
              </w:rPr>
              <w:t>1316719</w:t>
            </w:r>
          </w:p>
        </w:tc>
        <w:tc>
          <w:tcPr>
            <w:tcW w:type="dxa" w:w="1814"/>
          </w:tcPr>
          <w:p>
            <w:r/>
            <w:r>
              <w:rPr>
                <w:sz w:val="16"/>
              </w:rPr>
              <w:t>4.8</w:t>
            </w:r>
          </w:p>
        </w:tc>
      </w:tr>
      <w:tr>
        <w:tc>
          <w:tcPr>
            <w:tcW w:type="dxa" w:w="1814"/>
          </w:tcPr>
          <w:p>
            <w:r/>
            <w:r>
              <w:rPr>
                <w:sz w:val="16"/>
              </w:rPr>
              <w:t>2019</w:t>
            </w:r>
          </w:p>
        </w:tc>
        <w:tc>
          <w:tcPr>
            <w:tcW w:type="dxa" w:w="1814"/>
          </w:tcPr>
          <w:p>
            <w:r/>
            <w:r>
              <w:rPr>
                <w:sz w:val="16"/>
              </w:rPr>
              <w:t>580</w:t>
            </w:r>
          </w:p>
        </w:tc>
        <w:tc>
          <w:tcPr>
            <w:tcW w:type="dxa" w:w="1814"/>
          </w:tcPr>
          <w:p>
            <w:r/>
            <w:r>
              <w:rPr>
                <w:sz w:val="16"/>
              </w:rPr>
              <w:t>72</w:t>
            </w:r>
          </w:p>
        </w:tc>
        <w:tc>
          <w:tcPr>
            <w:tcW w:type="dxa" w:w="1814"/>
          </w:tcPr>
          <w:p>
            <w:r/>
            <w:r>
              <w:rPr>
                <w:sz w:val="16"/>
              </w:rPr>
              <w:t>1349801</w:t>
            </w:r>
          </w:p>
        </w:tc>
        <w:tc>
          <w:tcPr>
            <w:tcW w:type="dxa" w:w="1814"/>
          </w:tcPr>
          <w:p>
            <w:r/>
            <w:r>
              <w:rPr>
                <w:sz w:val="16"/>
              </w:rPr>
              <w:t>4.3</w:t>
            </w:r>
          </w:p>
        </w:tc>
      </w:tr>
      <w:tr>
        <w:tc>
          <w:tcPr>
            <w:tcW w:type="dxa" w:w="1814"/>
          </w:tcPr>
          <w:p>
            <w:r/>
            <w:r>
              <w:rPr>
                <w:sz w:val="16"/>
              </w:rPr>
              <w:t>2020</w:t>
            </w:r>
          </w:p>
        </w:tc>
        <w:tc>
          <w:tcPr>
            <w:tcW w:type="dxa" w:w="1814"/>
          </w:tcPr>
          <w:p>
            <w:r/>
            <w:r>
              <w:rPr>
                <w:sz w:val="16"/>
              </w:rPr>
              <w:t>560</w:t>
            </w:r>
          </w:p>
        </w:tc>
        <w:tc>
          <w:tcPr>
            <w:tcW w:type="dxa" w:w="1814"/>
          </w:tcPr>
          <w:p>
            <w:r/>
            <w:r>
              <w:rPr>
                <w:sz w:val="16"/>
              </w:rPr>
              <w:t>71</w:t>
            </w:r>
          </w:p>
        </w:tc>
        <w:tc>
          <w:tcPr>
            <w:tcW w:type="dxa" w:w="1814"/>
          </w:tcPr>
          <w:p>
            <w:r/>
            <w:r>
              <w:rPr>
                <w:sz w:val="16"/>
              </w:rPr>
              <w:t>1556824</w:t>
            </w:r>
          </w:p>
        </w:tc>
        <w:tc>
          <w:tcPr>
            <w:tcW w:type="dxa" w:w="1814"/>
          </w:tcPr>
          <w:p>
            <w:r/>
            <w:r>
              <w:rPr>
                <w:sz w:val="16"/>
              </w:rPr>
              <w:t>3.6</w:t>
            </w:r>
          </w:p>
        </w:tc>
      </w:tr>
      <w:tr>
        <w:tc>
          <w:tcPr>
            <w:tcW w:type="dxa" w:w="1814"/>
          </w:tcPr>
          <w:p>
            <w:r/>
            <w:r>
              <w:rPr>
                <w:sz w:val="16"/>
              </w:rPr>
              <w:t>2021</w:t>
            </w:r>
          </w:p>
        </w:tc>
        <w:tc>
          <w:tcPr>
            <w:tcW w:type="dxa" w:w="1814"/>
          </w:tcPr>
          <w:p>
            <w:r/>
            <w:r>
              <w:rPr>
                <w:sz w:val="16"/>
              </w:rPr>
              <w:t>539</w:t>
            </w:r>
          </w:p>
        </w:tc>
        <w:tc>
          <w:tcPr>
            <w:tcW w:type="dxa" w:w="1814"/>
          </w:tcPr>
          <w:p>
            <w:r/>
            <w:r>
              <w:rPr>
                <w:sz w:val="16"/>
              </w:rPr>
              <w:t>76</w:t>
            </w:r>
          </w:p>
        </w:tc>
        <w:tc>
          <w:tcPr>
            <w:tcW w:type="dxa" w:w="1814"/>
          </w:tcPr>
          <w:p>
            <w:r/>
            <w:r>
              <w:rPr>
                <w:sz w:val="16"/>
              </w:rPr>
              <w:t>1832649</w:t>
            </w:r>
          </w:p>
        </w:tc>
        <w:tc>
          <w:tcPr>
            <w:tcW w:type="dxa" w:w="1814"/>
          </w:tcPr>
          <w:p>
            <w:r/>
            <w:r>
              <w:rPr>
                <w:sz w:val="16"/>
              </w:rPr>
              <w:t>2.94</w:t>
            </w:r>
          </w:p>
        </w:tc>
      </w:tr>
      <w:tr>
        <w:tc>
          <w:tcPr>
            <w:tcW w:type="dxa" w:w="1814"/>
          </w:tcPr>
          <w:p>
            <w:r/>
            <w:r>
              <w:rPr>
                <w:sz w:val="16"/>
              </w:rPr>
              <w:t>2022</w:t>
            </w:r>
          </w:p>
        </w:tc>
        <w:tc>
          <w:tcPr>
            <w:tcW w:type="dxa" w:w="1814"/>
          </w:tcPr>
          <w:p>
            <w:r/>
            <w:r>
              <w:rPr>
                <w:sz w:val="16"/>
              </w:rPr>
              <w:t>552</w:t>
            </w:r>
          </w:p>
        </w:tc>
        <w:tc>
          <w:tcPr>
            <w:tcW w:type="dxa" w:w="1814"/>
          </w:tcPr>
          <w:p>
            <w:r/>
            <w:r>
              <w:rPr>
                <w:sz w:val="16"/>
              </w:rPr>
              <w:t>74</w:t>
            </w:r>
          </w:p>
        </w:tc>
        <w:tc>
          <w:tcPr>
            <w:tcW w:type="dxa" w:w="1814"/>
          </w:tcPr>
          <w:p>
            <w:r/>
            <w:r>
              <w:rPr>
                <w:sz w:val="16"/>
              </w:rPr>
              <w:t>1544266</w:t>
            </w:r>
          </w:p>
        </w:tc>
        <w:tc>
          <w:tcPr>
            <w:tcW w:type="dxa" w:w="1814"/>
          </w:tcPr>
          <w:p>
            <w:r/>
            <w:r>
              <w:rPr>
                <w:sz w:val="16"/>
              </w:rPr>
              <w:t>3.57</w:t>
            </w:r>
          </w:p>
        </w:tc>
      </w:tr>
      <w:tr>
        <w:tc>
          <w:tcPr>
            <w:tcW w:type="dxa" w:w="1814"/>
          </w:tcPr>
          <w:p>
            <w:r/>
            <w:r>
              <w:rPr>
                <w:sz w:val="16"/>
              </w:rPr>
              <w:t>2023</w:t>
            </w:r>
          </w:p>
        </w:tc>
        <w:tc>
          <w:tcPr>
            <w:tcW w:type="dxa" w:w="1814"/>
          </w:tcPr>
          <w:p>
            <w:r/>
            <w:r>
              <w:rPr>
                <w:sz w:val="16"/>
              </w:rPr>
              <w:t>589</w:t>
            </w:r>
          </w:p>
        </w:tc>
        <w:tc>
          <w:tcPr>
            <w:tcW w:type="dxa" w:w="1814"/>
          </w:tcPr>
          <w:p>
            <w:r/>
            <w:r>
              <w:rPr>
                <w:sz w:val="16"/>
              </w:rPr>
              <w:t>88</w:t>
            </w:r>
          </w:p>
        </w:tc>
        <w:tc>
          <w:tcPr>
            <w:tcW w:type="dxa" w:w="1814"/>
          </w:tcPr>
          <w:p>
            <w:r/>
            <w:r>
              <w:rPr>
                <w:sz w:val="16"/>
              </w:rPr>
              <w:t>1465610</w:t>
            </w:r>
          </w:p>
        </w:tc>
        <w:tc>
          <w:tcPr>
            <w:tcW w:type="dxa" w:w="1814"/>
          </w:tcPr>
          <w:p>
            <w:r/>
            <w:r>
              <w:rPr>
                <w:sz w:val="16"/>
              </w:rPr>
              <w:t>4.02</w:t>
            </w:r>
          </w:p>
        </w:tc>
      </w:tr>
      <w:tr>
        <w:tc>
          <w:tcPr>
            <w:tcW w:type="dxa" w:w="1814"/>
          </w:tcPr>
          <w:p>
            <w:r/>
            <w:r>
              <w:rPr>
                <w:sz w:val="16"/>
              </w:rPr>
              <w:t>2024</w:t>
            </w:r>
          </w:p>
        </w:tc>
        <w:tc>
          <w:tcPr>
            <w:tcW w:type="dxa" w:w="1814"/>
          </w:tcPr>
          <w:p>
            <w:r/>
            <w:r>
              <w:rPr>
                <w:sz w:val="16"/>
              </w:rPr>
              <w:t>629</w:t>
            </w:r>
          </w:p>
        </w:tc>
        <w:tc>
          <w:tcPr>
            <w:tcW w:type="dxa" w:w="1814"/>
          </w:tcPr>
          <w:p>
            <w:r/>
            <w:r>
              <w:rPr>
                <w:sz w:val="16"/>
              </w:rPr>
              <w:t>79</w:t>
            </w:r>
          </w:p>
        </w:tc>
        <w:tc>
          <w:tcPr>
            <w:tcW w:type="dxa" w:w="1814"/>
          </w:tcPr>
          <w:p>
            <w:r/>
            <w:r>
              <w:rPr>
                <w:sz w:val="16"/>
              </w:rPr>
              <w:t>1532015</w:t>
            </w:r>
          </w:p>
        </w:tc>
        <w:tc>
          <w:tcPr>
            <w:tcW w:type="dxa" w:w="1814"/>
          </w:tcPr>
          <w:p>
            <w:r/>
            <w:r>
              <w:rPr>
                <w:sz w:val="16"/>
              </w:rPr>
              <w:t>4.11</w:t>
            </w:r>
          </w:p>
        </w:tc>
      </w:tr>
      <w:tr>
        <w:tc>
          <w:tcPr>
            <w:tcW w:type="dxa" w:w="1814"/>
          </w:tcPr>
          <w:p>
            <w:r/>
            <w:r>
              <w:rPr>
                <w:sz w:val="16"/>
              </w:rPr>
              <w:t>2015–2024</w:t>
            </w:r>
          </w:p>
        </w:tc>
        <w:tc>
          <w:tcPr>
            <w:tcW w:type="dxa" w:w="1814"/>
          </w:tcPr>
          <w:p>
            <w:r/>
            <w:r>
              <w:rPr>
                <w:sz w:val="16"/>
              </w:rPr>
              <w:t>5832</w:t>
            </w:r>
          </w:p>
        </w:tc>
        <w:tc>
          <w:tcPr>
            <w:tcW w:type="dxa" w:w="1814"/>
          </w:tcPr>
          <w:p>
            <w:r/>
            <w:r>
              <w:rPr>
                <w:sz w:val="16"/>
              </w:rPr>
              <w:t>746</w:t>
            </w:r>
          </w:p>
        </w:tc>
        <w:tc>
          <w:tcPr>
            <w:tcW w:type="dxa" w:w="1814"/>
          </w:tcPr>
          <w:p>
            <w:r/>
            <w:r>
              <w:rPr>
                <w:sz w:val="16"/>
              </w:rPr>
              <w:t>14484496</w:t>
            </w:r>
          </w:p>
        </w:tc>
        <w:tc>
          <w:tcPr>
            <w:tcW w:type="dxa" w:w="1814"/>
          </w:tcPr>
          <w:p>
            <w:r/>
            <w:r>
              <w:rPr>
                <w:sz w:val="16"/>
              </w:rPr>
              <w:t>4.03</w:t>
            </w:r>
          </w:p>
        </w:tc>
      </w:tr>
    </w:tbl>
    <w:p>
      <w:pPr>
        <w:spacing w:before="240" w:after="80"/>
      </w:pPr>
      <w:r>
        <w:rPr>
          <w:b/>
          <w:sz w:val="20"/>
        </w:rPr>
        <w:t>Tabela S4. Panorama dos conjuntos, 2015–2024</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Conjunto</w:t>
            </w:r>
          </w:p>
        </w:tc>
        <w:tc>
          <w:tcPr>
            <w:tcW w:type="dxa" w:w="2268"/>
          </w:tcPr>
          <w:p>
            <w:r/>
            <w:r>
              <w:rPr>
                <w:b/>
                <w:sz w:val="16"/>
              </w:rPr>
              <w:t>Óbitos 2015–2024</w:t>
            </w:r>
          </w:p>
        </w:tc>
        <w:tc>
          <w:tcPr>
            <w:tcW w:type="dxa" w:w="2268"/>
          </w:tcPr>
          <w:p>
            <w:r/>
            <w:r>
              <w:rPr>
                <w:b/>
                <w:sz w:val="16"/>
              </w:rPr>
              <w:t>Por 10 mil óbitos do período</w:t>
            </w:r>
          </w:p>
        </w:tc>
        <w:tc>
          <w:tcPr>
            <w:tcW w:type="dxa" w:w="2268"/>
          </w:tcPr>
          <w:p>
            <w:r/>
            <w:r>
              <w:rPr>
                <w:b/>
                <w:sz w:val="16"/>
              </w:rPr>
              <w:t>Razão sobre o subgrupo 1.1</w:t>
            </w:r>
          </w:p>
        </w:tc>
      </w:tr>
      <w:tr>
        <w:tc>
          <w:tcPr>
            <w:tcW w:type="dxa" w:w="2268"/>
          </w:tcPr>
          <w:p>
            <w:r/>
            <w:r>
              <w:rPr>
                <w:sz w:val="16"/>
              </w:rPr>
              <w:t>Subgrupo 1.1 da Lista Brasileira (o instrumento oficial)</w:t>
            </w:r>
          </w:p>
        </w:tc>
        <w:tc>
          <w:tcPr>
            <w:tcW w:type="dxa" w:w="2268"/>
          </w:tcPr>
          <w:p>
            <w:r/>
            <w:r>
              <w:rPr>
                <w:sz w:val="16"/>
              </w:rPr>
              <w:t>5832</w:t>
            </w:r>
          </w:p>
        </w:tc>
        <w:tc>
          <w:tcPr>
            <w:tcW w:type="dxa" w:w="2268"/>
          </w:tcPr>
          <w:p>
            <w:r/>
            <w:r>
              <w:rPr>
                <w:sz w:val="16"/>
              </w:rPr>
              <w:t>4.03</w:t>
            </w:r>
          </w:p>
        </w:tc>
        <w:tc>
          <w:tcPr>
            <w:tcW w:type="dxa" w:w="2268"/>
          </w:tcPr>
          <w:p>
            <w:r/>
            <w:r>
              <w:rPr>
                <w:sz w:val="16"/>
              </w:rPr>
              <w:t>1.0</w:t>
            </w:r>
          </w:p>
        </w:tc>
      </w:tr>
      <w:tr>
        <w:tc>
          <w:tcPr>
            <w:tcW w:type="dxa" w:w="2268"/>
          </w:tcPr>
          <w:p>
            <w:r/>
            <w:r>
              <w:rPr>
                <w:sz w:val="16"/>
              </w:rPr>
              <w:t>Conjunto ampliado, sem COVID-19</w:t>
            </w:r>
          </w:p>
        </w:tc>
        <w:tc>
          <w:tcPr>
            <w:tcW w:type="dxa" w:w="2268"/>
          </w:tcPr>
          <w:p>
            <w:r/>
            <w:r>
              <w:rPr>
                <w:sz w:val="16"/>
              </w:rPr>
              <w:t>27931</w:t>
            </w:r>
          </w:p>
        </w:tc>
        <w:tc>
          <w:tcPr>
            <w:tcW w:type="dxa" w:w="2268"/>
          </w:tcPr>
          <w:p>
            <w:r/>
            <w:r>
              <w:rPr>
                <w:sz w:val="16"/>
              </w:rPr>
              <w:t>19.28</w:t>
            </w:r>
          </w:p>
        </w:tc>
        <w:tc>
          <w:tcPr>
            <w:tcW w:type="dxa" w:w="2268"/>
          </w:tcPr>
          <w:p>
            <w:r/>
            <w:r>
              <w:rPr>
                <w:sz w:val="16"/>
              </w:rPr>
              <w:t>4.79</w:t>
            </w:r>
          </w:p>
        </w:tc>
      </w:tr>
      <w:tr>
        <w:tc>
          <w:tcPr>
            <w:tcW w:type="dxa" w:w="2268"/>
          </w:tcPr>
          <w:p>
            <w:r/>
            <w:r>
              <w:rPr>
                <w:sz w:val="16"/>
              </w:rPr>
              <w:t>Conjunto ampliado, sem COVID-19 e sem herpes zoster</w:t>
            </w:r>
          </w:p>
        </w:tc>
        <w:tc>
          <w:tcPr>
            <w:tcW w:type="dxa" w:w="2268"/>
          </w:tcPr>
          <w:p>
            <w:r/>
            <w:r>
              <w:rPr>
                <w:sz w:val="16"/>
              </w:rPr>
              <w:t>26688</w:t>
            </w:r>
          </w:p>
        </w:tc>
        <w:tc>
          <w:tcPr>
            <w:tcW w:type="dxa" w:w="2268"/>
          </w:tcPr>
          <w:p>
            <w:r/>
            <w:r>
              <w:rPr>
                <w:sz w:val="16"/>
              </w:rPr>
              <w:t>18.43</w:t>
            </w:r>
          </w:p>
        </w:tc>
        <w:tc>
          <w:tcPr>
            <w:tcW w:type="dxa" w:w="2268"/>
          </w:tcPr>
          <w:p>
            <w:r/>
            <w:r>
              <w:rPr>
                <w:sz w:val="16"/>
              </w:rPr>
              <w:t>4.58</w:t>
            </w:r>
          </w:p>
        </w:tc>
      </w:tr>
      <w:tr>
        <w:tc>
          <w:tcPr>
            <w:tcW w:type="dxa" w:w="2268"/>
          </w:tcPr>
          <w:p>
            <w:r/>
            <w:r>
              <w:rPr>
                <w:sz w:val="16"/>
              </w:rPr>
              <w:t>COVID-19 (B34.2)</w:t>
            </w:r>
          </w:p>
        </w:tc>
        <w:tc>
          <w:tcPr>
            <w:tcW w:type="dxa" w:w="2268"/>
          </w:tcPr>
          <w:p>
            <w:r/>
            <w:r>
              <w:rPr>
                <w:sz w:val="16"/>
              </w:rPr>
              <w:t>718811</w:t>
            </w:r>
          </w:p>
        </w:tc>
        <w:tc>
          <w:tcPr>
            <w:tcW w:type="dxa" w:w="2268"/>
          </w:tcPr>
          <w:p>
            <w:r/>
            <w:r>
              <w:rPr>
                <w:sz w:val="16"/>
              </w:rPr>
              <w:t>496.26</w:t>
            </w:r>
          </w:p>
        </w:tc>
        <w:tc>
          <w:tcPr>
            <w:tcW w:type="dxa" w:w="2268"/>
          </w:tcPr>
          <w:p>
            <w:r/>
            <w:r>
              <w:rPr>
                <w:sz w:val="16"/>
              </w:rPr>
              <w:t>123.25</w:t>
            </w:r>
          </w:p>
        </w:tc>
      </w:tr>
      <w:tr>
        <w:tc>
          <w:tcPr>
            <w:tcW w:type="dxa" w:w="2268"/>
          </w:tcPr>
          <w:p>
            <w:r/>
            <w:r>
              <w:rPr>
                <w:sz w:val="16"/>
              </w:rPr>
              <w:t>Latência longa (colo do útero, fígado e hepatite B crônica)</w:t>
            </w:r>
          </w:p>
        </w:tc>
        <w:tc>
          <w:tcPr>
            <w:tcW w:type="dxa" w:w="2268"/>
          </w:tcPr>
          <w:p>
            <w:r/>
            <w:r>
              <w:rPr>
                <w:sz w:val="16"/>
              </w:rPr>
              <w:t>174100</w:t>
            </w:r>
          </w:p>
        </w:tc>
        <w:tc>
          <w:tcPr>
            <w:tcW w:type="dxa" w:w="2268"/>
          </w:tcPr>
          <w:p>
            <w:r/>
            <w:r>
              <w:rPr>
                <w:sz w:val="16"/>
              </w:rPr>
              <w:t>120.2</w:t>
            </w:r>
          </w:p>
        </w:tc>
        <w:tc>
          <w:tcPr>
            <w:tcW w:type="dxa" w:w="2268"/>
          </w:tcPr>
          <w:p>
            <w:r/>
            <w:r>
              <w:rPr>
                <w:sz w:val="16"/>
              </w:rPr>
              <w:t>29.85</w:t>
            </w:r>
          </w:p>
        </w:tc>
      </w:tr>
    </w:tbl>
    <w:p>
      <w:pPr>
        <w:spacing w:before="240" w:after="80"/>
      </w:pPr>
      <w:r>
        <w:rPr>
          <w:b/>
          <w:sz w:val="20"/>
        </w:rPr>
        <w:t>Tabela S5. Estrutura etária dos óbitos por causas com vacina disponível</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Faixa etária</w:t>
            </w:r>
          </w:p>
        </w:tc>
        <w:tc>
          <w:tcPr>
            <w:tcW w:type="dxa" w:w="1512"/>
          </w:tcPr>
          <w:p>
            <w:r/>
            <w:r>
              <w:rPr>
                <w:b/>
                <w:sz w:val="16"/>
              </w:rPr>
              <w:t>Subgrupo 1.1</w:t>
            </w:r>
          </w:p>
        </w:tc>
        <w:tc>
          <w:tcPr>
            <w:tcW w:type="dxa" w:w="1512"/>
          </w:tcPr>
          <w:p>
            <w:r/>
            <w:r>
              <w:rPr>
                <w:b/>
                <w:sz w:val="16"/>
              </w:rPr>
              <w:t>Ampliado sem COVID-19</w:t>
            </w:r>
          </w:p>
        </w:tc>
        <w:tc>
          <w:tcPr>
            <w:tcW w:type="dxa" w:w="1512"/>
          </w:tcPr>
          <w:p>
            <w:r/>
            <w:r>
              <w:rPr>
                <w:b/>
                <w:sz w:val="16"/>
              </w:rPr>
              <w:t>COVID-19</w:t>
            </w:r>
          </w:p>
        </w:tc>
        <w:tc>
          <w:tcPr>
            <w:tcW w:type="dxa" w:w="1512"/>
          </w:tcPr>
          <w:p>
            <w:r/>
            <w:r>
              <w:rPr>
                <w:b/>
                <w:sz w:val="16"/>
              </w:rPr>
              <w:t>Total</w:t>
            </w:r>
          </w:p>
        </w:tc>
        <w:tc>
          <w:tcPr>
            <w:tcW w:type="dxa" w:w="1512"/>
          </w:tcPr>
          <w:p>
            <w:r/>
            <w:r>
              <w:rPr>
                <w:b/>
                <w:sz w:val="16"/>
              </w:rPr>
              <w:t>% do total</w:t>
            </w:r>
          </w:p>
        </w:tc>
      </w:tr>
      <w:tr>
        <w:tc>
          <w:tcPr>
            <w:tcW w:type="dxa" w:w="1512"/>
          </w:tcPr>
          <w:p>
            <w:r/>
            <w:r>
              <w:rPr>
                <w:sz w:val="16"/>
              </w:rPr>
              <w:t>Menores de 5 anos</w:t>
            </w:r>
          </w:p>
        </w:tc>
        <w:tc>
          <w:tcPr>
            <w:tcW w:type="dxa" w:w="1512"/>
          </w:tcPr>
          <w:p>
            <w:r/>
            <w:r>
              <w:rPr>
                <w:sz w:val="16"/>
              </w:rPr>
              <w:t>355</w:t>
            </w:r>
          </w:p>
        </w:tc>
        <w:tc>
          <w:tcPr>
            <w:tcW w:type="dxa" w:w="1512"/>
          </w:tcPr>
          <w:p>
            <w:r/>
            <w:r>
              <w:rPr>
                <w:sz w:val="16"/>
              </w:rPr>
              <w:t>2081</w:t>
            </w:r>
          </w:p>
        </w:tc>
        <w:tc>
          <w:tcPr>
            <w:tcW w:type="dxa" w:w="1512"/>
          </w:tcPr>
          <w:p>
            <w:r/>
            <w:r>
              <w:rPr>
                <w:sz w:val="16"/>
              </w:rPr>
              <w:t>1802</w:t>
            </w:r>
          </w:p>
        </w:tc>
        <w:tc>
          <w:tcPr>
            <w:tcW w:type="dxa" w:w="1512"/>
          </w:tcPr>
          <w:p>
            <w:r/>
            <w:r>
              <w:rPr>
                <w:sz w:val="16"/>
              </w:rPr>
              <w:t>3883</w:t>
            </w:r>
          </w:p>
        </w:tc>
        <w:tc>
          <w:tcPr>
            <w:tcW w:type="dxa" w:w="1512"/>
          </w:tcPr>
          <w:p>
            <w:r/>
            <w:r>
              <w:rPr>
                <w:sz w:val="16"/>
              </w:rPr>
              <w:t>0.5</w:t>
            </w:r>
          </w:p>
        </w:tc>
      </w:tr>
      <w:tr>
        <w:tc>
          <w:tcPr>
            <w:tcW w:type="dxa" w:w="1512"/>
          </w:tcPr>
          <w:p>
            <w:r/>
            <w:r>
              <w:rPr>
                <w:sz w:val="16"/>
              </w:rPr>
              <w:t>5 a 74 anos</w:t>
            </w:r>
          </w:p>
        </w:tc>
        <w:tc>
          <w:tcPr>
            <w:tcW w:type="dxa" w:w="1512"/>
          </w:tcPr>
          <w:p>
            <w:r/>
            <w:r>
              <w:rPr>
                <w:sz w:val="16"/>
              </w:rPr>
              <w:t>5477</w:t>
            </w:r>
          </w:p>
        </w:tc>
        <w:tc>
          <w:tcPr>
            <w:tcW w:type="dxa" w:w="1512"/>
          </w:tcPr>
          <w:p>
            <w:r/>
            <w:r>
              <w:rPr>
                <w:sz w:val="16"/>
              </w:rPr>
              <w:t>16654</w:t>
            </w:r>
          </w:p>
        </w:tc>
        <w:tc>
          <w:tcPr>
            <w:tcW w:type="dxa" w:w="1512"/>
          </w:tcPr>
          <w:p>
            <w:r/>
            <w:r>
              <w:rPr>
                <w:sz w:val="16"/>
              </w:rPr>
              <w:t>458845</w:t>
            </w:r>
          </w:p>
        </w:tc>
        <w:tc>
          <w:tcPr>
            <w:tcW w:type="dxa" w:w="1512"/>
          </w:tcPr>
          <w:p>
            <w:r/>
            <w:r>
              <w:rPr>
                <w:sz w:val="16"/>
              </w:rPr>
              <w:t>475499</w:t>
            </w:r>
          </w:p>
        </w:tc>
        <w:tc>
          <w:tcPr>
            <w:tcW w:type="dxa" w:w="1512"/>
          </w:tcPr>
          <w:p>
            <w:r/>
            <w:r>
              <w:rPr>
                <w:sz w:val="16"/>
              </w:rPr>
              <w:t>63.7</w:t>
            </w:r>
          </w:p>
        </w:tc>
      </w:tr>
      <w:tr>
        <w:tc>
          <w:tcPr>
            <w:tcW w:type="dxa" w:w="1512"/>
          </w:tcPr>
          <w:p>
            <w:r/>
            <w:r>
              <w:rPr>
                <w:sz w:val="16"/>
              </w:rPr>
              <w:t>75 anos ou mais</w:t>
            </w:r>
          </w:p>
        </w:tc>
        <w:tc>
          <w:tcPr>
            <w:tcW w:type="dxa" w:w="1512"/>
          </w:tcPr>
          <w:p>
            <w:r/>
            <w:r>
              <w:rPr>
                <w:sz w:val="16"/>
              </w:rPr>
              <w:t>0</w:t>
            </w:r>
          </w:p>
        </w:tc>
        <w:tc>
          <w:tcPr>
            <w:tcW w:type="dxa" w:w="1512"/>
          </w:tcPr>
          <w:p>
            <w:r/>
            <w:r>
              <w:rPr>
                <w:sz w:val="16"/>
              </w:rPr>
              <w:t>9183</w:t>
            </w:r>
          </w:p>
        </w:tc>
        <w:tc>
          <w:tcPr>
            <w:tcW w:type="dxa" w:w="1512"/>
          </w:tcPr>
          <w:p>
            <w:r/>
            <w:r>
              <w:rPr>
                <w:sz w:val="16"/>
              </w:rPr>
              <w:t>258093</w:t>
            </w:r>
          </w:p>
        </w:tc>
        <w:tc>
          <w:tcPr>
            <w:tcW w:type="dxa" w:w="1512"/>
          </w:tcPr>
          <w:p>
            <w:r/>
            <w:r>
              <w:rPr>
                <w:sz w:val="16"/>
              </w:rPr>
              <w:t>267276</w:t>
            </w:r>
          </w:p>
        </w:tc>
        <w:tc>
          <w:tcPr>
            <w:tcW w:type="dxa" w:w="1512"/>
          </w:tcPr>
          <w:p>
            <w:r/>
            <w:r>
              <w:rPr>
                <w:sz w:val="16"/>
              </w:rPr>
              <w:t>35.8</w:t>
            </w:r>
          </w:p>
        </w:tc>
      </w:tr>
      <w:tr>
        <w:tc>
          <w:tcPr>
            <w:tcW w:type="dxa" w:w="1512"/>
          </w:tcPr>
          <w:p>
            <w:r/>
            <w:r>
              <w:rPr>
                <w:sz w:val="16"/>
              </w:rPr>
              <w:t>Idade ignorada</w:t>
            </w:r>
          </w:p>
        </w:tc>
        <w:tc>
          <w:tcPr>
            <w:tcW w:type="dxa" w:w="1512"/>
          </w:tcPr>
          <w:p>
            <w:r/>
            <w:r>
              <w:rPr>
                <w:sz w:val="16"/>
              </w:rPr>
              <w:t>0</w:t>
            </w:r>
          </w:p>
        </w:tc>
        <w:tc>
          <w:tcPr>
            <w:tcW w:type="dxa" w:w="1512"/>
          </w:tcPr>
          <w:p>
            <w:r/>
            <w:r>
              <w:rPr>
                <w:sz w:val="16"/>
              </w:rPr>
              <w:t>13</w:t>
            </w:r>
          </w:p>
        </w:tc>
        <w:tc>
          <w:tcPr>
            <w:tcW w:type="dxa" w:w="1512"/>
          </w:tcPr>
          <w:p>
            <w:r/>
            <w:r>
              <w:rPr>
                <w:sz w:val="16"/>
              </w:rPr>
              <w:t>71</w:t>
            </w:r>
          </w:p>
        </w:tc>
        <w:tc>
          <w:tcPr>
            <w:tcW w:type="dxa" w:w="1512"/>
          </w:tcPr>
          <w:p>
            <w:r/>
            <w:r>
              <w:rPr>
                <w:sz w:val="16"/>
              </w:rPr>
              <w:t>84</w:t>
            </w:r>
          </w:p>
        </w:tc>
        <w:tc>
          <w:tcPr>
            <w:tcW w:type="dxa" w:w="1512"/>
          </w:tcPr>
          <w:p>
            <w:r/>
            <w:r>
              <w:rPr>
                <w:sz w:val="16"/>
              </w:rPr>
              <w:t>0.0</w:t>
            </w:r>
          </w:p>
        </w:tc>
      </w:tr>
      <w:tr>
        <w:tc>
          <w:tcPr>
            <w:tcW w:type="dxa" w:w="1512"/>
          </w:tcPr>
          <w:p>
            <w:r/>
            <w:r>
              <w:rPr>
                <w:sz w:val="16"/>
              </w:rPr>
              <w:t>Todas as idades</w:t>
            </w:r>
          </w:p>
        </w:tc>
        <w:tc>
          <w:tcPr>
            <w:tcW w:type="dxa" w:w="1512"/>
          </w:tcPr>
          <w:p>
            <w:r/>
            <w:r>
              <w:rPr>
                <w:sz w:val="16"/>
              </w:rPr>
              <w:t>5832</w:t>
            </w:r>
          </w:p>
        </w:tc>
        <w:tc>
          <w:tcPr>
            <w:tcW w:type="dxa" w:w="1512"/>
          </w:tcPr>
          <w:p>
            <w:r/>
            <w:r>
              <w:rPr>
                <w:sz w:val="16"/>
              </w:rPr>
              <w:t>27931</w:t>
            </w:r>
          </w:p>
        </w:tc>
        <w:tc>
          <w:tcPr>
            <w:tcW w:type="dxa" w:w="1512"/>
          </w:tcPr>
          <w:p>
            <w:r/>
            <w:r>
              <w:rPr>
                <w:sz w:val="16"/>
              </w:rPr>
              <w:t>718811</w:t>
            </w:r>
          </w:p>
        </w:tc>
        <w:tc>
          <w:tcPr>
            <w:tcW w:type="dxa" w:w="1512"/>
          </w:tcPr>
          <w:p>
            <w:r/>
            <w:r>
              <w:rPr>
                <w:sz w:val="16"/>
              </w:rPr>
              <w:t>746742</w:t>
            </w:r>
          </w:p>
        </w:tc>
        <w:tc>
          <w:tcPr>
            <w:tcW w:type="dxa" w:w="1512"/>
          </w:tcPr>
          <w:p>
            <w:r/>
            <w:r>
              <w:rPr>
                <w:sz w:val="16"/>
              </w:rPr>
              <w:t>100.0</w:t>
            </w:r>
          </w:p>
        </w:tc>
      </w:tr>
    </w:tbl>
    <w:p>
      <w:pPr>
        <w:spacing w:before="240" w:after="80"/>
      </w:pPr>
      <w:r>
        <w:rPr>
          <w:b/>
          <w:sz w:val="20"/>
        </w:rPr>
        <w:t>Tabela S6. Composição interna do subgrupo 1.1</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Componente</w:t>
            </w:r>
          </w:p>
        </w:tc>
        <w:tc>
          <w:tcPr>
            <w:tcW w:type="dxa" w:w="2268"/>
          </w:tcPr>
          <w:p>
            <w:r/>
            <w:r>
              <w:rPr>
                <w:b/>
                <w:sz w:val="16"/>
              </w:rPr>
              <w:t>Óbitos 2015–2024</w:t>
            </w:r>
          </w:p>
        </w:tc>
        <w:tc>
          <w:tcPr>
            <w:tcW w:type="dxa" w:w="2268"/>
          </w:tcPr>
          <w:p>
            <w:r/>
            <w:r>
              <w:rPr>
                <w:b/>
                <w:sz w:val="16"/>
              </w:rPr>
              <w:t>% do subgrupo 1.1</w:t>
            </w:r>
          </w:p>
        </w:tc>
        <w:tc>
          <w:tcPr>
            <w:tcW w:type="dxa" w:w="2268"/>
          </w:tcPr>
          <w:p>
            <w:r/>
            <w:r>
              <w:rPr>
                <w:b/>
                <w:sz w:val="16"/>
              </w:rPr>
              <w:t>Óbitos por ano</w:t>
            </w:r>
          </w:p>
        </w:tc>
      </w:tr>
      <w:tr>
        <w:tc>
          <w:tcPr>
            <w:tcW w:type="dxa" w:w="2268"/>
          </w:tcPr>
          <w:p>
            <w:r/>
            <w:r>
              <w:rPr>
                <w:sz w:val="16"/>
              </w:rPr>
              <w:t>Subgrupo 1.1, total</w:t>
            </w:r>
          </w:p>
        </w:tc>
        <w:tc>
          <w:tcPr>
            <w:tcW w:type="dxa" w:w="2268"/>
          </w:tcPr>
          <w:p>
            <w:r/>
            <w:r>
              <w:rPr>
                <w:sz w:val="16"/>
              </w:rPr>
              <w:t>5832</w:t>
            </w:r>
          </w:p>
        </w:tc>
        <w:tc>
          <w:tcPr>
            <w:tcW w:type="dxa" w:w="2268"/>
          </w:tcPr>
          <w:p>
            <w:r/>
            <w:r>
              <w:rPr>
                <w:sz w:val="16"/>
              </w:rPr>
              <w:t>100.0</w:t>
            </w:r>
          </w:p>
        </w:tc>
        <w:tc>
          <w:tcPr>
            <w:tcW w:type="dxa" w:w="2268"/>
          </w:tcPr>
          <w:p>
            <w:r/>
            <w:r>
              <w:rPr>
                <w:sz w:val="16"/>
              </w:rPr>
              <w:t>583.2</w:t>
            </w:r>
          </w:p>
        </w:tc>
      </w:tr>
      <w:tr>
        <w:tc>
          <w:tcPr>
            <w:tcW w:type="dxa" w:w="2268"/>
          </w:tcPr>
          <w:p>
            <w:r/>
            <w:r>
              <w:rPr>
                <w:sz w:val="16"/>
              </w:rPr>
              <w:t>Tuberculose miliar e do sistema nervoso, no subgrupo 1.1</w:t>
            </w:r>
          </w:p>
        </w:tc>
        <w:tc>
          <w:tcPr>
            <w:tcW w:type="dxa" w:w="2268"/>
          </w:tcPr>
          <w:p>
            <w:r/>
            <w:r>
              <w:rPr>
                <w:sz w:val="16"/>
              </w:rPr>
              <w:t>3189</w:t>
            </w:r>
          </w:p>
        </w:tc>
        <w:tc>
          <w:tcPr>
            <w:tcW w:type="dxa" w:w="2268"/>
          </w:tcPr>
          <w:p>
            <w:r/>
            <w:r>
              <w:rPr>
                <w:sz w:val="16"/>
              </w:rPr>
              <w:t>54.7</w:t>
            </w:r>
          </w:p>
        </w:tc>
        <w:tc>
          <w:tcPr>
            <w:tcW w:type="dxa" w:w="2268"/>
          </w:tcPr>
          <w:p>
            <w:r/>
            <w:r>
              <w:rPr>
                <w:sz w:val="16"/>
              </w:rPr>
              <w:t>318.9</w:t>
            </w:r>
          </w:p>
        </w:tc>
      </w:tr>
      <w:tr>
        <w:tc>
          <w:tcPr>
            <w:tcW w:type="dxa" w:w="2268"/>
          </w:tcPr>
          <w:p>
            <w:r/>
            <w:r>
              <w:rPr>
                <w:sz w:val="16"/>
              </w:rPr>
              <w:t>… destes, em menores de 5 anos (idade da indicação da BCG)</w:t>
            </w:r>
          </w:p>
        </w:tc>
        <w:tc>
          <w:tcPr>
            <w:tcW w:type="dxa" w:w="2268"/>
          </w:tcPr>
          <w:p>
            <w:r/>
            <w:r>
              <w:rPr>
                <w:sz w:val="16"/>
              </w:rPr>
              <w:t>97</w:t>
            </w:r>
          </w:p>
        </w:tc>
        <w:tc>
          <w:tcPr>
            <w:tcW w:type="dxa" w:w="2268"/>
          </w:tcPr>
          <w:p>
            <w:r/>
            <w:r>
              <w:rPr>
                <w:sz w:val="16"/>
              </w:rPr>
              <w:t>1.7</w:t>
            </w:r>
          </w:p>
        </w:tc>
        <w:tc>
          <w:tcPr>
            <w:tcW w:type="dxa" w:w="2268"/>
          </w:tcPr>
          <w:p>
            <w:r/>
            <w:r>
              <w:rPr>
                <w:sz w:val="16"/>
              </w:rPr>
              <w:t>9.7</w:t>
            </w:r>
          </w:p>
        </w:tc>
      </w:tr>
      <w:tr>
        <w:tc>
          <w:tcPr>
            <w:tcW w:type="dxa" w:w="2268"/>
          </w:tcPr>
          <w:p>
            <w:r/>
            <w:r>
              <w:rPr>
                <w:sz w:val="16"/>
              </w:rPr>
              <w:t>… destes, em 5 a 74 anos (relação com a BCG infantil incerta)</w:t>
            </w:r>
          </w:p>
        </w:tc>
        <w:tc>
          <w:tcPr>
            <w:tcW w:type="dxa" w:w="2268"/>
          </w:tcPr>
          <w:p>
            <w:r/>
            <w:r>
              <w:rPr>
                <w:sz w:val="16"/>
              </w:rPr>
              <w:t>3092</w:t>
            </w:r>
          </w:p>
        </w:tc>
        <w:tc>
          <w:tcPr>
            <w:tcW w:type="dxa" w:w="2268"/>
          </w:tcPr>
          <w:p>
            <w:r/>
            <w:r>
              <w:rPr>
                <w:sz w:val="16"/>
              </w:rPr>
              <w:t>53.0</w:t>
            </w:r>
          </w:p>
        </w:tc>
        <w:tc>
          <w:tcPr>
            <w:tcW w:type="dxa" w:w="2268"/>
          </w:tcPr>
          <w:p>
            <w:r/>
            <w:r>
              <w:rPr>
                <w:sz w:val="16"/>
              </w:rPr>
              <w:t>309.2</w:t>
            </w:r>
          </w:p>
        </w:tc>
      </w:tr>
      <w:tr>
        <w:tc>
          <w:tcPr>
            <w:tcW w:type="dxa" w:w="2268"/>
          </w:tcPr>
          <w:p>
            <w:r/>
            <w:r>
              <w:rPr>
                <w:sz w:val="16"/>
              </w:rPr>
              <w:t>Subgrupo 1.1 excluída a tuberculose</w:t>
            </w:r>
          </w:p>
        </w:tc>
        <w:tc>
          <w:tcPr>
            <w:tcW w:type="dxa" w:w="2268"/>
          </w:tcPr>
          <w:p>
            <w:r/>
            <w:r>
              <w:rPr>
                <w:sz w:val="16"/>
              </w:rPr>
              <w:t>2643</w:t>
            </w:r>
          </w:p>
        </w:tc>
        <w:tc>
          <w:tcPr>
            <w:tcW w:type="dxa" w:w="2268"/>
          </w:tcPr>
          <w:p>
            <w:r/>
            <w:r>
              <w:rPr>
                <w:sz w:val="16"/>
              </w:rPr>
              <w:t>45.3</w:t>
            </w:r>
          </w:p>
        </w:tc>
        <w:tc>
          <w:tcPr>
            <w:tcW w:type="dxa" w:w="2268"/>
          </w:tcPr>
          <w:p>
            <w:r/>
            <w:r>
              <w:rPr>
                <w:sz w:val="16"/>
              </w:rPr>
              <w:t>264.3</w:t>
            </w:r>
          </w:p>
        </w:tc>
      </w:tr>
    </w:tbl>
    <w:p>
      <w:pPr>
        <w:spacing w:before="240" w:after="80"/>
      </w:pPr>
      <w:r>
        <w:rPr>
          <w:b/>
          <w:sz w:val="20"/>
        </w:rPr>
        <w:t>Tabela S7. Óbitos por causas com vacina disponível, 2015–2024, com o ano de entrada da vacina na rede pública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Causa</w:t>
            </w:r>
          </w:p>
        </w:tc>
        <w:tc>
          <w:tcPr>
            <w:tcW w:type="dxa" w:w="1814"/>
          </w:tcPr>
          <w:p>
            <w:r/>
            <w:r>
              <w:rPr>
                <w:b/>
                <w:sz w:val="16"/>
              </w:rPr>
              <w:t>Disponibilidade da vacina</w:t>
            </w:r>
          </w:p>
        </w:tc>
        <w:tc>
          <w:tcPr>
            <w:tcW w:type="dxa" w:w="1814"/>
          </w:tcPr>
          <w:p>
            <w:r/>
            <w:r>
              <w:rPr>
                <w:b/>
                <w:sz w:val="16"/>
              </w:rPr>
              <w:t>Óbitos 2015–2024</w:t>
            </w:r>
          </w:p>
        </w:tc>
        <w:tc>
          <w:tcPr>
            <w:tcW w:type="dxa" w:w="1814"/>
          </w:tcPr>
          <w:p>
            <w:r/>
            <w:r>
              <w:rPr>
                <w:b/>
                <w:sz w:val="16"/>
              </w:rPr>
              <w:t>2024</w:t>
            </w:r>
          </w:p>
        </w:tc>
        <w:tc>
          <w:tcPr>
            <w:tcW w:type="dxa" w:w="1814"/>
          </w:tcPr>
          <w:p>
            <w:r/>
            <w:r>
              <w:rPr>
                <w:b/>
                <w:sz w:val="16"/>
              </w:rPr>
              <w:t>2025 (preliminar)</w:t>
            </w:r>
          </w:p>
        </w:tc>
      </w:tr>
      <w:tr>
        <w:tc>
          <w:tcPr>
            <w:tcW w:type="dxa" w:w="1814"/>
          </w:tcPr>
          <w:p>
            <w:r/>
            <w:r>
              <w:rPr>
                <w:sz w:val="16"/>
              </w:rPr>
              <w:t>COVID-19</w:t>
            </w:r>
          </w:p>
        </w:tc>
        <w:tc>
          <w:tcPr>
            <w:tcW w:type="dxa" w:w="1814"/>
          </w:tcPr>
          <w:p>
            <w:r/>
            <w:r>
              <w:rPr>
                <w:sz w:val="16"/>
              </w:rPr>
              <w:t>PNI a partir de 2021</w:t>
            </w:r>
          </w:p>
        </w:tc>
        <w:tc>
          <w:tcPr>
            <w:tcW w:type="dxa" w:w="1814"/>
          </w:tcPr>
          <w:p>
            <w:r/>
            <w:r>
              <w:rPr>
                <w:sz w:val="16"/>
              </w:rPr>
              <w:t>718811</w:t>
            </w:r>
          </w:p>
        </w:tc>
        <w:tc>
          <w:tcPr>
            <w:tcW w:type="dxa" w:w="1814"/>
          </w:tcPr>
          <w:p>
            <w:r/>
            <w:r>
              <w:rPr>
                <w:sz w:val="16"/>
              </w:rPr>
              <w:t>5605</w:t>
            </w:r>
          </w:p>
        </w:tc>
        <w:tc>
          <w:tcPr>
            <w:tcW w:type="dxa" w:w="1814"/>
          </w:tcPr>
          <w:p>
            <w:r/>
            <w:r>
              <w:rPr>
                <w:sz w:val="16"/>
              </w:rPr>
              <w:t>2568</w:t>
            </w:r>
          </w:p>
        </w:tc>
      </w:tr>
      <w:tr>
        <w:tc>
          <w:tcPr>
            <w:tcW w:type="dxa" w:w="1814"/>
          </w:tcPr>
          <w:p>
            <w:r/>
            <w:r>
              <w:rPr>
                <w:sz w:val="16"/>
              </w:rPr>
              <w:t>Influenza</w:t>
            </w:r>
          </w:p>
        </w:tc>
        <w:tc>
          <w:tcPr>
            <w:tcW w:type="dxa" w:w="1814"/>
          </w:tcPr>
          <w:p>
            <w:r/>
            <w:r>
              <w:rPr>
                <w:sz w:val="16"/>
              </w:rPr>
              <w:t>campanha anual desde 1999</w:t>
            </w:r>
          </w:p>
        </w:tc>
        <w:tc>
          <w:tcPr>
            <w:tcW w:type="dxa" w:w="1814"/>
          </w:tcPr>
          <w:p>
            <w:r/>
            <w:r>
              <w:rPr>
                <w:sz w:val="16"/>
              </w:rPr>
              <w:t>14622</w:t>
            </w:r>
          </w:p>
        </w:tc>
        <w:tc>
          <w:tcPr>
            <w:tcW w:type="dxa" w:w="1814"/>
          </w:tcPr>
          <w:p>
            <w:r/>
            <w:r>
              <w:rPr>
                <w:sz w:val="16"/>
              </w:rPr>
              <w:t>2458</w:t>
            </w:r>
          </w:p>
        </w:tc>
        <w:tc>
          <w:tcPr>
            <w:tcW w:type="dxa" w:w="1814"/>
          </w:tcPr>
          <w:p>
            <w:r/>
            <w:r>
              <w:rPr>
                <w:sz w:val="16"/>
              </w:rPr>
              <w:t>4575</w:t>
            </w:r>
          </w:p>
        </w:tc>
      </w:tr>
      <w:tr>
        <w:tc>
          <w:tcPr>
            <w:tcW w:type="dxa" w:w="1814"/>
          </w:tcPr>
          <w:p>
            <w:r/>
            <w:r>
              <w:rPr>
                <w:sz w:val="16"/>
              </w:rPr>
              <w:t>Tuberculose miliar e do SNC</w:t>
            </w:r>
          </w:p>
        </w:tc>
        <w:tc>
          <w:tcPr>
            <w:tcW w:type="dxa" w:w="1814"/>
          </w:tcPr>
          <w:p>
            <w:r/>
            <w:r>
              <w:rPr>
                <w:sz w:val="16"/>
              </w:rPr>
              <w:t>BCG (formas graves na criança)</w:t>
            </w:r>
          </w:p>
        </w:tc>
        <w:tc>
          <w:tcPr>
            <w:tcW w:type="dxa" w:w="1814"/>
          </w:tcPr>
          <w:p>
            <w:r/>
            <w:r>
              <w:rPr>
                <w:sz w:val="16"/>
              </w:rPr>
              <w:t>3511</w:t>
            </w:r>
          </w:p>
        </w:tc>
        <w:tc>
          <w:tcPr>
            <w:tcW w:type="dxa" w:w="1814"/>
          </w:tcPr>
          <w:p>
            <w:r/>
            <w:r>
              <w:rPr>
                <w:sz w:val="16"/>
              </w:rPr>
              <w:t>425</w:t>
            </w:r>
          </w:p>
        </w:tc>
        <w:tc>
          <w:tcPr>
            <w:tcW w:type="dxa" w:w="1814"/>
          </w:tcPr>
          <w:p>
            <w:r/>
            <w:r>
              <w:rPr>
                <w:sz w:val="16"/>
              </w:rPr>
              <w:t>491</w:t>
            </w:r>
          </w:p>
        </w:tc>
      </w:tr>
      <w:tr>
        <w:tc>
          <w:tcPr>
            <w:tcW w:type="dxa" w:w="1814"/>
          </w:tcPr>
          <w:p>
            <w:r/>
            <w:r>
              <w:rPr>
                <w:sz w:val="16"/>
              </w:rPr>
              <w:t>Hepatite B aguda e viral congênita</w:t>
            </w:r>
          </w:p>
        </w:tc>
        <w:tc>
          <w:tcPr>
            <w:tcW w:type="dxa" w:w="1814"/>
          </w:tcPr>
          <w:p>
            <w:r/>
            <w:r>
              <w:rPr>
                <w:sz w:val="16"/>
              </w:rPr>
              <w:t>PNI (todo o período)</w:t>
            </w:r>
          </w:p>
        </w:tc>
        <w:tc>
          <w:tcPr>
            <w:tcW w:type="dxa" w:w="1814"/>
          </w:tcPr>
          <w:p>
            <w:r/>
            <w:r>
              <w:rPr>
                <w:sz w:val="16"/>
              </w:rPr>
              <w:t>2027</w:t>
            </w:r>
          </w:p>
        </w:tc>
        <w:tc>
          <w:tcPr>
            <w:tcW w:type="dxa" w:w="1814"/>
          </w:tcPr>
          <w:p>
            <w:r/>
            <w:r>
              <w:rPr>
                <w:sz w:val="16"/>
              </w:rPr>
              <w:t>181</w:t>
            </w:r>
          </w:p>
        </w:tc>
        <w:tc>
          <w:tcPr>
            <w:tcW w:type="dxa" w:w="1814"/>
          </w:tcPr>
          <w:p>
            <w:r/>
            <w:r>
              <w:rPr>
                <w:sz w:val="16"/>
              </w:rPr>
              <w:t>171</w:t>
            </w:r>
          </w:p>
        </w:tc>
      </w:tr>
      <w:tr>
        <w:tc>
          <w:tcPr>
            <w:tcW w:type="dxa" w:w="1814"/>
          </w:tcPr>
          <w:p>
            <w:r/>
            <w:r>
              <w:rPr>
                <w:sz w:val="16"/>
              </w:rPr>
              <w:t>Doença meningocócica</w:t>
            </w:r>
          </w:p>
        </w:tc>
        <w:tc>
          <w:tcPr>
            <w:tcW w:type="dxa" w:w="1814"/>
          </w:tcPr>
          <w:p>
            <w:r/>
            <w:r>
              <w:rPr>
                <w:sz w:val="16"/>
              </w:rPr>
              <w:t>PNI (MenC 2010; ACWY 2020)</w:t>
            </w:r>
          </w:p>
        </w:tc>
        <w:tc>
          <w:tcPr>
            <w:tcW w:type="dxa" w:w="1814"/>
          </w:tcPr>
          <w:p>
            <w:r/>
            <w:r>
              <w:rPr>
                <w:sz w:val="16"/>
              </w:rPr>
              <w:t>1531</w:t>
            </w:r>
          </w:p>
        </w:tc>
        <w:tc>
          <w:tcPr>
            <w:tcW w:type="dxa" w:w="1814"/>
          </w:tcPr>
          <w:p>
            <w:r/>
            <w:r>
              <w:rPr>
                <w:sz w:val="16"/>
              </w:rPr>
              <w:t>140</w:t>
            </w:r>
          </w:p>
        </w:tc>
        <w:tc>
          <w:tcPr>
            <w:tcW w:type="dxa" w:w="1814"/>
          </w:tcPr>
          <w:p>
            <w:r/>
            <w:r>
              <w:rPr>
                <w:sz w:val="16"/>
              </w:rPr>
              <w:t>183</w:t>
            </w:r>
          </w:p>
        </w:tc>
      </w:tr>
      <w:tr>
        <w:tc>
          <w:tcPr>
            <w:tcW w:type="dxa" w:w="1814"/>
          </w:tcPr>
          <w:p>
            <w:r/>
            <w:r>
              <w:rPr>
                <w:sz w:val="16"/>
              </w:rPr>
              <w:t>Herpes zoster</w:t>
            </w:r>
          </w:p>
        </w:tc>
        <w:tc>
          <w:tcPr>
            <w:tcW w:type="dxa" w:w="1814"/>
          </w:tcPr>
          <w:p>
            <w:r/>
            <w:r>
              <w:rPr>
                <w:sz w:val="16"/>
              </w:rPr>
              <w:t>FORA do PNI (rede privada)</w:t>
            </w:r>
          </w:p>
        </w:tc>
        <w:tc>
          <w:tcPr>
            <w:tcW w:type="dxa" w:w="1814"/>
          </w:tcPr>
          <w:p>
            <w:r/>
            <w:r>
              <w:rPr>
                <w:sz w:val="16"/>
              </w:rPr>
              <w:t>1243</w:t>
            </w:r>
          </w:p>
        </w:tc>
        <w:tc>
          <w:tcPr>
            <w:tcW w:type="dxa" w:w="1814"/>
          </w:tcPr>
          <w:p>
            <w:r/>
            <w:r>
              <w:rPr>
                <w:sz w:val="16"/>
              </w:rPr>
              <w:t>181</w:t>
            </w:r>
          </w:p>
        </w:tc>
        <w:tc>
          <w:tcPr>
            <w:tcW w:type="dxa" w:w="1814"/>
          </w:tcPr>
          <w:p>
            <w:r/>
            <w:r>
              <w:rPr>
                <w:sz w:val="16"/>
              </w:rPr>
              <w:t>196</w:t>
            </w:r>
          </w:p>
        </w:tc>
      </w:tr>
      <w:tr>
        <w:tc>
          <w:tcPr>
            <w:tcW w:type="dxa" w:w="1814"/>
          </w:tcPr>
          <w:p>
            <w:r/>
            <w:r>
              <w:rPr>
                <w:sz w:val="16"/>
              </w:rPr>
              <w:t>Meningite pneumocócica</w:t>
            </w:r>
          </w:p>
        </w:tc>
        <w:tc>
          <w:tcPr>
            <w:tcW w:type="dxa" w:w="1814"/>
          </w:tcPr>
          <w:p>
            <w:r/>
            <w:r>
              <w:rPr>
                <w:sz w:val="16"/>
              </w:rPr>
              <w:t>PNI (VPC10 2010; VPP23 idosos)</w:t>
            </w:r>
          </w:p>
        </w:tc>
        <w:tc>
          <w:tcPr>
            <w:tcW w:type="dxa" w:w="1814"/>
          </w:tcPr>
          <w:p>
            <w:r/>
            <w:r>
              <w:rPr>
                <w:sz w:val="16"/>
              </w:rPr>
              <w:t>1121</w:t>
            </w:r>
          </w:p>
        </w:tc>
        <w:tc>
          <w:tcPr>
            <w:tcW w:type="dxa" w:w="1814"/>
          </w:tcPr>
          <w:p>
            <w:r/>
            <w:r>
              <w:rPr>
                <w:sz w:val="16"/>
              </w:rPr>
              <w:t>182</w:t>
            </w:r>
          </w:p>
        </w:tc>
        <w:tc>
          <w:tcPr>
            <w:tcW w:type="dxa" w:w="1814"/>
          </w:tcPr>
          <w:p>
            <w:r/>
            <w:r>
              <w:rPr>
                <w:sz w:val="16"/>
              </w:rPr>
              <w:t>186</w:t>
            </w:r>
          </w:p>
        </w:tc>
      </w:tr>
      <w:tr>
        <w:tc>
          <w:tcPr>
            <w:tcW w:type="dxa" w:w="1814"/>
          </w:tcPr>
          <w:p>
            <w:r/>
            <w:r>
              <w:rPr>
                <w:sz w:val="16"/>
              </w:rPr>
              <w:t>Pneumonia pneumocócica</w:t>
            </w:r>
          </w:p>
        </w:tc>
        <w:tc>
          <w:tcPr>
            <w:tcW w:type="dxa" w:w="1814"/>
          </w:tcPr>
          <w:p>
            <w:r/>
            <w:r>
              <w:rPr>
                <w:sz w:val="16"/>
              </w:rPr>
              <w:t>PNI (VPC10 2010; VPP23 idosos)</w:t>
            </w:r>
          </w:p>
        </w:tc>
        <w:tc>
          <w:tcPr>
            <w:tcW w:type="dxa" w:w="1814"/>
          </w:tcPr>
          <w:p>
            <w:r/>
            <w:r>
              <w:rPr>
                <w:sz w:val="16"/>
              </w:rPr>
              <w:t>809</w:t>
            </w:r>
          </w:p>
        </w:tc>
        <w:tc>
          <w:tcPr>
            <w:tcW w:type="dxa" w:w="1814"/>
          </w:tcPr>
          <w:p>
            <w:r/>
            <w:r>
              <w:rPr>
                <w:sz w:val="16"/>
              </w:rPr>
              <w:t>62</w:t>
            </w:r>
          </w:p>
        </w:tc>
        <w:tc>
          <w:tcPr>
            <w:tcW w:type="dxa" w:w="1814"/>
          </w:tcPr>
          <w:p>
            <w:r/>
            <w:r>
              <w:rPr>
                <w:sz w:val="16"/>
              </w:rPr>
              <w:t>85</w:t>
            </w:r>
          </w:p>
        </w:tc>
      </w:tr>
      <w:tr>
        <w:tc>
          <w:tcPr>
            <w:tcW w:type="dxa" w:w="1814"/>
          </w:tcPr>
          <w:p>
            <w:r/>
            <w:r>
              <w:rPr>
                <w:sz w:val="16"/>
              </w:rPr>
              <w:t>Sepse pneumocócica</w:t>
            </w:r>
          </w:p>
        </w:tc>
        <w:tc>
          <w:tcPr>
            <w:tcW w:type="dxa" w:w="1814"/>
          </w:tcPr>
          <w:p>
            <w:r/>
            <w:r>
              <w:rPr>
                <w:sz w:val="16"/>
              </w:rPr>
              <w:t>PNI (VPC10 2010; VPP23 idosos)</w:t>
            </w:r>
          </w:p>
        </w:tc>
        <w:tc>
          <w:tcPr>
            <w:tcW w:type="dxa" w:w="1814"/>
          </w:tcPr>
          <w:p>
            <w:r/>
            <w:r>
              <w:rPr>
                <w:sz w:val="16"/>
              </w:rPr>
              <w:t>793</w:t>
            </w:r>
          </w:p>
        </w:tc>
        <w:tc>
          <w:tcPr>
            <w:tcW w:type="dxa" w:w="1814"/>
          </w:tcPr>
          <w:p>
            <w:r/>
            <w:r>
              <w:rPr>
                <w:sz w:val="16"/>
              </w:rPr>
              <w:t>81</w:t>
            </w:r>
          </w:p>
        </w:tc>
        <w:tc>
          <w:tcPr>
            <w:tcW w:type="dxa" w:w="1814"/>
          </w:tcPr>
          <w:p>
            <w:r/>
            <w:r>
              <w:rPr>
                <w:sz w:val="16"/>
              </w:rPr>
              <w:t>49</w:t>
            </w:r>
          </w:p>
        </w:tc>
      </w:tr>
      <w:tr>
        <w:tc>
          <w:tcPr>
            <w:tcW w:type="dxa" w:w="1814"/>
          </w:tcPr>
          <w:p>
            <w:r/>
            <w:r>
              <w:rPr>
                <w:sz w:val="16"/>
              </w:rPr>
              <w:t>Tétano</w:t>
            </w:r>
          </w:p>
        </w:tc>
        <w:tc>
          <w:tcPr>
            <w:tcW w:type="dxa" w:w="1814"/>
          </w:tcPr>
          <w:p>
            <w:r/>
            <w:r>
              <w:rPr>
                <w:sz w:val="16"/>
              </w:rPr>
              <w:t>PNI (todo o período)</w:t>
            </w:r>
          </w:p>
        </w:tc>
        <w:tc>
          <w:tcPr>
            <w:tcW w:type="dxa" w:w="1814"/>
          </w:tcPr>
          <w:p>
            <w:r/>
            <w:r>
              <w:rPr>
                <w:sz w:val="16"/>
              </w:rPr>
              <w:t>696</w:t>
            </w:r>
          </w:p>
        </w:tc>
        <w:tc>
          <w:tcPr>
            <w:tcW w:type="dxa" w:w="1814"/>
          </w:tcPr>
          <w:p>
            <w:r/>
            <w:r>
              <w:rPr>
                <w:sz w:val="16"/>
              </w:rPr>
              <w:t>58</w:t>
            </w:r>
          </w:p>
        </w:tc>
        <w:tc>
          <w:tcPr>
            <w:tcW w:type="dxa" w:w="1814"/>
          </w:tcPr>
          <w:p>
            <w:r/>
            <w:r>
              <w:rPr>
                <w:sz w:val="16"/>
              </w:rPr>
              <w:t>50</w:t>
            </w:r>
          </w:p>
        </w:tc>
      </w:tr>
      <w:tr>
        <w:tc>
          <w:tcPr>
            <w:tcW w:type="dxa" w:w="1814"/>
          </w:tcPr>
          <w:p>
            <w:r/>
            <w:r>
              <w:rPr>
                <w:sz w:val="16"/>
              </w:rPr>
              <w:t>Febre amarela</w:t>
            </w:r>
          </w:p>
        </w:tc>
        <w:tc>
          <w:tcPr>
            <w:tcW w:type="dxa" w:w="1814"/>
          </w:tcPr>
          <w:p>
            <w:r/>
            <w:r>
              <w:rPr>
                <w:sz w:val="16"/>
              </w:rPr>
              <w:t>PNI (área ampliada 2017-2020)</w:t>
            </w:r>
          </w:p>
        </w:tc>
        <w:tc>
          <w:tcPr>
            <w:tcW w:type="dxa" w:w="1814"/>
          </w:tcPr>
          <w:p>
            <w:r/>
            <w:r>
              <w:rPr>
                <w:sz w:val="16"/>
              </w:rPr>
              <w:t>500</w:t>
            </w:r>
          </w:p>
        </w:tc>
        <w:tc>
          <w:tcPr>
            <w:tcW w:type="dxa" w:w="1814"/>
          </w:tcPr>
          <w:p>
            <w:r/>
            <w:r>
              <w:rPr>
                <w:sz w:val="16"/>
              </w:rPr>
              <w:t>3</w:t>
            </w:r>
          </w:p>
        </w:tc>
        <w:tc>
          <w:tcPr>
            <w:tcW w:type="dxa" w:w="1814"/>
          </w:tcPr>
          <w:p>
            <w:r/>
            <w:r>
              <w:rPr>
                <w:sz w:val="16"/>
              </w:rPr>
              <w:t>41</w:t>
            </w:r>
          </w:p>
        </w:tc>
      </w:tr>
      <w:tr>
        <w:tc>
          <w:tcPr>
            <w:tcW w:type="dxa" w:w="1814"/>
          </w:tcPr>
          <w:p>
            <w:r/>
            <w:r>
              <w:rPr>
                <w:sz w:val="16"/>
              </w:rPr>
              <w:t>Varicela</w:t>
            </w:r>
          </w:p>
        </w:tc>
        <w:tc>
          <w:tcPr>
            <w:tcW w:type="dxa" w:w="1814"/>
          </w:tcPr>
          <w:p>
            <w:r/>
            <w:r>
              <w:rPr>
                <w:sz w:val="16"/>
              </w:rPr>
              <w:t>PNI a partir de 2013</w:t>
            </w:r>
          </w:p>
        </w:tc>
        <w:tc>
          <w:tcPr>
            <w:tcW w:type="dxa" w:w="1814"/>
          </w:tcPr>
          <w:p>
            <w:r/>
            <w:r>
              <w:rPr>
                <w:sz w:val="16"/>
              </w:rPr>
              <w:t>408</w:t>
            </w:r>
          </w:p>
        </w:tc>
        <w:tc>
          <w:tcPr>
            <w:tcW w:type="dxa" w:w="1814"/>
          </w:tcPr>
          <w:p>
            <w:r/>
            <w:r>
              <w:rPr>
                <w:sz w:val="16"/>
              </w:rPr>
              <w:t>29</w:t>
            </w:r>
          </w:p>
        </w:tc>
        <w:tc>
          <w:tcPr>
            <w:tcW w:type="dxa" w:w="1814"/>
          </w:tcPr>
          <w:p>
            <w:r/>
            <w:r>
              <w:rPr>
                <w:sz w:val="16"/>
              </w:rPr>
              <w:t>13</w:t>
            </w:r>
          </w:p>
        </w:tc>
      </w:tr>
      <w:tr>
        <w:tc>
          <w:tcPr>
            <w:tcW w:type="dxa" w:w="1814"/>
          </w:tcPr>
          <w:p>
            <w:r/>
            <w:r>
              <w:rPr>
                <w:sz w:val="16"/>
              </w:rPr>
              <w:t>Sepse/pneumonia Haemophilus</w:t>
            </w:r>
          </w:p>
        </w:tc>
        <w:tc>
          <w:tcPr>
            <w:tcW w:type="dxa" w:w="1814"/>
          </w:tcPr>
          <w:p>
            <w:r/>
            <w:r>
              <w:rPr>
                <w:sz w:val="16"/>
              </w:rPr>
              <w:t>PNI (Hib 1999)</w:t>
            </w:r>
          </w:p>
        </w:tc>
        <w:tc>
          <w:tcPr>
            <w:tcW w:type="dxa" w:w="1814"/>
          </w:tcPr>
          <w:p>
            <w:r/>
            <w:r>
              <w:rPr>
                <w:sz w:val="16"/>
              </w:rPr>
              <w:t>146</w:t>
            </w:r>
          </w:p>
        </w:tc>
        <w:tc>
          <w:tcPr>
            <w:tcW w:type="dxa" w:w="1814"/>
          </w:tcPr>
          <w:p>
            <w:r/>
            <w:r>
              <w:rPr>
                <w:sz w:val="16"/>
              </w:rPr>
              <w:t>31</w:t>
            </w:r>
          </w:p>
        </w:tc>
        <w:tc>
          <w:tcPr>
            <w:tcW w:type="dxa" w:w="1814"/>
          </w:tcPr>
          <w:p>
            <w:r/>
            <w:r>
              <w:rPr>
                <w:sz w:val="16"/>
              </w:rPr>
              <w:t>24</w:t>
            </w:r>
          </w:p>
        </w:tc>
      </w:tr>
      <w:tr>
        <w:tc>
          <w:tcPr>
            <w:tcW w:type="dxa" w:w="1814"/>
          </w:tcPr>
          <w:p>
            <w:r/>
            <w:r>
              <w:rPr>
                <w:sz w:val="16"/>
              </w:rPr>
              <w:t>Coqueluche</w:t>
            </w:r>
          </w:p>
        </w:tc>
        <w:tc>
          <w:tcPr>
            <w:tcW w:type="dxa" w:w="1814"/>
          </w:tcPr>
          <w:p>
            <w:r/>
            <w:r>
              <w:rPr>
                <w:sz w:val="16"/>
              </w:rPr>
              <w:t>PNI (dTpa gestante 2014)</w:t>
            </w:r>
          </w:p>
        </w:tc>
        <w:tc>
          <w:tcPr>
            <w:tcW w:type="dxa" w:w="1814"/>
          </w:tcPr>
          <w:p>
            <w:r/>
            <w:r>
              <w:rPr>
                <w:sz w:val="16"/>
              </w:rPr>
              <w:t>110</w:t>
            </w:r>
          </w:p>
        </w:tc>
        <w:tc>
          <w:tcPr>
            <w:tcW w:type="dxa" w:w="1814"/>
          </w:tcPr>
          <w:p>
            <w:r/>
            <w:r>
              <w:rPr>
                <w:sz w:val="16"/>
              </w:rPr>
              <w:t>22</w:t>
            </w:r>
          </w:p>
        </w:tc>
        <w:tc>
          <w:tcPr>
            <w:tcW w:type="dxa" w:w="1814"/>
          </w:tcPr>
          <w:p>
            <w:r/>
            <w:r>
              <w:rPr>
                <w:sz w:val="16"/>
              </w:rPr>
              <w:t>9</w:t>
            </w:r>
          </w:p>
        </w:tc>
      </w:tr>
      <w:tr>
        <w:tc>
          <w:tcPr>
            <w:tcW w:type="dxa" w:w="1814"/>
          </w:tcPr>
          <w:p>
            <w:r/>
            <w:r>
              <w:rPr>
                <w:sz w:val="16"/>
              </w:rPr>
              <w:t>Meningite por Haemophilus</w:t>
            </w:r>
          </w:p>
        </w:tc>
        <w:tc>
          <w:tcPr>
            <w:tcW w:type="dxa" w:w="1814"/>
          </w:tcPr>
          <w:p>
            <w:r/>
            <w:r>
              <w:rPr>
                <w:sz w:val="16"/>
              </w:rPr>
              <w:t>PNI (Hib 1999)</w:t>
            </w:r>
          </w:p>
        </w:tc>
        <w:tc>
          <w:tcPr>
            <w:tcW w:type="dxa" w:w="1814"/>
          </w:tcPr>
          <w:p>
            <w:r/>
            <w:r>
              <w:rPr>
                <w:sz w:val="16"/>
              </w:rPr>
              <w:t>108</w:t>
            </w:r>
          </w:p>
        </w:tc>
        <w:tc>
          <w:tcPr>
            <w:tcW w:type="dxa" w:w="1814"/>
          </w:tcPr>
          <w:p>
            <w:r/>
            <w:r>
              <w:rPr>
                <w:sz w:val="16"/>
              </w:rPr>
              <w:t>16</w:t>
            </w:r>
          </w:p>
        </w:tc>
        <w:tc>
          <w:tcPr>
            <w:tcW w:type="dxa" w:w="1814"/>
          </w:tcPr>
          <w:p>
            <w:r/>
            <w:r>
              <w:rPr>
                <w:sz w:val="16"/>
              </w:rPr>
              <w:t>13</w:t>
            </w:r>
          </w:p>
        </w:tc>
      </w:tr>
      <w:tr>
        <w:tc>
          <w:tcPr>
            <w:tcW w:type="dxa" w:w="1814"/>
          </w:tcPr>
          <w:p>
            <w:r/>
            <w:r>
              <w:rPr>
                <w:sz w:val="16"/>
              </w:rPr>
              <w:t>Caxumba</w:t>
            </w:r>
          </w:p>
        </w:tc>
        <w:tc>
          <w:tcPr>
            <w:tcW w:type="dxa" w:w="1814"/>
          </w:tcPr>
          <w:p>
            <w:r/>
            <w:r>
              <w:rPr>
                <w:sz w:val="16"/>
              </w:rPr>
              <w:t>PNI (todo o período)</w:t>
            </w:r>
          </w:p>
        </w:tc>
        <w:tc>
          <w:tcPr>
            <w:tcW w:type="dxa" w:w="1814"/>
          </w:tcPr>
          <w:p>
            <w:r/>
            <w:r>
              <w:rPr>
                <w:sz w:val="16"/>
              </w:rPr>
              <w:t>105</w:t>
            </w:r>
          </w:p>
        </w:tc>
        <w:tc>
          <w:tcPr>
            <w:tcW w:type="dxa" w:w="1814"/>
          </w:tcPr>
          <w:p>
            <w:r/>
            <w:r>
              <w:rPr>
                <w:sz w:val="16"/>
              </w:rPr>
              <w:t>15</w:t>
            </w:r>
          </w:p>
        </w:tc>
        <w:tc>
          <w:tcPr>
            <w:tcW w:type="dxa" w:w="1814"/>
          </w:tcPr>
          <w:p>
            <w:r/>
            <w:r>
              <w:rPr>
                <w:sz w:val="16"/>
              </w:rPr>
              <w:t>11</w:t>
            </w:r>
          </w:p>
        </w:tc>
      </w:tr>
      <w:tr>
        <w:tc>
          <w:tcPr>
            <w:tcW w:type="dxa" w:w="1814"/>
          </w:tcPr>
          <w:p>
            <w:r/>
            <w:r>
              <w:rPr>
                <w:sz w:val="16"/>
              </w:rPr>
              <w:t>Rubéola e SRC</w:t>
            </w:r>
          </w:p>
        </w:tc>
        <w:tc>
          <w:tcPr>
            <w:tcW w:type="dxa" w:w="1814"/>
          </w:tcPr>
          <w:p>
            <w:r/>
            <w:r>
              <w:rPr>
                <w:sz w:val="16"/>
              </w:rPr>
              <w:t>PNI (todo o período)</w:t>
            </w:r>
          </w:p>
        </w:tc>
        <w:tc>
          <w:tcPr>
            <w:tcW w:type="dxa" w:w="1814"/>
          </w:tcPr>
          <w:p>
            <w:r/>
            <w:r>
              <w:rPr>
                <w:sz w:val="16"/>
              </w:rPr>
              <w:t>46</w:t>
            </w:r>
          </w:p>
        </w:tc>
        <w:tc>
          <w:tcPr>
            <w:tcW w:type="dxa" w:w="1814"/>
          </w:tcPr>
          <w:p>
            <w:r/>
            <w:r>
              <w:rPr>
                <w:sz w:val="16"/>
              </w:rPr>
              <w:t>2</w:t>
            </w:r>
          </w:p>
        </w:tc>
        <w:tc>
          <w:tcPr>
            <w:tcW w:type="dxa" w:w="1814"/>
          </w:tcPr>
          <w:p>
            <w:r/>
            <w:r>
              <w:rPr>
                <w:sz w:val="16"/>
              </w:rPr>
              <w:t>7</w:t>
            </w:r>
          </w:p>
        </w:tc>
      </w:tr>
      <w:tr>
        <w:tc>
          <w:tcPr>
            <w:tcW w:type="dxa" w:w="1814"/>
          </w:tcPr>
          <w:p>
            <w:r/>
            <w:r>
              <w:rPr>
                <w:sz w:val="16"/>
              </w:rPr>
              <w:t>Rotavírus</w:t>
            </w:r>
          </w:p>
        </w:tc>
        <w:tc>
          <w:tcPr>
            <w:tcW w:type="dxa" w:w="1814"/>
          </w:tcPr>
          <w:p>
            <w:r/>
            <w:r>
              <w:rPr>
                <w:sz w:val="16"/>
              </w:rPr>
              <w:t>PNI a partir de 2006</w:t>
            </w:r>
          </w:p>
        </w:tc>
        <w:tc>
          <w:tcPr>
            <w:tcW w:type="dxa" w:w="1814"/>
          </w:tcPr>
          <w:p>
            <w:r/>
            <w:r>
              <w:rPr>
                <w:sz w:val="16"/>
              </w:rPr>
              <w:t>46</w:t>
            </w:r>
          </w:p>
        </w:tc>
        <w:tc>
          <w:tcPr>
            <w:tcW w:type="dxa" w:w="1814"/>
          </w:tcPr>
          <w:p>
            <w:r/>
            <w:r>
              <w:rPr>
                <w:sz w:val="16"/>
              </w:rPr>
              <w:t>18</w:t>
            </w:r>
          </w:p>
        </w:tc>
        <w:tc>
          <w:tcPr>
            <w:tcW w:type="dxa" w:w="1814"/>
          </w:tcPr>
          <w:p>
            <w:r/>
            <w:r>
              <w:rPr>
                <w:sz w:val="16"/>
              </w:rPr>
              <w:t>2</w:t>
            </w:r>
          </w:p>
        </w:tc>
      </w:tr>
      <w:tr>
        <w:tc>
          <w:tcPr>
            <w:tcW w:type="dxa" w:w="1814"/>
          </w:tcPr>
          <w:p>
            <w:r/>
            <w:r>
              <w:rPr>
                <w:sz w:val="16"/>
              </w:rPr>
              <w:t>Difteria</w:t>
            </w:r>
          </w:p>
        </w:tc>
        <w:tc>
          <w:tcPr>
            <w:tcW w:type="dxa" w:w="1814"/>
          </w:tcPr>
          <w:p>
            <w:r/>
            <w:r>
              <w:rPr>
                <w:sz w:val="16"/>
              </w:rPr>
              <w:t>PNI (todo o período)</w:t>
            </w:r>
          </w:p>
        </w:tc>
        <w:tc>
          <w:tcPr>
            <w:tcW w:type="dxa" w:w="1814"/>
          </w:tcPr>
          <w:p>
            <w:r/>
            <w:r>
              <w:rPr>
                <w:sz w:val="16"/>
              </w:rPr>
              <w:t>46</w:t>
            </w:r>
          </w:p>
        </w:tc>
        <w:tc>
          <w:tcPr>
            <w:tcW w:type="dxa" w:w="1814"/>
          </w:tcPr>
          <w:p>
            <w:r/>
            <w:r>
              <w:rPr>
                <w:sz w:val="16"/>
              </w:rPr>
              <w:t>4</w:t>
            </w:r>
          </w:p>
        </w:tc>
        <w:tc>
          <w:tcPr>
            <w:tcW w:type="dxa" w:w="1814"/>
          </w:tcPr>
          <w:p>
            <w:r/>
            <w:r>
              <w:rPr>
                <w:sz w:val="16"/>
              </w:rPr>
              <w:t>1</w:t>
            </w:r>
          </w:p>
        </w:tc>
      </w:tr>
      <w:tr>
        <w:tc>
          <w:tcPr>
            <w:tcW w:type="dxa" w:w="1814"/>
          </w:tcPr>
          <w:p>
            <w:r/>
            <w:r>
              <w:rPr>
                <w:sz w:val="16"/>
              </w:rPr>
              <w:t>Sarampo</w:t>
            </w:r>
          </w:p>
        </w:tc>
        <w:tc>
          <w:tcPr>
            <w:tcW w:type="dxa" w:w="1814"/>
          </w:tcPr>
          <w:p>
            <w:r/>
            <w:r>
              <w:rPr>
                <w:sz w:val="16"/>
              </w:rPr>
              <w:t>PNI (todo o período)</w:t>
            </w:r>
          </w:p>
        </w:tc>
        <w:tc>
          <w:tcPr>
            <w:tcW w:type="dxa" w:w="1814"/>
          </w:tcPr>
          <w:p>
            <w:r/>
            <w:r>
              <w:rPr>
                <w:sz w:val="16"/>
              </w:rPr>
              <w:t>41</w:t>
            </w:r>
          </w:p>
        </w:tc>
        <w:tc>
          <w:tcPr>
            <w:tcW w:type="dxa" w:w="1814"/>
          </w:tcPr>
          <w:p>
            <w:r/>
            <w:r>
              <w:rPr>
                <w:sz w:val="16"/>
              </w:rPr>
              <w:t>0</w:t>
            </w:r>
          </w:p>
        </w:tc>
        <w:tc>
          <w:tcPr>
            <w:tcW w:type="dxa" w:w="1814"/>
          </w:tcPr>
          <w:p>
            <w:r/>
            <w:r>
              <w:rPr>
                <w:sz w:val="16"/>
              </w:rPr>
              <w:t>0</w:t>
            </w:r>
          </w:p>
        </w:tc>
      </w:tr>
      <w:tr>
        <w:tc>
          <w:tcPr>
            <w:tcW w:type="dxa" w:w="1814"/>
          </w:tcPr>
          <w:p>
            <w:r/>
            <w:r>
              <w:rPr>
                <w:sz w:val="16"/>
              </w:rPr>
              <w:t>Raiva</w:t>
            </w:r>
          </w:p>
        </w:tc>
        <w:tc>
          <w:tcPr>
            <w:tcW w:type="dxa" w:w="1814"/>
          </w:tcPr>
          <w:p>
            <w:r/>
            <w:r>
              <w:rPr>
                <w:sz w:val="16"/>
              </w:rPr>
              <w:t>PNI (profilaxia pós-exposição)</w:t>
            </w:r>
          </w:p>
        </w:tc>
        <w:tc>
          <w:tcPr>
            <w:tcW w:type="dxa" w:w="1814"/>
          </w:tcPr>
          <w:p>
            <w:r/>
            <w:r>
              <w:rPr>
                <w:sz w:val="16"/>
              </w:rPr>
              <w:t>22</w:t>
            </w:r>
          </w:p>
        </w:tc>
        <w:tc>
          <w:tcPr>
            <w:tcW w:type="dxa" w:w="1814"/>
          </w:tcPr>
          <w:p>
            <w:r/>
            <w:r>
              <w:rPr>
                <w:sz w:val="16"/>
              </w:rPr>
              <w:t>2</w:t>
            </w:r>
          </w:p>
        </w:tc>
        <w:tc>
          <w:tcPr>
            <w:tcW w:type="dxa" w:w="1814"/>
          </w:tcPr>
          <w:p>
            <w:r/>
            <w:r>
              <w:rPr>
                <w:sz w:val="16"/>
              </w:rPr>
              <w:t>0</w:t>
            </w:r>
          </w:p>
        </w:tc>
      </w:tr>
      <w:tr>
        <w:tc>
          <w:tcPr>
            <w:tcW w:type="dxa" w:w="1814"/>
          </w:tcPr>
          <w:p>
            <w:r/>
            <w:r>
              <w:rPr>
                <w:sz w:val="16"/>
              </w:rPr>
              <w:t>Poliomielite</w:t>
            </w:r>
          </w:p>
        </w:tc>
        <w:tc>
          <w:tcPr>
            <w:tcW w:type="dxa" w:w="1814"/>
          </w:tcPr>
          <w:p>
            <w:r/>
            <w:r>
              <w:rPr>
                <w:sz w:val="16"/>
              </w:rPr>
              <w:t>PNI (todo o período)</w:t>
            </w:r>
          </w:p>
        </w:tc>
        <w:tc>
          <w:tcPr>
            <w:tcW w:type="dxa" w:w="1814"/>
          </w:tcPr>
          <w:p>
            <w:r/>
            <w:r>
              <w:rPr>
                <w:sz w:val="16"/>
              </w:rPr>
              <w:t>0</w:t>
            </w:r>
          </w:p>
        </w:tc>
        <w:tc>
          <w:tcPr>
            <w:tcW w:type="dxa" w:w="1814"/>
          </w:tcPr>
          <w:p>
            <w:r/>
            <w:r>
              <w:rPr>
                <w:sz w:val="16"/>
              </w:rPr>
              <w:t>0</w:t>
            </w:r>
          </w:p>
        </w:tc>
        <w:tc>
          <w:tcPr>
            <w:tcW w:type="dxa" w:w="1814"/>
          </w:tcPr>
          <w:p>
            <w:r/>
            <w:r>
              <w:rPr>
                <w:sz w:val="16"/>
              </w:rPr>
              <w:t>0</w:t>
            </w:r>
          </w:p>
        </w:tc>
      </w:tr>
      <w:tr>
        <w:tc>
          <w:tcPr>
            <w:tcW w:type="dxa" w:w="1814"/>
          </w:tcPr>
          <w:p>
            <w:r/>
            <w:r>
              <w:rPr>
                <w:sz w:val="16"/>
              </w:rPr>
              <w:t>Subtotal, sem COVID-19</w:t>
            </w:r>
          </w:p>
        </w:tc>
        <w:tc>
          <w:tcPr>
            <w:tcW w:type="dxa" w:w="1814"/>
          </w:tcPr>
          <w:p>
            <w:r/>
            <w:r>
              <w:rPr>
                <w:sz w:val="16"/>
              </w:rPr>
              <w:t>—</w:t>
            </w:r>
          </w:p>
        </w:tc>
        <w:tc>
          <w:tcPr>
            <w:tcW w:type="dxa" w:w="1814"/>
          </w:tcPr>
          <w:p>
            <w:r/>
            <w:r>
              <w:rPr>
                <w:sz w:val="16"/>
              </w:rPr>
              <w:t>27931</w:t>
            </w:r>
          </w:p>
        </w:tc>
        <w:tc>
          <w:tcPr>
            <w:tcW w:type="dxa" w:w="1814"/>
          </w:tcPr>
          <w:p>
            <w:r/>
            <w:r>
              <w:rPr>
                <w:sz w:val="16"/>
              </w:rPr>
              <w:t>3910</w:t>
            </w:r>
          </w:p>
        </w:tc>
        <w:tc>
          <w:tcPr>
            <w:tcW w:type="dxa" w:w="1814"/>
          </w:tcPr>
          <w:p>
            <w:r/>
            <w:r>
              <w:rPr>
                <w:sz w:val="16"/>
              </w:rPr>
              <w:t>6107</w:t>
            </w:r>
          </w:p>
        </w:tc>
      </w:tr>
      <w:tr>
        <w:tc>
          <w:tcPr>
            <w:tcW w:type="dxa" w:w="1814"/>
          </w:tcPr>
          <w:p>
            <w:r/>
            <w:r>
              <w:rPr>
                <w:sz w:val="16"/>
              </w:rPr>
              <w:t>Subtotal, sem COVID-19 e sem herpes zoster</w:t>
            </w:r>
          </w:p>
        </w:tc>
        <w:tc>
          <w:tcPr>
            <w:tcW w:type="dxa" w:w="1814"/>
          </w:tcPr>
          <w:p>
            <w:r/>
            <w:r>
              <w:rPr>
                <w:sz w:val="16"/>
              </w:rPr>
              <w:t>—</w:t>
            </w:r>
          </w:p>
        </w:tc>
        <w:tc>
          <w:tcPr>
            <w:tcW w:type="dxa" w:w="1814"/>
          </w:tcPr>
          <w:p>
            <w:r/>
            <w:r>
              <w:rPr>
                <w:sz w:val="16"/>
              </w:rPr>
              <w:t>26688</w:t>
            </w:r>
          </w:p>
        </w:tc>
        <w:tc>
          <w:tcPr>
            <w:tcW w:type="dxa" w:w="1814"/>
          </w:tcPr>
          <w:p>
            <w:r/>
            <w:r>
              <w:rPr>
                <w:sz w:val="16"/>
              </w:rPr>
              <w:t>3729</w:t>
            </w:r>
          </w:p>
        </w:tc>
        <w:tc>
          <w:tcPr>
            <w:tcW w:type="dxa" w:w="1814"/>
          </w:tcPr>
          <w:p>
            <w:r/>
            <w:r>
              <w:rPr>
                <w:sz w:val="16"/>
              </w:rPr>
              <w:t>5911</w:t>
            </w:r>
          </w:p>
        </w:tc>
      </w:tr>
    </w:tbl>
    <w:p>
      <w:pPr>
        <w:spacing w:before="240" w:after="80"/>
      </w:pPr>
      <w:r>
        <w:rPr>
          <w:b/>
          <w:sz w:val="20"/>
        </w:rPr>
        <w:t>Tabela S8. Série anual dos três eventos, com o recorte de menores de 1 ano onde ele é decisivo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Ano</w:t>
            </w:r>
          </w:p>
        </w:tc>
        <w:tc>
          <w:tcPr>
            <w:tcW w:type="dxa" w:w="1512"/>
          </w:tcPr>
          <w:p>
            <w:r/>
            <w:r>
              <w:rPr>
                <w:b/>
                <w:sz w:val="16"/>
              </w:rPr>
              <w:t>Febre amarela</w:t>
            </w:r>
          </w:p>
        </w:tc>
        <w:tc>
          <w:tcPr>
            <w:tcW w:type="dxa" w:w="1512"/>
          </w:tcPr>
          <w:p>
            <w:r/>
            <w:r>
              <w:rPr>
                <w:b/>
                <w:sz w:val="16"/>
              </w:rPr>
              <w:t>Sarampo</w:t>
            </w:r>
          </w:p>
        </w:tc>
        <w:tc>
          <w:tcPr>
            <w:tcW w:type="dxa" w:w="1512"/>
          </w:tcPr>
          <w:p>
            <w:r/>
            <w:r>
              <w:rPr>
                <w:b/>
                <w:sz w:val="16"/>
              </w:rPr>
              <w:t>Sarampo em menores de 1 ano</w:t>
            </w:r>
          </w:p>
        </w:tc>
        <w:tc>
          <w:tcPr>
            <w:tcW w:type="dxa" w:w="1512"/>
          </w:tcPr>
          <w:p>
            <w:r/>
            <w:r>
              <w:rPr>
                <w:b/>
                <w:sz w:val="16"/>
              </w:rPr>
              <w:t>Coqueluche</w:t>
            </w:r>
          </w:p>
        </w:tc>
        <w:tc>
          <w:tcPr>
            <w:tcW w:type="dxa" w:w="1512"/>
          </w:tcPr>
          <w:p>
            <w:r/>
            <w:r>
              <w:rPr>
                <w:b/>
                <w:sz w:val="16"/>
              </w:rPr>
              <w:t>Coqueluche em menores de 1 ano</w:t>
            </w:r>
          </w:p>
        </w:tc>
      </w:tr>
      <w:tr>
        <w:tc>
          <w:tcPr>
            <w:tcW w:type="dxa" w:w="1512"/>
          </w:tcPr>
          <w:p>
            <w:r/>
            <w:r>
              <w:rPr>
                <w:sz w:val="16"/>
              </w:rPr>
              <w:t>2015</w:t>
            </w:r>
          </w:p>
        </w:tc>
        <w:tc>
          <w:tcPr>
            <w:tcW w:type="dxa" w:w="1512"/>
          </w:tcPr>
          <w:p>
            <w:r/>
            <w:r>
              <w:rPr>
                <w:sz w:val="16"/>
              </w:rPr>
              <w:t>4</w:t>
            </w:r>
          </w:p>
        </w:tc>
        <w:tc>
          <w:tcPr>
            <w:tcW w:type="dxa" w:w="1512"/>
          </w:tcPr>
          <w:p>
            <w:r/>
            <w:r>
              <w:rPr>
                <w:sz w:val="16"/>
              </w:rPr>
              <w:t>0</w:t>
            </w:r>
          </w:p>
        </w:tc>
        <w:tc>
          <w:tcPr>
            <w:tcW w:type="dxa" w:w="1512"/>
          </w:tcPr>
          <w:p>
            <w:r/>
            <w:r>
              <w:rPr>
                <w:sz w:val="16"/>
              </w:rPr>
              <w:t>0</w:t>
            </w:r>
          </w:p>
        </w:tc>
        <w:tc>
          <w:tcPr>
            <w:tcW w:type="dxa" w:w="1512"/>
          </w:tcPr>
          <w:p>
            <w:r/>
            <w:r>
              <w:rPr>
                <w:sz w:val="16"/>
              </w:rPr>
              <w:t>42</w:t>
            </w:r>
          </w:p>
        </w:tc>
        <w:tc>
          <w:tcPr>
            <w:tcW w:type="dxa" w:w="1512"/>
          </w:tcPr>
          <w:p>
            <w:r/>
            <w:r>
              <w:rPr>
                <w:sz w:val="16"/>
              </w:rPr>
              <w:t>40</w:t>
            </w:r>
          </w:p>
        </w:tc>
      </w:tr>
      <w:tr>
        <w:tc>
          <w:tcPr>
            <w:tcW w:type="dxa" w:w="1512"/>
          </w:tcPr>
          <w:p>
            <w:r/>
            <w:r>
              <w:rPr>
                <w:sz w:val="16"/>
              </w:rPr>
              <w:t>2016</w:t>
            </w:r>
          </w:p>
        </w:tc>
        <w:tc>
          <w:tcPr>
            <w:tcW w:type="dxa" w:w="1512"/>
          </w:tcPr>
          <w:p>
            <w:r/>
            <w:r>
              <w:rPr>
                <w:sz w:val="16"/>
              </w:rPr>
              <w:t>8</w:t>
            </w:r>
          </w:p>
        </w:tc>
        <w:tc>
          <w:tcPr>
            <w:tcW w:type="dxa" w:w="1512"/>
          </w:tcPr>
          <w:p>
            <w:r/>
            <w:r>
              <w:rPr>
                <w:sz w:val="16"/>
              </w:rPr>
              <w:t>1</w:t>
            </w:r>
          </w:p>
        </w:tc>
        <w:tc>
          <w:tcPr>
            <w:tcW w:type="dxa" w:w="1512"/>
          </w:tcPr>
          <w:p>
            <w:r/>
            <w:r>
              <w:rPr>
                <w:sz w:val="16"/>
              </w:rPr>
              <w:t>0</w:t>
            </w:r>
          </w:p>
        </w:tc>
        <w:tc>
          <w:tcPr>
            <w:tcW w:type="dxa" w:w="1512"/>
          </w:tcPr>
          <w:p>
            <w:r/>
            <w:r>
              <w:rPr>
                <w:sz w:val="16"/>
              </w:rPr>
              <w:t>9</w:t>
            </w:r>
          </w:p>
        </w:tc>
        <w:tc>
          <w:tcPr>
            <w:tcW w:type="dxa" w:w="1512"/>
          </w:tcPr>
          <w:p>
            <w:r/>
            <w:r>
              <w:rPr>
                <w:sz w:val="16"/>
              </w:rPr>
              <w:t>8</w:t>
            </w:r>
          </w:p>
        </w:tc>
      </w:tr>
      <w:tr>
        <w:tc>
          <w:tcPr>
            <w:tcW w:type="dxa" w:w="1512"/>
          </w:tcPr>
          <w:p>
            <w:r/>
            <w:r>
              <w:rPr>
                <w:sz w:val="16"/>
              </w:rPr>
              <w:t>2017</w:t>
            </w:r>
          </w:p>
        </w:tc>
        <w:tc>
          <w:tcPr>
            <w:tcW w:type="dxa" w:w="1512"/>
          </w:tcPr>
          <w:p>
            <w:r/>
            <w:r>
              <w:rPr>
                <w:sz w:val="16"/>
              </w:rPr>
              <w:t>195</w:t>
            </w:r>
          </w:p>
        </w:tc>
        <w:tc>
          <w:tcPr>
            <w:tcW w:type="dxa" w:w="1512"/>
          </w:tcPr>
          <w:p>
            <w:r/>
            <w:r>
              <w:rPr>
                <w:sz w:val="16"/>
              </w:rPr>
              <w:t>2</w:t>
            </w:r>
          </w:p>
        </w:tc>
        <w:tc>
          <w:tcPr>
            <w:tcW w:type="dxa" w:w="1512"/>
          </w:tcPr>
          <w:p>
            <w:r/>
            <w:r>
              <w:rPr>
                <w:sz w:val="16"/>
              </w:rPr>
              <w:t>0</w:t>
            </w:r>
          </w:p>
        </w:tc>
        <w:tc>
          <w:tcPr>
            <w:tcW w:type="dxa" w:w="1512"/>
          </w:tcPr>
          <w:p>
            <w:r/>
            <w:r>
              <w:rPr>
                <w:sz w:val="16"/>
              </w:rPr>
              <w:t>17</w:t>
            </w:r>
          </w:p>
        </w:tc>
        <w:tc>
          <w:tcPr>
            <w:tcW w:type="dxa" w:w="1512"/>
          </w:tcPr>
          <w:p>
            <w:r/>
            <w:r>
              <w:rPr>
                <w:sz w:val="16"/>
              </w:rPr>
              <w:t>17</w:t>
            </w:r>
          </w:p>
        </w:tc>
      </w:tr>
      <w:tr>
        <w:tc>
          <w:tcPr>
            <w:tcW w:type="dxa" w:w="1512"/>
          </w:tcPr>
          <w:p>
            <w:r/>
            <w:r>
              <w:rPr>
                <w:sz w:val="16"/>
              </w:rPr>
              <w:t>2018</w:t>
            </w:r>
          </w:p>
        </w:tc>
        <w:tc>
          <w:tcPr>
            <w:tcW w:type="dxa" w:w="1512"/>
          </w:tcPr>
          <w:p>
            <w:r/>
            <w:r>
              <w:rPr>
                <w:sz w:val="16"/>
              </w:rPr>
              <w:t>257</w:t>
            </w:r>
          </w:p>
        </w:tc>
        <w:tc>
          <w:tcPr>
            <w:tcW w:type="dxa" w:w="1512"/>
          </w:tcPr>
          <w:p>
            <w:r/>
            <w:r>
              <w:rPr>
                <w:sz w:val="16"/>
              </w:rPr>
              <w:t>8</w:t>
            </w:r>
          </w:p>
        </w:tc>
        <w:tc>
          <w:tcPr>
            <w:tcW w:type="dxa" w:w="1512"/>
          </w:tcPr>
          <w:p>
            <w:r/>
            <w:r>
              <w:rPr>
                <w:sz w:val="16"/>
              </w:rPr>
              <w:t>5</w:t>
            </w:r>
          </w:p>
        </w:tc>
        <w:tc>
          <w:tcPr>
            <w:tcW w:type="dxa" w:w="1512"/>
          </w:tcPr>
          <w:p>
            <w:r/>
            <w:r>
              <w:rPr>
                <w:sz w:val="16"/>
              </w:rPr>
              <w:t>8</w:t>
            </w:r>
          </w:p>
        </w:tc>
        <w:tc>
          <w:tcPr>
            <w:tcW w:type="dxa" w:w="1512"/>
          </w:tcPr>
          <w:p>
            <w:r/>
            <w:r>
              <w:rPr>
                <w:sz w:val="16"/>
              </w:rPr>
              <w:t>8</w:t>
            </w:r>
          </w:p>
        </w:tc>
      </w:tr>
      <w:tr>
        <w:tc>
          <w:tcPr>
            <w:tcW w:type="dxa" w:w="1512"/>
          </w:tcPr>
          <w:p>
            <w:r/>
            <w:r>
              <w:rPr>
                <w:sz w:val="16"/>
              </w:rPr>
              <w:t>2019</w:t>
            </w:r>
          </w:p>
        </w:tc>
        <w:tc>
          <w:tcPr>
            <w:tcW w:type="dxa" w:w="1512"/>
          </w:tcPr>
          <w:p>
            <w:r/>
            <w:r>
              <w:rPr>
                <w:sz w:val="16"/>
              </w:rPr>
              <w:t>18</w:t>
            </w:r>
          </w:p>
        </w:tc>
        <w:tc>
          <w:tcPr>
            <w:tcW w:type="dxa" w:w="1512"/>
          </w:tcPr>
          <w:p>
            <w:r/>
            <w:r>
              <w:rPr>
                <w:sz w:val="16"/>
              </w:rPr>
              <w:t>11</w:t>
            </w:r>
          </w:p>
        </w:tc>
        <w:tc>
          <w:tcPr>
            <w:tcW w:type="dxa" w:w="1512"/>
          </w:tcPr>
          <w:p>
            <w:r/>
            <w:r>
              <w:rPr>
                <w:sz w:val="16"/>
              </w:rPr>
              <w:t>5</w:t>
            </w:r>
          </w:p>
        </w:tc>
        <w:tc>
          <w:tcPr>
            <w:tcW w:type="dxa" w:w="1512"/>
          </w:tcPr>
          <w:p>
            <w:r/>
            <w:r>
              <w:rPr>
                <w:sz w:val="16"/>
              </w:rPr>
              <w:t>6</w:t>
            </w:r>
          </w:p>
        </w:tc>
        <w:tc>
          <w:tcPr>
            <w:tcW w:type="dxa" w:w="1512"/>
          </w:tcPr>
          <w:p>
            <w:r/>
            <w:r>
              <w:rPr>
                <w:sz w:val="16"/>
              </w:rPr>
              <w:t>6</w:t>
            </w:r>
          </w:p>
        </w:tc>
      </w:tr>
      <w:tr>
        <w:tc>
          <w:tcPr>
            <w:tcW w:type="dxa" w:w="1512"/>
          </w:tcPr>
          <w:p>
            <w:r/>
            <w:r>
              <w:rPr>
                <w:sz w:val="16"/>
              </w:rPr>
              <w:t>2020</w:t>
            </w:r>
          </w:p>
        </w:tc>
        <w:tc>
          <w:tcPr>
            <w:tcW w:type="dxa" w:w="1512"/>
          </w:tcPr>
          <w:p>
            <w:r/>
            <w:r>
              <w:rPr>
                <w:sz w:val="16"/>
              </w:rPr>
              <w:t>2</w:t>
            </w:r>
          </w:p>
        </w:tc>
        <w:tc>
          <w:tcPr>
            <w:tcW w:type="dxa" w:w="1512"/>
          </w:tcPr>
          <w:p>
            <w:r/>
            <w:r>
              <w:rPr>
                <w:sz w:val="16"/>
              </w:rPr>
              <w:t>15</w:t>
            </w:r>
          </w:p>
        </w:tc>
        <w:tc>
          <w:tcPr>
            <w:tcW w:type="dxa" w:w="1512"/>
          </w:tcPr>
          <w:p>
            <w:r/>
            <w:r>
              <w:rPr>
                <w:sz w:val="16"/>
              </w:rPr>
              <w:t>6</w:t>
            </w:r>
          </w:p>
        </w:tc>
        <w:tc>
          <w:tcPr>
            <w:tcW w:type="dxa" w:w="1512"/>
          </w:tcPr>
          <w:p>
            <w:r/>
            <w:r>
              <w:rPr>
                <w:sz w:val="16"/>
              </w:rPr>
              <w:t>5</w:t>
            </w:r>
          </w:p>
        </w:tc>
        <w:tc>
          <w:tcPr>
            <w:tcW w:type="dxa" w:w="1512"/>
          </w:tcPr>
          <w:p>
            <w:r/>
            <w:r>
              <w:rPr>
                <w:sz w:val="16"/>
              </w:rPr>
              <w:t>3</w:t>
            </w:r>
          </w:p>
        </w:tc>
      </w:tr>
      <w:tr>
        <w:tc>
          <w:tcPr>
            <w:tcW w:type="dxa" w:w="1512"/>
          </w:tcPr>
          <w:p>
            <w:r/>
            <w:r>
              <w:rPr>
                <w:sz w:val="16"/>
              </w:rPr>
              <w:t>2021</w:t>
            </w:r>
          </w:p>
        </w:tc>
        <w:tc>
          <w:tcPr>
            <w:tcW w:type="dxa" w:w="1512"/>
          </w:tcPr>
          <w:p>
            <w:r/>
            <w:r>
              <w:rPr>
                <w:sz w:val="16"/>
              </w:rPr>
              <w:t>8</w:t>
            </w:r>
          </w:p>
        </w:tc>
        <w:tc>
          <w:tcPr>
            <w:tcW w:type="dxa" w:w="1512"/>
          </w:tcPr>
          <w:p>
            <w:r/>
            <w:r>
              <w:rPr>
                <w:sz w:val="16"/>
              </w:rPr>
              <w:t>3</w:t>
            </w:r>
          </w:p>
        </w:tc>
        <w:tc>
          <w:tcPr>
            <w:tcW w:type="dxa" w:w="1512"/>
          </w:tcPr>
          <w:p>
            <w:r/>
            <w:r>
              <w:rPr>
                <w:sz w:val="16"/>
              </w:rPr>
              <w:t>3</w:t>
            </w:r>
          </w:p>
        </w:tc>
        <w:tc>
          <w:tcPr>
            <w:tcW w:type="dxa" w:w="1512"/>
          </w:tcPr>
          <w:p>
            <w:r/>
            <w:r>
              <w:rPr>
                <w:sz w:val="16"/>
              </w:rPr>
              <w:t>1</w:t>
            </w:r>
          </w:p>
        </w:tc>
        <w:tc>
          <w:tcPr>
            <w:tcW w:type="dxa" w:w="1512"/>
          </w:tcPr>
          <w:p>
            <w:r/>
            <w:r>
              <w:rPr>
                <w:sz w:val="16"/>
              </w:rPr>
              <w:t>1</w:t>
            </w:r>
          </w:p>
        </w:tc>
      </w:tr>
      <w:tr>
        <w:tc>
          <w:tcPr>
            <w:tcW w:type="dxa" w:w="1512"/>
          </w:tcPr>
          <w:p>
            <w:r/>
            <w:r>
              <w:rPr>
                <w:sz w:val="16"/>
              </w:rPr>
              <w:t>2022</w:t>
            </w:r>
          </w:p>
        </w:tc>
        <w:tc>
          <w:tcPr>
            <w:tcW w:type="dxa" w:w="1512"/>
          </w:tcPr>
          <w:p>
            <w:r/>
            <w:r>
              <w:rPr>
                <w:sz w:val="16"/>
              </w:rPr>
              <w:t>2</w:t>
            </w:r>
          </w:p>
        </w:tc>
        <w:tc>
          <w:tcPr>
            <w:tcW w:type="dxa" w:w="1512"/>
          </w:tcPr>
          <w:p>
            <w:r/>
            <w:r>
              <w:rPr>
                <w:sz w:val="16"/>
              </w:rPr>
              <w:t>0</w:t>
            </w:r>
          </w:p>
        </w:tc>
        <w:tc>
          <w:tcPr>
            <w:tcW w:type="dxa" w:w="1512"/>
          </w:tcPr>
          <w:p>
            <w:r/>
            <w:r>
              <w:rPr>
                <w:sz w:val="16"/>
              </w:rPr>
              <w:t>0</w:t>
            </w:r>
          </w:p>
        </w:tc>
        <w:tc>
          <w:tcPr>
            <w:tcW w:type="dxa" w:w="1512"/>
          </w:tcPr>
          <w:p>
            <w:r/>
            <w:r>
              <w:rPr>
                <w:sz w:val="16"/>
              </w:rPr>
              <w:t>0</w:t>
            </w:r>
          </w:p>
        </w:tc>
        <w:tc>
          <w:tcPr>
            <w:tcW w:type="dxa" w:w="1512"/>
          </w:tcPr>
          <w:p>
            <w:r/>
            <w:r>
              <w:rPr>
                <w:sz w:val="16"/>
              </w:rPr>
              <w:t>0</w:t>
            </w:r>
          </w:p>
        </w:tc>
      </w:tr>
      <w:tr>
        <w:tc>
          <w:tcPr>
            <w:tcW w:type="dxa" w:w="1512"/>
          </w:tcPr>
          <w:p>
            <w:r/>
            <w:r>
              <w:rPr>
                <w:sz w:val="16"/>
              </w:rPr>
              <w:t>2023</w:t>
            </w:r>
          </w:p>
        </w:tc>
        <w:tc>
          <w:tcPr>
            <w:tcW w:type="dxa" w:w="1512"/>
          </w:tcPr>
          <w:p>
            <w:r/>
            <w:r>
              <w:rPr>
                <w:sz w:val="16"/>
              </w:rPr>
              <w:t>3</w:t>
            </w:r>
          </w:p>
        </w:tc>
        <w:tc>
          <w:tcPr>
            <w:tcW w:type="dxa" w:w="1512"/>
          </w:tcPr>
          <w:p>
            <w:r/>
            <w:r>
              <w:rPr>
                <w:sz w:val="16"/>
              </w:rPr>
              <w:t>1</w:t>
            </w:r>
          </w:p>
        </w:tc>
        <w:tc>
          <w:tcPr>
            <w:tcW w:type="dxa" w:w="1512"/>
          </w:tcPr>
          <w:p>
            <w:r/>
            <w:r>
              <w:rPr>
                <w:sz w:val="16"/>
              </w:rPr>
              <w:t>0</w:t>
            </w:r>
          </w:p>
        </w:tc>
        <w:tc>
          <w:tcPr>
            <w:tcW w:type="dxa" w:w="1512"/>
          </w:tcPr>
          <w:p>
            <w:r/>
            <w:r>
              <w:rPr>
                <w:sz w:val="16"/>
              </w:rPr>
              <w:t>0</w:t>
            </w:r>
          </w:p>
        </w:tc>
        <w:tc>
          <w:tcPr>
            <w:tcW w:type="dxa" w:w="1512"/>
          </w:tcPr>
          <w:p>
            <w:r/>
            <w:r>
              <w:rPr>
                <w:sz w:val="16"/>
              </w:rPr>
              <w:t>0</w:t>
            </w:r>
          </w:p>
        </w:tc>
      </w:tr>
      <w:tr>
        <w:tc>
          <w:tcPr>
            <w:tcW w:type="dxa" w:w="1512"/>
          </w:tcPr>
          <w:p>
            <w:r/>
            <w:r>
              <w:rPr>
                <w:sz w:val="16"/>
              </w:rPr>
              <w:t>2024</w:t>
            </w:r>
          </w:p>
        </w:tc>
        <w:tc>
          <w:tcPr>
            <w:tcW w:type="dxa" w:w="1512"/>
          </w:tcPr>
          <w:p>
            <w:r/>
            <w:r>
              <w:rPr>
                <w:sz w:val="16"/>
              </w:rPr>
              <w:t>3</w:t>
            </w:r>
          </w:p>
        </w:tc>
        <w:tc>
          <w:tcPr>
            <w:tcW w:type="dxa" w:w="1512"/>
          </w:tcPr>
          <w:p>
            <w:r/>
            <w:r>
              <w:rPr>
                <w:sz w:val="16"/>
              </w:rPr>
              <w:t>0</w:t>
            </w:r>
          </w:p>
        </w:tc>
        <w:tc>
          <w:tcPr>
            <w:tcW w:type="dxa" w:w="1512"/>
          </w:tcPr>
          <w:p>
            <w:r/>
            <w:r>
              <w:rPr>
                <w:sz w:val="16"/>
              </w:rPr>
              <w:t>0</w:t>
            </w:r>
          </w:p>
        </w:tc>
        <w:tc>
          <w:tcPr>
            <w:tcW w:type="dxa" w:w="1512"/>
          </w:tcPr>
          <w:p>
            <w:r/>
            <w:r>
              <w:rPr>
                <w:sz w:val="16"/>
              </w:rPr>
              <w:t>22</w:t>
            </w:r>
          </w:p>
        </w:tc>
        <w:tc>
          <w:tcPr>
            <w:tcW w:type="dxa" w:w="1512"/>
          </w:tcPr>
          <w:p>
            <w:r/>
            <w:r>
              <w:rPr>
                <w:sz w:val="16"/>
              </w:rPr>
              <w:t>21</w:t>
            </w:r>
          </w:p>
        </w:tc>
      </w:tr>
      <w:tr>
        <w:tc>
          <w:tcPr>
            <w:tcW w:type="dxa" w:w="1512"/>
          </w:tcPr>
          <w:p>
            <w:r/>
            <w:r>
              <w:rPr>
                <w:sz w:val="16"/>
              </w:rPr>
              <w:t>2025</w:t>
            </w:r>
          </w:p>
        </w:tc>
        <w:tc>
          <w:tcPr>
            <w:tcW w:type="dxa" w:w="1512"/>
          </w:tcPr>
          <w:p>
            <w:r/>
            <w:r>
              <w:rPr>
                <w:sz w:val="16"/>
              </w:rPr>
              <w:t>41</w:t>
            </w:r>
          </w:p>
        </w:tc>
        <w:tc>
          <w:tcPr>
            <w:tcW w:type="dxa" w:w="1512"/>
          </w:tcPr>
          <w:p>
            <w:r/>
            <w:r>
              <w:rPr>
                <w:sz w:val="16"/>
              </w:rPr>
              <w:t>0</w:t>
            </w:r>
          </w:p>
        </w:tc>
        <w:tc>
          <w:tcPr>
            <w:tcW w:type="dxa" w:w="1512"/>
          </w:tcPr>
          <w:p>
            <w:r/>
            <w:r>
              <w:rPr>
                <w:sz w:val="16"/>
              </w:rPr>
              <w:t>0</w:t>
            </w:r>
          </w:p>
        </w:tc>
        <w:tc>
          <w:tcPr>
            <w:tcW w:type="dxa" w:w="1512"/>
          </w:tcPr>
          <w:p>
            <w:r/>
            <w:r>
              <w:rPr>
                <w:sz w:val="16"/>
              </w:rPr>
              <w:t>9</w:t>
            </w:r>
          </w:p>
        </w:tc>
        <w:tc>
          <w:tcPr>
            <w:tcW w:type="dxa" w:w="1512"/>
          </w:tcPr>
          <w:p>
            <w:r/>
            <w:r>
              <w:rPr>
                <w:sz w:val="16"/>
              </w:rPr>
              <w:t>6</w:t>
            </w:r>
          </w:p>
        </w:tc>
      </w:tr>
    </w:tbl>
    <w:p>
      <w:pPr>
        <w:spacing w:before="240" w:after="80"/>
      </w:pPr>
      <w:r>
        <w:rPr>
          <w:b/>
          <w:sz w:val="20"/>
        </w:rPr>
        <w:t>Tabela S9. Febre amarela, 2017–2018, por unidade da federação com cinco ou mais óbitos</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Ano</w:t>
            </w:r>
          </w:p>
        </w:tc>
        <w:tc>
          <w:tcPr>
            <w:tcW w:type="dxa" w:w="1814"/>
          </w:tcPr>
          <w:p>
            <w:r/>
            <w:r>
              <w:rPr>
                <w:b/>
                <w:sz w:val="16"/>
              </w:rPr>
              <w:t>UF</w:t>
            </w:r>
          </w:p>
        </w:tc>
        <w:tc>
          <w:tcPr>
            <w:tcW w:type="dxa" w:w="1814"/>
          </w:tcPr>
          <w:p>
            <w:r/>
            <w:r>
              <w:rPr>
                <w:b/>
                <w:sz w:val="16"/>
              </w:rPr>
              <w:t>Óbitos</w:t>
            </w:r>
          </w:p>
        </w:tc>
        <w:tc>
          <w:tcPr>
            <w:tcW w:type="dxa" w:w="1814"/>
          </w:tcPr>
          <w:p>
            <w:r/>
            <w:r>
              <w:rPr>
                <w:b/>
                <w:sz w:val="16"/>
              </w:rPr>
              <w:t>Idade média</w:t>
            </w:r>
          </w:p>
        </w:tc>
        <w:tc>
          <w:tcPr>
            <w:tcW w:type="dxa" w:w="1814"/>
          </w:tcPr>
          <w:p>
            <w:r/>
            <w:r>
              <w:rPr>
                <w:b/>
                <w:sz w:val="16"/>
              </w:rPr>
              <w:t>% do sexo masculino</w:t>
            </w:r>
          </w:p>
        </w:tc>
      </w:tr>
      <w:tr>
        <w:tc>
          <w:tcPr>
            <w:tcW w:type="dxa" w:w="1814"/>
          </w:tcPr>
          <w:p>
            <w:r/>
            <w:r>
              <w:rPr>
                <w:sz w:val="16"/>
              </w:rPr>
              <w:t>2017</w:t>
            </w:r>
          </w:p>
        </w:tc>
        <w:tc>
          <w:tcPr>
            <w:tcW w:type="dxa" w:w="1814"/>
          </w:tcPr>
          <w:p>
            <w:r/>
            <w:r>
              <w:rPr>
                <w:sz w:val="16"/>
              </w:rPr>
              <w:t>ES</w:t>
            </w:r>
          </w:p>
        </w:tc>
        <w:tc>
          <w:tcPr>
            <w:tcW w:type="dxa" w:w="1814"/>
          </w:tcPr>
          <w:p>
            <w:r/>
            <w:r>
              <w:rPr>
                <w:sz w:val="16"/>
              </w:rPr>
              <w:t>88</w:t>
            </w:r>
          </w:p>
        </w:tc>
        <w:tc>
          <w:tcPr>
            <w:tcW w:type="dxa" w:w="1814"/>
          </w:tcPr>
          <w:p>
            <w:r/>
            <w:r>
              <w:rPr>
                <w:sz w:val="16"/>
              </w:rPr>
              <w:t>47.3</w:t>
            </w:r>
          </w:p>
        </w:tc>
        <w:tc>
          <w:tcPr>
            <w:tcW w:type="dxa" w:w="1814"/>
          </w:tcPr>
          <w:p>
            <w:r/>
            <w:r>
              <w:rPr>
                <w:sz w:val="16"/>
              </w:rPr>
              <w:t>88.6</w:t>
            </w:r>
          </w:p>
        </w:tc>
      </w:tr>
      <w:tr>
        <w:tc>
          <w:tcPr>
            <w:tcW w:type="dxa" w:w="1814"/>
          </w:tcPr>
          <w:p>
            <w:r/>
            <w:r>
              <w:rPr>
                <w:sz w:val="16"/>
              </w:rPr>
              <w:t>2017</w:t>
            </w:r>
          </w:p>
        </w:tc>
        <w:tc>
          <w:tcPr>
            <w:tcW w:type="dxa" w:w="1814"/>
          </w:tcPr>
          <w:p>
            <w:r/>
            <w:r>
              <w:rPr>
                <w:sz w:val="16"/>
              </w:rPr>
              <w:t>MG</w:t>
            </w:r>
          </w:p>
        </w:tc>
        <w:tc>
          <w:tcPr>
            <w:tcW w:type="dxa" w:w="1814"/>
          </w:tcPr>
          <w:p>
            <w:r/>
            <w:r>
              <w:rPr>
                <w:sz w:val="16"/>
              </w:rPr>
              <w:t>74</w:t>
            </w:r>
          </w:p>
        </w:tc>
        <w:tc>
          <w:tcPr>
            <w:tcW w:type="dxa" w:w="1814"/>
          </w:tcPr>
          <w:p>
            <w:r/>
            <w:r>
              <w:rPr>
                <w:sz w:val="16"/>
              </w:rPr>
              <w:t>49.6</w:t>
            </w:r>
          </w:p>
        </w:tc>
        <w:tc>
          <w:tcPr>
            <w:tcW w:type="dxa" w:w="1814"/>
          </w:tcPr>
          <w:p>
            <w:r/>
            <w:r>
              <w:rPr>
                <w:sz w:val="16"/>
              </w:rPr>
              <w:t>89.2</w:t>
            </w:r>
          </w:p>
        </w:tc>
      </w:tr>
      <w:tr>
        <w:tc>
          <w:tcPr>
            <w:tcW w:type="dxa" w:w="1814"/>
          </w:tcPr>
          <w:p>
            <w:r/>
            <w:r>
              <w:rPr>
                <w:sz w:val="16"/>
              </w:rPr>
              <w:t>2017</w:t>
            </w:r>
          </w:p>
        </w:tc>
        <w:tc>
          <w:tcPr>
            <w:tcW w:type="dxa" w:w="1814"/>
          </w:tcPr>
          <w:p>
            <w:r/>
            <w:r>
              <w:rPr>
                <w:sz w:val="16"/>
              </w:rPr>
              <w:t>SP</w:t>
            </w:r>
          </w:p>
        </w:tc>
        <w:tc>
          <w:tcPr>
            <w:tcW w:type="dxa" w:w="1814"/>
          </w:tcPr>
          <w:p>
            <w:r/>
            <w:r>
              <w:rPr>
                <w:sz w:val="16"/>
              </w:rPr>
              <w:t>13</w:t>
            </w:r>
          </w:p>
        </w:tc>
        <w:tc>
          <w:tcPr>
            <w:tcW w:type="dxa" w:w="1814"/>
          </w:tcPr>
          <w:p>
            <w:r/>
            <w:r>
              <w:rPr>
                <w:sz w:val="16"/>
              </w:rPr>
              <w:t>49.3</w:t>
            </w:r>
          </w:p>
        </w:tc>
        <w:tc>
          <w:tcPr>
            <w:tcW w:type="dxa" w:w="1814"/>
          </w:tcPr>
          <w:p>
            <w:r/>
            <w:r>
              <w:rPr>
                <w:sz w:val="16"/>
              </w:rPr>
              <w:t>61.5</w:t>
            </w:r>
          </w:p>
        </w:tc>
      </w:tr>
      <w:tr>
        <w:tc>
          <w:tcPr>
            <w:tcW w:type="dxa" w:w="1814"/>
          </w:tcPr>
          <w:p>
            <w:r/>
            <w:r>
              <w:rPr>
                <w:sz w:val="16"/>
              </w:rPr>
              <w:t>2017</w:t>
            </w:r>
          </w:p>
        </w:tc>
        <w:tc>
          <w:tcPr>
            <w:tcW w:type="dxa" w:w="1814"/>
          </w:tcPr>
          <w:p>
            <w:r/>
            <w:r>
              <w:rPr>
                <w:sz w:val="16"/>
              </w:rPr>
              <w:t>PA</w:t>
            </w:r>
          </w:p>
        </w:tc>
        <w:tc>
          <w:tcPr>
            <w:tcW w:type="dxa" w:w="1814"/>
          </w:tcPr>
          <w:p>
            <w:r/>
            <w:r>
              <w:rPr>
                <w:sz w:val="16"/>
              </w:rPr>
              <w:t>6</w:t>
            </w:r>
          </w:p>
        </w:tc>
        <w:tc>
          <w:tcPr>
            <w:tcW w:type="dxa" w:w="1814"/>
          </w:tcPr>
          <w:p>
            <w:r/>
            <w:r>
              <w:rPr>
                <w:sz w:val="16"/>
              </w:rPr>
              <w:t>17.5</w:t>
            </w:r>
          </w:p>
        </w:tc>
        <w:tc>
          <w:tcPr>
            <w:tcW w:type="dxa" w:w="1814"/>
          </w:tcPr>
          <w:p>
            <w:r/>
            <w:r>
              <w:rPr>
                <w:sz w:val="16"/>
              </w:rPr>
              <w:t>100.0</w:t>
            </w:r>
          </w:p>
        </w:tc>
      </w:tr>
      <w:tr>
        <w:tc>
          <w:tcPr>
            <w:tcW w:type="dxa" w:w="1814"/>
          </w:tcPr>
          <w:p>
            <w:r/>
            <w:r>
              <w:rPr>
                <w:sz w:val="16"/>
              </w:rPr>
              <w:t>2017</w:t>
            </w:r>
          </w:p>
        </w:tc>
        <w:tc>
          <w:tcPr>
            <w:tcW w:type="dxa" w:w="1814"/>
          </w:tcPr>
          <w:p>
            <w:r/>
            <w:r>
              <w:rPr>
                <w:sz w:val="16"/>
              </w:rPr>
              <w:t>RJ</w:t>
            </w:r>
          </w:p>
        </w:tc>
        <w:tc>
          <w:tcPr>
            <w:tcW w:type="dxa" w:w="1814"/>
          </w:tcPr>
          <w:p>
            <w:r/>
            <w:r>
              <w:rPr>
                <w:sz w:val="16"/>
              </w:rPr>
              <w:t>5</w:t>
            </w:r>
          </w:p>
        </w:tc>
        <w:tc>
          <w:tcPr>
            <w:tcW w:type="dxa" w:w="1814"/>
          </w:tcPr>
          <w:p>
            <w:r/>
            <w:r>
              <w:rPr>
                <w:sz w:val="16"/>
              </w:rPr>
              <w:t>53.0</w:t>
            </w:r>
          </w:p>
        </w:tc>
        <w:tc>
          <w:tcPr>
            <w:tcW w:type="dxa" w:w="1814"/>
          </w:tcPr>
          <w:p>
            <w:r/>
            <w:r>
              <w:rPr>
                <w:sz w:val="16"/>
              </w:rPr>
              <w:t>60.0</w:t>
            </w:r>
          </w:p>
        </w:tc>
      </w:tr>
      <w:tr>
        <w:tc>
          <w:tcPr>
            <w:tcW w:type="dxa" w:w="1814"/>
          </w:tcPr>
          <w:p>
            <w:r/>
            <w:r>
              <w:rPr>
                <w:sz w:val="16"/>
              </w:rPr>
              <w:t>2018</w:t>
            </w:r>
          </w:p>
        </w:tc>
        <w:tc>
          <w:tcPr>
            <w:tcW w:type="dxa" w:w="1814"/>
          </w:tcPr>
          <w:p>
            <w:r/>
            <w:r>
              <w:rPr>
                <w:sz w:val="16"/>
              </w:rPr>
              <w:t>MG</w:t>
            </w:r>
          </w:p>
        </w:tc>
        <w:tc>
          <w:tcPr>
            <w:tcW w:type="dxa" w:w="1814"/>
          </w:tcPr>
          <w:p>
            <w:r/>
            <w:r>
              <w:rPr>
                <w:sz w:val="16"/>
              </w:rPr>
              <w:t>95</w:t>
            </w:r>
          </w:p>
        </w:tc>
        <w:tc>
          <w:tcPr>
            <w:tcW w:type="dxa" w:w="1814"/>
          </w:tcPr>
          <w:p>
            <w:r/>
            <w:r>
              <w:rPr>
                <w:sz w:val="16"/>
              </w:rPr>
              <w:t>50.7</w:t>
            </w:r>
          </w:p>
        </w:tc>
        <w:tc>
          <w:tcPr>
            <w:tcW w:type="dxa" w:w="1814"/>
          </w:tcPr>
          <w:p>
            <w:r/>
            <w:r>
              <w:rPr>
                <w:sz w:val="16"/>
              </w:rPr>
              <w:t>88.4</w:t>
            </w:r>
          </w:p>
        </w:tc>
      </w:tr>
      <w:tr>
        <w:tc>
          <w:tcPr>
            <w:tcW w:type="dxa" w:w="1814"/>
          </w:tcPr>
          <w:p>
            <w:r/>
            <w:r>
              <w:rPr>
                <w:sz w:val="16"/>
              </w:rPr>
              <w:t>2018</w:t>
            </w:r>
          </w:p>
        </w:tc>
        <w:tc>
          <w:tcPr>
            <w:tcW w:type="dxa" w:w="1814"/>
          </w:tcPr>
          <w:p>
            <w:r/>
            <w:r>
              <w:rPr>
                <w:sz w:val="16"/>
              </w:rPr>
              <w:t>RJ</w:t>
            </w:r>
          </w:p>
        </w:tc>
        <w:tc>
          <w:tcPr>
            <w:tcW w:type="dxa" w:w="1814"/>
          </w:tcPr>
          <w:p>
            <w:r/>
            <w:r>
              <w:rPr>
                <w:sz w:val="16"/>
              </w:rPr>
              <w:t>79</w:t>
            </w:r>
          </w:p>
        </w:tc>
        <w:tc>
          <w:tcPr>
            <w:tcW w:type="dxa" w:w="1814"/>
          </w:tcPr>
          <w:p>
            <w:r/>
            <w:r>
              <w:rPr>
                <w:sz w:val="16"/>
              </w:rPr>
              <w:t>52.5</w:t>
            </w:r>
          </w:p>
        </w:tc>
        <w:tc>
          <w:tcPr>
            <w:tcW w:type="dxa" w:w="1814"/>
          </w:tcPr>
          <w:p>
            <w:r/>
            <w:r>
              <w:rPr>
                <w:sz w:val="16"/>
              </w:rPr>
              <w:t>81.0</w:t>
            </w:r>
          </w:p>
        </w:tc>
      </w:tr>
      <w:tr>
        <w:tc>
          <w:tcPr>
            <w:tcW w:type="dxa" w:w="1814"/>
          </w:tcPr>
          <w:p>
            <w:r/>
            <w:r>
              <w:rPr>
                <w:sz w:val="16"/>
              </w:rPr>
              <w:t>2018</w:t>
            </w:r>
          </w:p>
        </w:tc>
        <w:tc>
          <w:tcPr>
            <w:tcW w:type="dxa" w:w="1814"/>
          </w:tcPr>
          <w:p>
            <w:r/>
            <w:r>
              <w:rPr>
                <w:sz w:val="16"/>
              </w:rPr>
              <w:t>SP</w:t>
            </w:r>
          </w:p>
        </w:tc>
        <w:tc>
          <w:tcPr>
            <w:tcW w:type="dxa" w:w="1814"/>
          </w:tcPr>
          <w:p>
            <w:r/>
            <w:r>
              <w:rPr>
                <w:sz w:val="16"/>
              </w:rPr>
              <w:t>78</w:t>
            </w:r>
          </w:p>
        </w:tc>
        <w:tc>
          <w:tcPr>
            <w:tcW w:type="dxa" w:w="1814"/>
          </w:tcPr>
          <w:p>
            <w:r/>
            <w:r>
              <w:rPr>
                <w:sz w:val="16"/>
              </w:rPr>
              <w:t>46.3</w:t>
            </w:r>
          </w:p>
        </w:tc>
        <w:tc>
          <w:tcPr>
            <w:tcW w:type="dxa" w:w="1814"/>
          </w:tcPr>
          <w:p>
            <w:r/>
            <w:r>
              <w:rPr>
                <w:sz w:val="16"/>
              </w:rPr>
              <w:t>92.3</w:t>
            </w:r>
          </w:p>
        </w:tc>
      </w:tr>
      <w:tr>
        <w:tc>
          <w:tcPr>
            <w:tcW w:type="dxa" w:w="1814"/>
          </w:tcPr>
          <w:p>
            <w:r/>
            <w:r>
              <w:rPr>
                <w:sz w:val="16"/>
              </w:rPr>
              <w:t>2017–2018</w:t>
            </w:r>
          </w:p>
        </w:tc>
        <w:tc>
          <w:tcPr>
            <w:tcW w:type="dxa" w:w="1814"/>
          </w:tcPr>
          <w:p>
            <w:r/>
            <w:r>
              <w:rPr>
                <w:sz w:val="16"/>
              </w:rPr>
              <w:t>Brasil</w:t>
            </w:r>
          </w:p>
        </w:tc>
        <w:tc>
          <w:tcPr>
            <w:tcW w:type="dxa" w:w="1814"/>
          </w:tcPr>
          <w:p>
            <w:r/>
            <w:r>
              <w:rPr>
                <w:sz w:val="16"/>
              </w:rPr>
              <w:t>452</w:t>
            </w:r>
          </w:p>
        </w:tc>
        <w:tc>
          <w:tcPr>
            <w:tcW w:type="dxa" w:w="1814"/>
          </w:tcPr>
          <w:p>
            <w:r/>
            <w:r>
              <w:rPr>
                <w:sz w:val="16"/>
              </w:rPr>
              <w:t>48.9</w:t>
            </w:r>
          </w:p>
        </w:tc>
        <w:tc>
          <w:tcPr>
            <w:tcW w:type="dxa" w:w="1814"/>
          </w:tcPr>
          <w:p>
            <w:r/>
            <w:r>
              <w:rPr>
                <w:sz w:val="16"/>
              </w:rPr>
              <w:t>86.5</w:t>
            </w:r>
          </w:p>
        </w:tc>
      </w:tr>
    </w:tbl>
    <w:p>
      <w:pPr>
        <w:spacing w:before="240" w:after="80"/>
      </w:pPr>
      <w:r>
        <w:rPr>
          <w:b/>
          <w:sz w:val="20"/>
        </w:rPr>
        <w:t>Tabela S10. Óbitos por influenza (J09–J11) por faixa etária</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Ano</w:t>
            </w:r>
          </w:p>
        </w:tc>
        <w:tc>
          <w:tcPr>
            <w:tcW w:type="dxa" w:w="1512"/>
          </w:tcPr>
          <w:p>
            <w:r/>
            <w:r>
              <w:rPr>
                <w:b/>
                <w:sz w:val="16"/>
              </w:rPr>
              <w:t>Menores de 5 anos</w:t>
            </w:r>
          </w:p>
        </w:tc>
        <w:tc>
          <w:tcPr>
            <w:tcW w:type="dxa" w:w="1512"/>
          </w:tcPr>
          <w:p>
            <w:r/>
            <w:r>
              <w:rPr>
                <w:b/>
                <w:sz w:val="16"/>
              </w:rPr>
              <w:t>5 a 59 anos</w:t>
            </w:r>
          </w:p>
        </w:tc>
        <w:tc>
          <w:tcPr>
            <w:tcW w:type="dxa" w:w="1512"/>
          </w:tcPr>
          <w:p>
            <w:r/>
            <w:r>
              <w:rPr>
                <w:b/>
                <w:sz w:val="16"/>
              </w:rPr>
              <w:t>60 a 74 anos</w:t>
            </w:r>
          </w:p>
        </w:tc>
        <w:tc>
          <w:tcPr>
            <w:tcW w:type="dxa" w:w="1512"/>
          </w:tcPr>
          <w:p>
            <w:r/>
            <w:r>
              <w:rPr>
                <w:b/>
                <w:sz w:val="16"/>
              </w:rPr>
              <w:t>75 anos ou mais</w:t>
            </w:r>
          </w:p>
        </w:tc>
        <w:tc>
          <w:tcPr>
            <w:tcW w:type="dxa" w:w="1512"/>
          </w:tcPr>
          <w:p>
            <w:r/>
            <w:r>
              <w:rPr>
                <w:b/>
                <w:sz w:val="16"/>
              </w:rPr>
              <w:t>Total</w:t>
            </w:r>
          </w:p>
        </w:tc>
      </w:tr>
      <w:tr>
        <w:tc>
          <w:tcPr>
            <w:tcW w:type="dxa" w:w="1512"/>
          </w:tcPr>
          <w:p>
            <w:r/>
            <w:r>
              <w:rPr>
                <w:sz w:val="16"/>
              </w:rPr>
              <w:t>2015</w:t>
            </w:r>
          </w:p>
        </w:tc>
        <w:tc>
          <w:tcPr>
            <w:tcW w:type="dxa" w:w="1512"/>
          </w:tcPr>
          <w:p>
            <w:r/>
            <w:r>
              <w:rPr>
                <w:sz w:val="16"/>
              </w:rPr>
              <w:t>8</w:t>
            </w:r>
          </w:p>
        </w:tc>
        <w:tc>
          <w:tcPr>
            <w:tcW w:type="dxa" w:w="1512"/>
          </w:tcPr>
          <w:p>
            <w:r/>
            <w:r>
              <w:rPr>
                <w:sz w:val="16"/>
              </w:rPr>
              <w:t>85</w:t>
            </w:r>
          </w:p>
        </w:tc>
        <w:tc>
          <w:tcPr>
            <w:tcW w:type="dxa" w:w="1512"/>
          </w:tcPr>
          <w:p>
            <w:r/>
            <w:r>
              <w:rPr>
                <w:sz w:val="16"/>
              </w:rPr>
              <w:t>46</w:t>
            </w:r>
          </w:p>
        </w:tc>
        <w:tc>
          <w:tcPr>
            <w:tcW w:type="dxa" w:w="1512"/>
          </w:tcPr>
          <w:p>
            <w:r/>
            <w:r>
              <w:rPr>
                <w:sz w:val="16"/>
              </w:rPr>
              <w:t>161</w:t>
            </w:r>
          </w:p>
        </w:tc>
        <w:tc>
          <w:tcPr>
            <w:tcW w:type="dxa" w:w="1512"/>
          </w:tcPr>
          <w:p>
            <w:r/>
            <w:r>
              <w:rPr>
                <w:sz w:val="16"/>
              </w:rPr>
              <w:t>301</w:t>
            </w:r>
          </w:p>
        </w:tc>
      </w:tr>
      <w:tr>
        <w:tc>
          <w:tcPr>
            <w:tcW w:type="dxa" w:w="1512"/>
          </w:tcPr>
          <w:p>
            <w:r/>
            <w:r>
              <w:rPr>
                <w:sz w:val="16"/>
              </w:rPr>
              <w:t>2016</w:t>
            </w:r>
          </w:p>
        </w:tc>
        <w:tc>
          <w:tcPr>
            <w:tcW w:type="dxa" w:w="1512"/>
          </w:tcPr>
          <w:p>
            <w:r/>
            <w:r>
              <w:rPr>
                <w:sz w:val="16"/>
              </w:rPr>
              <w:t>122</w:t>
            </w:r>
          </w:p>
        </w:tc>
        <w:tc>
          <w:tcPr>
            <w:tcW w:type="dxa" w:w="1512"/>
          </w:tcPr>
          <w:p>
            <w:r/>
            <w:r>
              <w:rPr>
                <w:sz w:val="16"/>
              </w:rPr>
              <w:t>993</w:t>
            </w:r>
          </w:p>
        </w:tc>
        <w:tc>
          <w:tcPr>
            <w:tcW w:type="dxa" w:w="1512"/>
          </w:tcPr>
          <w:p>
            <w:r/>
            <w:r>
              <w:rPr>
                <w:sz w:val="16"/>
              </w:rPr>
              <w:t>358</w:t>
            </w:r>
          </w:p>
        </w:tc>
        <w:tc>
          <w:tcPr>
            <w:tcW w:type="dxa" w:w="1512"/>
          </w:tcPr>
          <w:p>
            <w:r/>
            <w:r>
              <w:rPr>
                <w:sz w:val="16"/>
              </w:rPr>
              <w:t>283</w:t>
            </w:r>
          </w:p>
        </w:tc>
        <w:tc>
          <w:tcPr>
            <w:tcW w:type="dxa" w:w="1512"/>
          </w:tcPr>
          <w:p>
            <w:r/>
            <w:r>
              <w:rPr>
                <w:sz w:val="16"/>
              </w:rPr>
              <w:t>1756</w:t>
            </w:r>
          </w:p>
        </w:tc>
      </w:tr>
      <w:tr>
        <w:tc>
          <w:tcPr>
            <w:tcW w:type="dxa" w:w="1512"/>
          </w:tcPr>
          <w:p>
            <w:r/>
            <w:r>
              <w:rPr>
                <w:sz w:val="16"/>
              </w:rPr>
              <w:t>2017</w:t>
            </w:r>
          </w:p>
        </w:tc>
        <w:tc>
          <w:tcPr>
            <w:tcW w:type="dxa" w:w="1512"/>
          </w:tcPr>
          <w:p>
            <w:r/>
            <w:r>
              <w:rPr>
                <w:sz w:val="16"/>
              </w:rPr>
              <w:t>26</w:t>
            </w:r>
          </w:p>
        </w:tc>
        <w:tc>
          <w:tcPr>
            <w:tcW w:type="dxa" w:w="1512"/>
          </w:tcPr>
          <w:p>
            <w:r/>
            <w:r>
              <w:rPr>
                <w:sz w:val="16"/>
              </w:rPr>
              <w:t>157</w:t>
            </w:r>
          </w:p>
        </w:tc>
        <w:tc>
          <w:tcPr>
            <w:tcW w:type="dxa" w:w="1512"/>
          </w:tcPr>
          <w:p>
            <w:r/>
            <w:r>
              <w:rPr>
                <w:sz w:val="16"/>
              </w:rPr>
              <w:t>108</w:t>
            </w:r>
          </w:p>
        </w:tc>
        <w:tc>
          <w:tcPr>
            <w:tcW w:type="dxa" w:w="1512"/>
          </w:tcPr>
          <w:p>
            <w:r/>
            <w:r>
              <w:rPr>
                <w:sz w:val="16"/>
              </w:rPr>
              <w:t>294</w:t>
            </w:r>
          </w:p>
        </w:tc>
        <w:tc>
          <w:tcPr>
            <w:tcW w:type="dxa" w:w="1512"/>
          </w:tcPr>
          <w:p>
            <w:r/>
            <w:r>
              <w:rPr>
                <w:sz w:val="16"/>
              </w:rPr>
              <w:t>585</w:t>
            </w:r>
          </w:p>
        </w:tc>
      </w:tr>
      <w:tr>
        <w:tc>
          <w:tcPr>
            <w:tcW w:type="dxa" w:w="1512"/>
          </w:tcPr>
          <w:p>
            <w:r/>
            <w:r>
              <w:rPr>
                <w:sz w:val="16"/>
              </w:rPr>
              <w:t>2018</w:t>
            </w:r>
          </w:p>
        </w:tc>
        <w:tc>
          <w:tcPr>
            <w:tcW w:type="dxa" w:w="1512"/>
          </w:tcPr>
          <w:p>
            <w:r/>
            <w:r>
              <w:rPr>
                <w:sz w:val="16"/>
              </w:rPr>
              <w:t>110</w:t>
            </w:r>
          </w:p>
        </w:tc>
        <w:tc>
          <w:tcPr>
            <w:tcW w:type="dxa" w:w="1512"/>
          </w:tcPr>
          <w:p>
            <w:r/>
            <w:r>
              <w:rPr>
                <w:sz w:val="16"/>
              </w:rPr>
              <w:t>514</w:t>
            </w:r>
          </w:p>
        </w:tc>
        <w:tc>
          <w:tcPr>
            <w:tcW w:type="dxa" w:w="1512"/>
          </w:tcPr>
          <w:p>
            <w:r/>
            <w:r>
              <w:rPr>
                <w:sz w:val="16"/>
              </w:rPr>
              <w:t>242</w:t>
            </w:r>
          </w:p>
        </w:tc>
        <w:tc>
          <w:tcPr>
            <w:tcW w:type="dxa" w:w="1512"/>
          </w:tcPr>
          <w:p>
            <w:r/>
            <w:r>
              <w:rPr>
                <w:sz w:val="16"/>
              </w:rPr>
              <w:t>349</w:t>
            </w:r>
          </w:p>
        </w:tc>
        <w:tc>
          <w:tcPr>
            <w:tcW w:type="dxa" w:w="1512"/>
          </w:tcPr>
          <w:p>
            <w:r/>
            <w:r>
              <w:rPr>
                <w:sz w:val="16"/>
              </w:rPr>
              <w:t>1215</w:t>
            </w:r>
          </w:p>
        </w:tc>
      </w:tr>
      <w:tr>
        <w:tc>
          <w:tcPr>
            <w:tcW w:type="dxa" w:w="1512"/>
          </w:tcPr>
          <w:p>
            <w:r/>
            <w:r>
              <w:rPr>
                <w:sz w:val="16"/>
              </w:rPr>
              <w:t>2019</w:t>
            </w:r>
          </w:p>
        </w:tc>
        <w:tc>
          <w:tcPr>
            <w:tcW w:type="dxa" w:w="1512"/>
          </w:tcPr>
          <w:p>
            <w:r/>
            <w:r>
              <w:rPr>
                <w:sz w:val="16"/>
              </w:rPr>
              <w:t>118</w:t>
            </w:r>
          </w:p>
        </w:tc>
        <w:tc>
          <w:tcPr>
            <w:tcW w:type="dxa" w:w="1512"/>
          </w:tcPr>
          <w:p>
            <w:r/>
            <w:r>
              <w:rPr>
                <w:sz w:val="16"/>
              </w:rPr>
              <w:t>434</w:t>
            </w:r>
          </w:p>
        </w:tc>
        <w:tc>
          <w:tcPr>
            <w:tcW w:type="dxa" w:w="1512"/>
          </w:tcPr>
          <w:p>
            <w:r/>
            <w:r>
              <w:rPr>
                <w:sz w:val="16"/>
              </w:rPr>
              <w:t>227</w:t>
            </w:r>
          </w:p>
        </w:tc>
        <w:tc>
          <w:tcPr>
            <w:tcW w:type="dxa" w:w="1512"/>
          </w:tcPr>
          <w:p>
            <w:r/>
            <w:r>
              <w:rPr>
                <w:sz w:val="16"/>
              </w:rPr>
              <w:t>345</w:t>
            </w:r>
          </w:p>
        </w:tc>
        <w:tc>
          <w:tcPr>
            <w:tcW w:type="dxa" w:w="1512"/>
          </w:tcPr>
          <w:p>
            <w:r/>
            <w:r>
              <w:rPr>
                <w:sz w:val="16"/>
              </w:rPr>
              <w:t>1125</w:t>
            </w:r>
          </w:p>
        </w:tc>
      </w:tr>
      <w:tr>
        <w:tc>
          <w:tcPr>
            <w:tcW w:type="dxa" w:w="1512"/>
          </w:tcPr>
          <w:p>
            <w:r/>
            <w:r>
              <w:rPr>
                <w:sz w:val="16"/>
              </w:rPr>
              <w:t>2020</w:t>
            </w:r>
          </w:p>
        </w:tc>
        <w:tc>
          <w:tcPr>
            <w:tcW w:type="dxa" w:w="1512"/>
          </w:tcPr>
          <w:p>
            <w:r/>
            <w:r>
              <w:rPr>
                <w:sz w:val="16"/>
              </w:rPr>
              <w:t>38</w:t>
            </w:r>
          </w:p>
        </w:tc>
        <w:tc>
          <w:tcPr>
            <w:tcW w:type="dxa" w:w="1512"/>
          </w:tcPr>
          <w:p>
            <w:r/>
            <w:r>
              <w:rPr>
                <w:sz w:val="16"/>
              </w:rPr>
              <w:t>298</w:t>
            </w:r>
          </w:p>
        </w:tc>
        <w:tc>
          <w:tcPr>
            <w:tcW w:type="dxa" w:w="1512"/>
          </w:tcPr>
          <w:p>
            <w:r/>
            <w:r>
              <w:rPr>
                <w:sz w:val="16"/>
              </w:rPr>
              <w:t>315</w:t>
            </w:r>
          </w:p>
        </w:tc>
        <w:tc>
          <w:tcPr>
            <w:tcW w:type="dxa" w:w="1512"/>
          </w:tcPr>
          <w:p>
            <w:r/>
            <w:r>
              <w:rPr>
                <w:sz w:val="16"/>
              </w:rPr>
              <w:t>535</w:t>
            </w:r>
          </w:p>
        </w:tc>
        <w:tc>
          <w:tcPr>
            <w:tcW w:type="dxa" w:w="1512"/>
          </w:tcPr>
          <w:p>
            <w:r/>
            <w:r>
              <w:rPr>
                <w:sz w:val="16"/>
              </w:rPr>
              <w:t>1186</w:t>
            </w:r>
          </w:p>
        </w:tc>
      </w:tr>
      <w:tr>
        <w:tc>
          <w:tcPr>
            <w:tcW w:type="dxa" w:w="1512"/>
          </w:tcPr>
          <w:p>
            <w:r/>
            <w:r>
              <w:rPr>
                <w:sz w:val="16"/>
              </w:rPr>
              <w:t>2021</w:t>
            </w:r>
          </w:p>
        </w:tc>
        <w:tc>
          <w:tcPr>
            <w:tcW w:type="dxa" w:w="1512"/>
          </w:tcPr>
          <w:p>
            <w:r/>
            <w:r>
              <w:rPr>
                <w:sz w:val="16"/>
              </w:rPr>
              <w:t>43</w:t>
            </w:r>
          </w:p>
        </w:tc>
        <w:tc>
          <w:tcPr>
            <w:tcW w:type="dxa" w:w="1512"/>
          </w:tcPr>
          <w:p>
            <w:r/>
            <w:r>
              <w:rPr>
                <w:sz w:val="16"/>
              </w:rPr>
              <w:t>302</w:t>
            </w:r>
          </w:p>
        </w:tc>
        <w:tc>
          <w:tcPr>
            <w:tcW w:type="dxa" w:w="1512"/>
          </w:tcPr>
          <w:p>
            <w:r/>
            <w:r>
              <w:rPr>
                <w:sz w:val="16"/>
              </w:rPr>
              <w:t>381</w:t>
            </w:r>
          </w:p>
        </w:tc>
        <w:tc>
          <w:tcPr>
            <w:tcW w:type="dxa" w:w="1512"/>
          </w:tcPr>
          <w:p>
            <w:r/>
            <w:r>
              <w:rPr>
                <w:sz w:val="16"/>
              </w:rPr>
              <w:t>687</w:t>
            </w:r>
          </w:p>
        </w:tc>
        <w:tc>
          <w:tcPr>
            <w:tcW w:type="dxa" w:w="1512"/>
          </w:tcPr>
          <w:p>
            <w:r/>
            <w:r>
              <w:rPr>
                <w:sz w:val="16"/>
              </w:rPr>
              <w:t>1413</w:t>
            </w:r>
          </w:p>
        </w:tc>
      </w:tr>
      <w:tr>
        <w:tc>
          <w:tcPr>
            <w:tcW w:type="dxa" w:w="1512"/>
          </w:tcPr>
          <w:p>
            <w:r/>
            <w:r>
              <w:rPr>
                <w:sz w:val="16"/>
              </w:rPr>
              <w:t>2022</w:t>
            </w:r>
          </w:p>
        </w:tc>
        <w:tc>
          <w:tcPr>
            <w:tcW w:type="dxa" w:w="1512"/>
          </w:tcPr>
          <w:p>
            <w:r/>
            <w:r>
              <w:rPr>
                <w:sz w:val="16"/>
              </w:rPr>
              <w:t>101</w:t>
            </w:r>
          </w:p>
        </w:tc>
        <w:tc>
          <w:tcPr>
            <w:tcW w:type="dxa" w:w="1512"/>
          </w:tcPr>
          <w:p>
            <w:r/>
            <w:r>
              <w:rPr>
                <w:sz w:val="16"/>
              </w:rPr>
              <w:t>571</w:t>
            </w:r>
          </w:p>
        </w:tc>
        <w:tc>
          <w:tcPr>
            <w:tcW w:type="dxa" w:w="1512"/>
          </w:tcPr>
          <w:p>
            <w:r/>
            <w:r>
              <w:rPr>
                <w:sz w:val="16"/>
              </w:rPr>
              <w:t>779</w:t>
            </w:r>
          </w:p>
        </w:tc>
        <w:tc>
          <w:tcPr>
            <w:tcW w:type="dxa" w:w="1512"/>
          </w:tcPr>
          <w:p>
            <w:r/>
            <w:r>
              <w:rPr>
                <w:sz w:val="16"/>
              </w:rPr>
              <w:t>1798</w:t>
            </w:r>
          </w:p>
        </w:tc>
        <w:tc>
          <w:tcPr>
            <w:tcW w:type="dxa" w:w="1512"/>
          </w:tcPr>
          <w:p>
            <w:r/>
            <w:r>
              <w:rPr>
                <w:sz w:val="16"/>
              </w:rPr>
              <w:t>3249</w:t>
            </w:r>
          </w:p>
        </w:tc>
      </w:tr>
      <w:tr>
        <w:tc>
          <w:tcPr>
            <w:tcW w:type="dxa" w:w="1512"/>
          </w:tcPr>
          <w:p>
            <w:r/>
            <w:r>
              <w:rPr>
                <w:sz w:val="16"/>
              </w:rPr>
              <w:t>2023</w:t>
            </w:r>
          </w:p>
        </w:tc>
        <w:tc>
          <w:tcPr>
            <w:tcW w:type="dxa" w:w="1512"/>
          </w:tcPr>
          <w:p>
            <w:r/>
            <w:r>
              <w:rPr>
                <w:sz w:val="16"/>
              </w:rPr>
              <w:t>133</w:t>
            </w:r>
          </w:p>
        </w:tc>
        <w:tc>
          <w:tcPr>
            <w:tcW w:type="dxa" w:w="1512"/>
          </w:tcPr>
          <w:p>
            <w:r/>
            <w:r>
              <w:rPr>
                <w:sz w:val="16"/>
              </w:rPr>
              <w:t>377</w:t>
            </w:r>
          </w:p>
        </w:tc>
        <w:tc>
          <w:tcPr>
            <w:tcW w:type="dxa" w:w="1512"/>
          </w:tcPr>
          <w:p>
            <w:r/>
            <w:r>
              <w:rPr>
                <w:sz w:val="16"/>
              </w:rPr>
              <w:t>257</w:t>
            </w:r>
          </w:p>
        </w:tc>
        <w:tc>
          <w:tcPr>
            <w:tcW w:type="dxa" w:w="1512"/>
          </w:tcPr>
          <w:p>
            <w:r/>
            <w:r>
              <w:rPr>
                <w:sz w:val="16"/>
              </w:rPr>
              <w:t>567</w:t>
            </w:r>
          </w:p>
        </w:tc>
        <w:tc>
          <w:tcPr>
            <w:tcW w:type="dxa" w:w="1512"/>
          </w:tcPr>
          <w:p>
            <w:r/>
            <w:r>
              <w:rPr>
                <w:sz w:val="16"/>
              </w:rPr>
              <w:t>1334</w:t>
            </w:r>
          </w:p>
        </w:tc>
      </w:tr>
      <w:tr>
        <w:tc>
          <w:tcPr>
            <w:tcW w:type="dxa" w:w="1512"/>
          </w:tcPr>
          <w:p>
            <w:r/>
            <w:r>
              <w:rPr>
                <w:sz w:val="16"/>
              </w:rPr>
              <w:t>2024</w:t>
            </w:r>
          </w:p>
        </w:tc>
        <w:tc>
          <w:tcPr>
            <w:tcW w:type="dxa" w:w="1512"/>
          </w:tcPr>
          <w:p>
            <w:r/>
            <w:r>
              <w:rPr>
                <w:sz w:val="16"/>
              </w:rPr>
              <w:t>121</w:t>
            </w:r>
          </w:p>
        </w:tc>
        <w:tc>
          <w:tcPr>
            <w:tcW w:type="dxa" w:w="1512"/>
          </w:tcPr>
          <w:p>
            <w:r/>
            <w:r>
              <w:rPr>
                <w:sz w:val="16"/>
              </w:rPr>
              <w:t>617</w:t>
            </w:r>
          </w:p>
        </w:tc>
        <w:tc>
          <w:tcPr>
            <w:tcW w:type="dxa" w:w="1512"/>
          </w:tcPr>
          <w:p>
            <w:r/>
            <w:r>
              <w:rPr>
                <w:sz w:val="16"/>
              </w:rPr>
              <w:t>540</w:t>
            </w:r>
          </w:p>
        </w:tc>
        <w:tc>
          <w:tcPr>
            <w:tcW w:type="dxa" w:w="1512"/>
          </w:tcPr>
          <w:p>
            <w:r/>
            <w:r>
              <w:rPr>
                <w:sz w:val="16"/>
              </w:rPr>
              <w:t>1179</w:t>
            </w:r>
          </w:p>
        </w:tc>
        <w:tc>
          <w:tcPr>
            <w:tcW w:type="dxa" w:w="1512"/>
          </w:tcPr>
          <w:p>
            <w:r/>
            <w:r>
              <w:rPr>
                <w:sz w:val="16"/>
              </w:rPr>
              <w:t>2458</w:t>
            </w:r>
          </w:p>
        </w:tc>
      </w:tr>
      <w:tr>
        <w:tc>
          <w:tcPr>
            <w:tcW w:type="dxa" w:w="1512"/>
          </w:tcPr>
          <w:p>
            <w:r/>
            <w:r>
              <w:rPr>
                <w:sz w:val="16"/>
              </w:rPr>
              <w:t>2025</w:t>
            </w:r>
          </w:p>
        </w:tc>
        <w:tc>
          <w:tcPr>
            <w:tcW w:type="dxa" w:w="1512"/>
          </w:tcPr>
          <w:p>
            <w:r/>
            <w:r>
              <w:rPr>
                <w:sz w:val="16"/>
              </w:rPr>
              <w:t>132</w:t>
            </w:r>
          </w:p>
        </w:tc>
        <w:tc>
          <w:tcPr>
            <w:tcW w:type="dxa" w:w="1512"/>
          </w:tcPr>
          <w:p>
            <w:r/>
            <w:r>
              <w:rPr>
                <w:sz w:val="16"/>
              </w:rPr>
              <w:t>988</w:t>
            </w:r>
          </w:p>
        </w:tc>
        <w:tc>
          <w:tcPr>
            <w:tcW w:type="dxa" w:w="1512"/>
          </w:tcPr>
          <w:p>
            <w:r/>
            <w:r>
              <w:rPr>
                <w:sz w:val="16"/>
              </w:rPr>
              <w:t>1295</w:t>
            </w:r>
          </w:p>
        </w:tc>
        <w:tc>
          <w:tcPr>
            <w:tcW w:type="dxa" w:w="1512"/>
          </w:tcPr>
          <w:p>
            <w:r/>
            <w:r>
              <w:rPr>
                <w:sz w:val="16"/>
              </w:rPr>
              <w:t>2160</w:t>
            </w:r>
          </w:p>
        </w:tc>
        <w:tc>
          <w:tcPr>
            <w:tcW w:type="dxa" w:w="1512"/>
          </w:tcPr>
          <w:p>
            <w:r/>
            <w:r>
              <w:rPr>
                <w:sz w:val="16"/>
              </w:rPr>
              <w:t>4575</w:t>
            </w:r>
          </w:p>
        </w:tc>
      </w:tr>
    </w:tbl>
    <w:p>
      <w:pPr>
        <w:spacing w:before="240" w:after="80"/>
      </w:pPr>
      <w:r>
        <w:rPr>
          <w:b/>
          <w:sz w:val="20"/>
        </w:rPr>
        <w:t>Tabela S11. Óbitos por COVID-19 (B34.2) por faixa etária, a partir de 2021</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Ano</w:t>
            </w:r>
          </w:p>
        </w:tc>
        <w:tc>
          <w:tcPr>
            <w:tcW w:type="dxa" w:w="1512"/>
          </w:tcPr>
          <w:p>
            <w:r/>
            <w:r>
              <w:rPr>
                <w:b/>
                <w:sz w:val="16"/>
              </w:rPr>
              <w:t>Menores de 5 anos</w:t>
            </w:r>
          </w:p>
        </w:tc>
        <w:tc>
          <w:tcPr>
            <w:tcW w:type="dxa" w:w="1512"/>
          </w:tcPr>
          <w:p>
            <w:r/>
            <w:r>
              <w:rPr>
                <w:b/>
                <w:sz w:val="16"/>
              </w:rPr>
              <w:t>5 a 59 anos</w:t>
            </w:r>
          </w:p>
        </w:tc>
        <w:tc>
          <w:tcPr>
            <w:tcW w:type="dxa" w:w="1512"/>
          </w:tcPr>
          <w:p>
            <w:r/>
            <w:r>
              <w:rPr>
                <w:b/>
                <w:sz w:val="16"/>
              </w:rPr>
              <w:t>60 a 74 anos</w:t>
            </w:r>
          </w:p>
        </w:tc>
        <w:tc>
          <w:tcPr>
            <w:tcW w:type="dxa" w:w="1512"/>
          </w:tcPr>
          <w:p>
            <w:r/>
            <w:r>
              <w:rPr>
                <w:b/>
                <w:sz w:val="16"/>
              </w:rPr>
              <w:t>75 anos ou mais</w:t>
            </w:r>
          </w:p>
        </w:tc>
        <w:tc>
          <w:tcPr>
            <w:tcW w:type="dxa" w:w="1512"/>
          </w:tcPr>
          <w:p>
            <w:r/>
            <w:r>
              <w:rPr>
                <w:b/>
                <w:sz w:val="16"/>
              </w:rPr>
              <w:t>Total</w:t>
            </w:r>
          </w:p>
        </w:tc>
      </w:tr>
      <w:tr>
        <w:tc>
          <w:tcPr>
            <w:tcW w:type="dxa" w:w="1512"/>
          </w:tcPr>
          <w:p>
            <w:r/>
            <w:r>
              <w:rPr>
                <w:sz w:val="16"/>
              </w:rPr>
              <w:t>2021</w:t>
            </w:r>
          </w:p>
        </w:tc>
        <w:tc>
          <w:tcPr>
            <w:tcW w:type="dxa" w:w="1512"/>
          </w:tcPr>
          <w:p>
            <w:r/>
            <w:r>
              <w:rPr>
                <w:sz w:val="16"/>
              </w:rPr>
              <w:t>557</w:t>
            </w:r>
          </w:p>
        </w:tc>
        <w:tc>
          <w:tcPr>
            <w:tcW w:type="dxa" w:w="1512"/>
          </w:tcPr>
          <w:p>
            <w:r/>
            <w:r>
              <w:rPr>
                <w:sz w:val="16"/>
              </w:rPr>
              <w:t>150350</w:t>
            </w:r>
          </w:p>
        </w:tc>
        <w:tc>
          <w:tcPr>
            <w:tcW w:type="dxa" w:w="1512"/>
          </w:tcPr>
          <w:p>
            <w:r/>
            <w:r>
              <w:rPr>
                <w:sz w:val="16"/>
              </w:rPr>
              <w:t>149671</w:t>
            </w:r>
          </w:p>
        </w:tc>
        <w:tc>
          <w:tcPr>
            <w:tcW w:type="dxa" w:w="1512"/>
          </w:tcPr>
          <w:p>
            <w:r/>
            <w:r>
              <w:rPr>
                <w:sz w:val="16"/>
              </w:rPr>
              <w:t>123852</w:t>
            </w:r>
          </w:p>
        </w:tc>
        <w:tc>
          <w:tcPr>
            <w:tcW w:type="dxa" w:w="1512"/>
          </w:tcPr>
          <w:p>
            <w:r/>
            <w:r>
              <w:rPr>
                <w:sz w:val="16"/>
              </w:rPr>
              <w:t>424461</w:t>
            </w:r>
          </w:p>
        </w:tc>
      </w:tr>
      <w:tr>
        <w:tc>
          <w:tcPr>
            <w:tcW w:type="dxa" w:w="1512"/>
          </w:tcPr>
          <w:p>
            <w:r/>
            <w:r>
              <w:rPr>
                <w:sz w:val="16"/>
              </w:rPr>
              <w:t>2022</w:t>
            </w:r>
          </w:p>
        </w:tc>
        <w:tc>
          <w:tcPr>
            <w:tcW w:type="dxa" w:w="1512"/>
          </w:tcPr>
          <w:p>
            <w:r/>
            <w:r>
              <w:rPr>
                <w:sz w:val="16"/>
              </w:rPr>
              <w:t>510</w:t>
            </w:r>
          </w:p>
        </w:tc>
        <w:tc>
          <w:tcPr>
            <w:tcW w:type="dxa" w:w="1512"/>
          </w:tcPr>
          <w:p>
            <w:r/>
            <w:r>
              <w:rPr>
                <w:sz w:val="16"/>
              </w:rPr>
              <w:t>9638</w:t>
            </w:r>
          </w:p>
        </w:tc>
        <w:tc>
          <w:tcPr>
            <w:tcW w:type="dxa" w:w="1512"/>
          </w:tcPr>
          <w:p>
            <w:r/>
            <w:r>
              <w:rPr>
                <w:sz w:val="16"/>
              </w:rPr>
              <w:t>17725</w:t>
            </w:r>
          </w:p>
        </w:tc>
        <w:tc>
          <w:tcPr>
            <w:tcW w:type="dxa" w:w="1512"/>
          </w:tcPr>
          <w:p>
            <w:r/>
            <w:r>
              <w:rPr>
                <w:sz w:val="16"/>
              </w:rPr>
              <w:t>37876</w:t>
            </w:r>
          </w:p>
        </w:tc>
        <w:tc>
          <w:tcPr>
            <w:tcW w:type="dxa" w:w="1512"/>
          </w:tcPr>
          <w:p>
            <w:r/>
            <w:r>
              <w:rPr>
                <w:sz w:val="16"/>
              </w:rPr>
              <w:t>65764</w:t>
            </w:r>
          </w:p>
        </w:tc>
      </w:tr>
      <w:tr>
        <w:tc>
          <w:tcPr>
            <w:tcW w:type="dxa" w:w="1512"/>
          </w:tcPr>
          <w:p>
            <w:r/>
            <w:r>
              <w:rPr>
                <w:sz w:val="16"/>
              </w:rPr>
              <w:t>2023</w:t>
            </w:r>
          </w:p>
        </w:tc>
        <w:tc>
          <w:tcPr>
            <w:tcW w:type="dxa" w:w="1512"/>
          </w:tcPr>
          <w:p>
            <w:r/>
            <w:r>
              <w:rPr>
                <w:sz w:val="16"/>
              </w:rPr>
              <w:t>166</w:t>
            </w:r>
          </w:p>
        </w:tc>
        <w:tc>
          <w:tcPr>
            <w:tcW w:type="dxa" w:w="1512"/>
          </w:tcPr>
          <w:p>
            <w:r/>
            <w:r>
              <w:rPr>
                <w:sz w:val="16"/>
              </w:rPr>
              <w:t>1461</w:t>
            </w:r>
          </w:p>
        </w:tc>
        <w:tc>
          <w:tcPr>
            <w:tcW w:type="dxa" w:w="1512"/>
          </w:tcPr>
          <w:p>
            <w:r/>
            <w:r>
              <w:rPr>
                <w:sz w:val="16"/>
              </w:rPr>
              <w:t>2749</w:t>
            </w:r>
          </w:p>
        </w:tc>
        <w:tc>
          <w:tcPr>
            <w:tcW w:type="dxa" w:w="1512"/>
          </w:tcPr>
          <w:p>
            <w:r/>
            <w:r>
              <w:rPr>
                <w:sz w:val="16"/>
              </w:rPr>
              <w:t>5897</w:t>
            </w:r>
          </w:p>
        </w:tc>
        <w:tc>
          <w:tcPr>
            <w:tcW w:type="dxa" w:w="1512"/>
          </w:tcPr>
          <w:p>
            <w:r/>
            <w:r>
              <w:rPr>
                <w:sz w:val="16"/>
              </w:rPr>
              <w:t>10274</w:t>
            </w:r>
          </w:p>
        </w:tc>
      </w:tr>
      <w:tr>
        <w:tc>
          <w:tcPr>
            <w:tcW w:type="dxa" w:w="1512"/>
          </w:tcPr>
          <w:p>
            <w:r/>
            <w:r>
              <w:rPr>
                <w:sz w:val="16"/>
              </w:rPr>
              <w:t>2024</w:t>
            </w:r>
          </w:p>
        </w:tc>
        <w:tc>
          <w:tcPr>
            <w:tcW w:type="dxa" w:w="1512"/>
          </w:tcPr>
          <w:p>
            <w:r/>
            <w:r>
              <w:rPr>
                <w:sz w:val="16"/>
              </w:rPr>
              <w:t>123</w:t>
            </w:r>
          </w:p>
        </w:tc>
        <w:tc>
          <w:tcPr>
            <w:tcW w:type="dxa" w:w="1512"/>
          </w:tcPr>
          <w:p>
            <w:r/>
            <w:r>
              <w:rPr>
                <w:sz w:val="16"/>
              </w:rPr>
              <w:t>853</w:t>
            </w:r>
          </w:p>
        </w:tc>
        <w:tc>
          <w:tcPr>
            <w:tcW w:type="dxa" w:w="1512"/>
          </w:tcPr>
          <w:p>
            <w:r/>
            <w:r>
              <w:rPr>
                <w:sz w:val="16"/>
              </w:rPr>
              <w:t>1428</w:t>
            </w:r>
          </w:p>
        </w:tc>
        <w:tc>
          <w:tcPr>
            <w:tcW w:type="dxa" w:w="1512"/>
          </w:tcPr>
          <w:p>
            <w:r/>
            <w:r>
              <w:rPr>
                <w:sz w:val="16"/>
              </w:rPr>
              <w:t>3201</w:t>
            </w:r>
          </w:p>
        </w:tc>
        <w:tc>
          <w:tcPr>
            <w:tcW w:type="dxa" w:w="1512"/>
          </w:tcPr>
          <w:p>
            <w:r/>
            <w:r>
              <w:rPr>
                <w:sz w:val="16"/>
              </w:rPr>
              <w:t>5605</w:t>
            </w:r>
          </w:p>
        </w:tc>
      </w:tr>
      <w:tr>
        <w:tc>
          <w:tcPr>
            <w:tcW w:type="dxa" w:w="1512"/>
          </w:tcPr>
          <w:p>
            <w:r/>
            <w:r>
              <w:rPr>
                <w:sz w:val="16"/>
              </w:rPr>
              <w:t>2025</w:t>
            </w:r>
          </w:p>
        </w:tc>
        <w:tc>
          <w:tcPr>
            <w:tcW w:type="dxa" w:w="1512"/>
          </w:tcPr>
          <w:p>
            <w:r/>
            <w:r>
              <w:rPr>
                <w:sz w:val="16"/>
              </w:rPr>
              <w:t>77</w:t>
            </w:r>
          </w:p>
        </w:tc>
        <w:tc>
          <w:tcPr>
            <w:tcW w:type="dxa" w:w="1512"/>
          </w:tcPr>
          <w:p>
            <w:r/>
            <w:r>
              <w:rPr>
                <w:sz w:val="16"/>
              </w:rPr>
              <w:t>389</w:t>
            </w:r>
          </w:p>
        </w:tc>
        <w:tc>
          <w:tcPr>
            <w:tcW w:type="dxa" w:w="1512"/>
          </w:tcPr>
          <w:p>
            <w:r/>
            <w:r>
              <w:rPr>
                <w:sz w:val="16"/>
              </w:rPr>
              <w:t>656</w:t>
            </w:r>
          </w:p>
        </w:tc>
        <w:tc>
          <w:tcPr>
            <w:tcW w:type="dxa" w:w="1512"/>
          </w:tcPr>
          <w:p>
            <w:r/>
            <w:r>
              <w:rPr>
                <w:sz w:val="16"/>
              </w:rPr>
              <w:t>1445</w:t>
            </w:r>
          </w:p>
        </w:tc>
        <w:tc>
          <w:tcPr>
            <w:tcW w:type="dxa" w:w="1512"/>
          </w:tcPr>
          <w:p>
            <w:r/>
            <w:r>
              <w:rPr>
                <w:sz w:val="16"/>
              </w:rPr>
              <w:t>2568</w:t>
            </w:r>
          </w:p>
        </w:tc>
      </w:tr>
      <w:tr>
        <w:tc>
          <w:tcPr>
            <w:tcW w:type="dxa" w:w="1512"/>
          </w:tcPr>
          <w:p>
            <w:r/>
            <w:r>
              <w:rPr>
                <w:sz w:val="16"/>
              </w:rPr>
              <w:t>2022–2024</w:t>
            </w:r>
          </w:p>
        </w:tc>
        <w:tc>
          <w:tcPr>
            <w:tcW w:type="dxa" w:w="1512"/>
          </w:tcPr>
          <w:p>
            <w:r/>
            <w:r>
              <w:rPr>
                <w:sz w:val="16"/>
              </w:rPr>
              <w:t>799</w:t>
            </w:r>
          </w:p>
        </w:tc>
        <w:tc>
          <w:tcPr>
            <w:tcW w:type="dxa" w:w="1512"/>
          </w:tcPr>
          <w:p>
            <w:r/>
            <w:r>
              <w:rPr>
                <w:sz w:val="16"/>
              </w:rPr>
              <w:t>11952</w:t>
            </w:r>
          </w:p>
        </w:tc>
        <w:tc>
          <w:tcPr>
            <w:tcW w:type="dxa" w:w="1512"/>
          </w:tcPr>
          <w:p>
            <w:r/>
            <w:r>
              <w:rPr>
                <w:sz w:val="16"/>
              </w:rPr>
              <w:t>21902</w:t>
            </w:r>
          </w:p>
        </w:tc>
        <w:tc>
          <w:tcPr>
            <w:tcW w:type="dxa" w:w="1512"/>
          </w:tcPr>
          <w:p>
            <w:r/>
            <w:r>
              <w:rPr>
                <w:sz w:val="16"/>
              </w:rPr>
              <w:t>46974</w:t>
            </w:r>
          </w:p>
        </w:tc>
        <w:tc>
          <w:tcPr>
            <w:tcW w:type="dxa" w:w="1512"/>
          </w:tcPr>
          <w:p>
            <w:r/>
            <w:r>
              <w:rPr>
                <w:sz w:val="16"/>
              </w:rPr>
              <w:t>81643</w:t>
            </w:r>
          </w:p>
        </w:tc>
      </w:tr>
    </w:tbl>
    <w:p>
      <w:pPr>
        <w:spacing w:before="240" w:after="80"/>
      </w:pPr>
      <w:r>
        <w:rPr>
          <w:b/>
          <w:sz w:val="20"/>
        </w:rPr>
        <w:t>Tabela S12. Óbitos segundo a presença de agente etiológico na causa básica, 2015–2024</w:t>
      </w:r>
    </w:p>
    <w:tbl>
      <w:tblPr>
        <w:tblStyle w:val="LightGrid-Accent1"/>
        <w:tblW w:type="auto" w:w="0"/>
        <w:jc w:val="center"/>
        <w:tblLayout w:type="fixed"/>
        <w:tblLook w:firstColumn="1" w:firstRow="1" w:lastColumn="0" w:lastRow="0" w:noHBand="0" w:noVBand="1" w:val="04A0"/>
      </w:tblPr>
      <w:tblGrid>
        <w:gridCol w:w="3135"/>
        <w:gridCol w:w="3135"/>
        <w:gridCol w:w="3135"/>
      </w:tblGrid>
      <w:tr>
        <w:tc>
          <w:tcPr>
            <w:tcW w:type="dxa" w:w="3024"/>
          </w:tcPr>
          <w:p>
            <w:r/>
            <w:r>
              <w:rPr>
                <w:b/>
                <w:sz w:val="16"/>
              </w:rPr>
              <w:t>Código e descrição</w:t>
            </w:r>
          </w:p>
        </w:tc>
        <w:tc>
          <w:tcPr>
            <w:tcW w:type="dxa" w:w="3024"/>
          </w:tcPr>
          <w:p>
            <w:r/>
            <w:r>
              <w:rPr>
                <w:b/>
                <w:sz w:val="16"/>
              </w:rPr>
              <w:t>Óbitos 2015–2024</w:t>
            </w:r>
          </w:p>
        </w:tc>
        <w:tc>
          <w:tcPr>
            <w:tcW w:type="dxa" w:w="3024"/>
          </w:tcPr>
          <w:p>
            <w:r/>
            <w:r>
              <w:rPr>
                <w:b/>
                <w:sz w:val="16"/>
              </w:rPr>
              <w:t>Agente etiológico nomeado</w:t>
            </w:r>
          </w:p>
        </w:tc>
      </w:tr>
      <w:tr>
        <w:tc>
          <w:tcPr>
            <w:tcW w:type="dxa" w:w="3024"/>
          </w:tcPr>
          <w:p>
            <w:r/>
            <w:r>
              <w:rPr>
                <w:sz w:val="16"/>
              </w:rPr>
              <w:t>R00–R99 — causas mal definidas</w:t>
            </w:r>
          </w:p>
        </w:tc>
        <w:tc>
          <w:tcPr>
            <w:tcW w:type="dxa" w:w="3024"/>
          </w:tcPr>
          <w:p>
            <w:r/>
            <w:r>
              <w:rPr>
                <w:sz w:val="16"/>
              </w:rPr>
              <w:t>772173</w:t>
            </w:r>
          </w:p>
        </w:tc>
        <w:tc>
          <w:tcPr>
            <w:tcW w:type="dxa" w:w="3024"/>
          </w:tcPr>
          <w:p>
            <w:r/>
            <w:r>
              <w:rPr>
                <w:sz w:val="16"/>
              </w:rPr>
              <w:t>não</w:t>
            </w:r>
          </w:p>
        </w:tc>
      </w:tr>
      <w:tr>
        <w:tc>
          <w:tcPr>
            <w:tcW w:type="dxa" w:w="3024"/>
          </w:tcPr>
          <w:p>
            <w:r/>
            <w:r>
              <w:rPr>
                <w:sz w:val="16"/>
              </w:rPr>
              <w:t>J18 — pneumonia, agente não especificado</w:t>
            </w:r>
          </w:p>
        </w:tc>
        <w:tc>
          <w:tcPr>
            <w:tcW w:type="dxa" w:w="3024"/>
          </w:tcPr>
          <w:p>
            <w:r/>
            <w:r>
              <w:rPr>
                <w:sz w:val="16"/>
              </w:rPr>
              <w:t>631108</w:t>
            </w:r>
          </w:p>
        </w:tc>
        <w:tc>
          <w:tcPr>
            <w:tcW w:type="dxa" w:w="3024"/>
          </w:tcPr>
          <w:p>
            <w:r/>
            <w:r>
              <w:rPr>
                <w:sz w:val="16"/>
              </w:rPr>
              <w:t>não</w:t>
            </w:r>
          </w:p>
        </w:tc>
      </w:tr>
      <w:tr>
        <w:tc>
          <w:tcPr>
            <w:tcW w:type="dxa" w:w="3024"/>
          </w:tcPr>
          <w:p>
            <w:r/>
            <w:r>
              <w:rPr>
                <w:sz w:val="16"/>
              </w:rPr>
              <w:t>A41.9 — septicemia não especificada</w:t>
            </w:r>
          </w:p>
        </w:tc>
        <w:tc>
          <w:tcPr>
            <w:tcW w:type="dxa" w:w="3024"/>
          </w:tcPr>
          <w:p>
            <w:r/>
            <w:r>
              <w:rPr>
                <w:sz w:val="16"/>
              </w:rPr>
              <w:t>204190</w:t>
            </w:r>
          </w:p>
        </w:tc>
        <w:tc>
          <w:tcPr>
            <w:tcW w:type="dxa" w:w="3024"/>
          </w:tcPr>
          <w:p>
            <w:r/>
            <w:r>
              <w:rPr>
                <w:sz w:val="16"/>
              </w:rPr>
              <w:t>não</w:t>
            </w:r>
          </w:p>
        </w:tc>
      </w:tr>
      <w:tr>
        <w:tc>
          <w:tcPr>
            <w:tcW w:type="dxa" w:w="3024"/>
          </w:tcPr>
          <w:p>
            <w:r/>
            <w:r>
              <w:rPr>
                <w:sz w:val="16"/>
              </w:rPr>
              <w:t>J15 — outra pneumonia bacteriana</w:t>
            </w:r>
          </w:p>
        </w:tc>
        <w:tc>
          <w:tcPr>
            <w:tcW w:type="dxa" w:w="3024"/>
          </w:tcPr>
          <w:p>
            <w:r/>
            <w:r>
              <w:rPr>
                <w:sz w:val="16"/>
              </w:rPr>
              <w:t>160949</w:t>
            </w:r>
          </w:p>
        </w:tc>
        <w:tc>
          <w:tcPr>
            <w:tcW w:type="dxa" w:w="3024"/>
          </w:tcPr>
          <w:p>
            <w:r/>
            <w:r>
              <w:rPr>
                <w:sz w:val="16"/>
              </w:rPr>
              <w:t>não</w:t>
            </w:r>
          </w:p>
        </w:tc>
      </w:tr>
      <w:tr>
        <w:tc>
          <w:tcPr>
            <w:tcW w:type="dxa" w:w="3024"/>
          </w:tcPr>
          <w:p>
            <w:r/>
            <w:r>
              <w:rPr>
                <w:sz w:val="16"/>
              </w:rPr>
              <w:t>J13 — pneumonia por Streptococcus pneumoniae</w:t>
            </w:r>
          </w:p>
        </w:tc>
        <w:tc>
          <w:tcPr>
            <w:tcW w:type="dxa" w:w="3024"/>
          </w:tcPr>
          <w:p>
            <w:r/>
            <w:r>
              <w:rPr>
                <w:sz w:val="16"/>
              </w:rPr>
              <w:t>809</w:t>
            </w:r>
          </w:p>
        </w:tc>
        <w:tc>
          <w:tcPr>
            <w:tcW w:type="dxa" w:w="3024"/>
          </w:tcPr>
          <w:p>
            <w:r/>
            <w:r>
              <w:rPr>
                <w:sz w:val="16"/>
              </w:rPr>
              <w:t>sim</w:t>
            </w:r>
          </w:p>
        </w:tc>
      </w:tr>
      <w:tr>
        <w:tc>
          <w:tcPr>
            <w:tcW w:type="dxa" w:w="3024"/>
          </w:tcPr>
          <w:p>
            <w:r/>
            <w:r>
              <w:rPr>
                <w:sz w:val="16"/>
              </w:rPr>
              <w:t>A40.3 — septicemia por Streptococcus pneumoniae</w:t>
            </w:r>
          </w:p>
        </w:tc>
        <w:tc>
          <w:tcPr>
            <w:tcW w:type="dxa" w:w="3024"/>
          </w:tcPr>
          <w:p>
            <w:r/>
            <w:r>
              <w:rPr>
                <w:sz w:val="16"/>
              </w:rPr>
              <w:t>793</w:t>
            </w:r>
          </w:p>
        </w:tc>
        <w:tc>
          <w:tcPr>
            <w:tcW w:type="dxa" w:w="3024"/>
          </w:tcPr>
          <w:p>
            <w:r/>
            <w:r>
              <w:rPr>
                <w:sz w:val="16"/>
              </w:rPr>
              <w:t>sim</w:t>
            </w:r>
          </w:p>
        </w:tc>
      </w:tr>
      <w:tr>
        <w:tc>
          <w:tcPr>
            <w:tcW w:type="dxa" w:w="3024"/>
          </w:tcPr>
          <w:p>
            <w:r/>
            <w:r>
              <w:rPr>
                <w:sz w:val="16"/>
              </w:rPr>
              <w:t>J14 — pneumonia por Haemophilus influenzae</w:t>
            </w:r>
          </w:p>
        </w:tc>
        <w:tc>
          <w:tcPr>
            <w:tcW w:type="dxa" w:w="3024"/>
          </w:tcPr>
          <w:p>
            <w:r/>
            <w:r>
              <w:rPr>
                <w:sz w:val="16"/>
              </w:rPr>
              <w:t>88</w:t>
            </w:r>
          </w:p>
        </w:tc>
        <w:tc>
          <w:tcPr>
            <w:tcW w:type="dxa" w:w="3024"/>
          </w:tcPr>
          <w:p>
            <w:r/>
            <w:r>
              <w:rPr>
                <w:sz w:val="16"/>
              </w:rPr>
              <w:t>sim</w:t>
            </w:r>
          </w:p>
        </w:tc>
      </w:tr>
    </w:tbl>
    <w:p>
      <w:pPr>
        <w:spacing w:before="240" w:after="80"/>
      </w:pPr>
      <w:r>
        <w:rPr>
          <w:b/>
          <w:sz w:val="20"/>
        </w:rPr>
        <w:t>Tabela S13. Razões entre código inespecífico e código com agente nomeado</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Par de códigos</w:t>
            </w:r>
          </w:p>
        </w:tc>
        <w:tc>
          <w:tcPr>
            <w:tcW w:type="dxa" w:w="2268"/>
          </w:tcPr>
          <w:p>
            <w:r/>
            <w:r>
              <w:rPr>
                <w:b/>
                <w:sz w:val="16"/>
              </w:rPr>
              <w:t>Óbitos sem agente</w:t>
            </w:r>
          </w:p>
        </w:tc>
        <w:tc>
          <w:tcPr>
            <w:tcW w:type="dxa" w:w="2268"/>
          </w:tcPr>
          <w:p>
            <w:r/>
            <w:r>
              <w:rPr>
                <w:b/>
                <w:sz w:val="16"/>
              </w:rPr>
              <w:t>Óbitos com agente</w:t>
            </w:r>
          </w:p>
        </w:tc>
        <w:tc>
          <w:tcPr>
            <w:tcW w:type="dxa" w:w="2268"/>
          </w:tcPr>
          <w:p>
            <w:r/>
            <w:r>
              <w:rPr>
                <w:b/>
                <w:sz w:val="16"/>
              </w:rPr>
              <w:t>Razão</w:t>
            </w:r>
          </w:p>
        </w:tc>
      </w:tr>
      <w:tr>
        <w:tc>
          <w:tcPr>
            <w:tcW w:type="dxa" w:w="2268"/>
          </w:tcPr>
          <w:p>
            <w:r/>
            <w:r>
              <w:rPr>
                <w:sz w:val="16"/>
              </w:rPr>
              <w:t>Pneumonia sem agente (J18) sobre pneumonia pneumocócica (J13)</w:t>
            </w:r>
          </w:p>
        </w:tc>
        <w:tc>
          <w:tcPr>
            <w:tcW w:type="dxa" w:w="2268"/>
          </w:tcPr>
          <w:p>
            <w:r/>
            <w:r>
              <w:rPr>
                <w:sz w:val="16"/>
              </w:rPr>
              <w:t>631108</w:t>
            </w:r>
          </w:p>
        </w:tc>
        <w:tc>
          <w:tcPr>
            <w:tcW w:type="dxa" w:w="2268"/>
          </w:tcPr>
          <w:p>
            <w:r/>
            <w:r>
              <w:rPr>
                <w:sz w:val="16"/>
              </w:rPr>
              <w:t>809</w:t>
            </w:r>
          </w:p>
        </w:tc>
        <w:tc>
          <w:tcPr>
            <w:tcW w:type="dxa" w:w="2268"/>
          </w:tcPr>
          <w:p>
            <w:r/>
            <w:r>
              <w:rPr>
                <w:sz w:val="16"/>
              </w:rPr>
              <w:t>780.1</w:t>
            </w:r>
          </w:p>
        </w:tc>
      </w:tr>
      <w:tr>
        <w:tc>
          <w:tcPr>
            <w:tcW w:type="dxa" w:w="2268"/>
          </w:tcPr>
          <w:p>
            <w:r/>
            <w:r>
              <w:rPr>
                <w:sz w:val="16"/>
              </w:rPr>
              <w:t>Septicemia não especificada (A41.9) sobre septicemia pneumocócica (A40.3)</w:t>
            </w:r>
          </w:p>
        </w:tc>
        <w:tc>
          <w:tcPr>
            <w:tcW w:type="dxa" w:w="2268"/>
          </w:tcPr>
          <w:p>
            <w:r/>
            <w:r>
              <w:rPr>
                <w:sz w:val="16"/>
              </w:rPr>
              <w:t>204190</w:t>
            </w:r>
          </w:p>
        </w:tc>
        <w:tc>
          <w:tcPr>
            <w:tcW w:type="dxa" w:w="2268"/>
          </w:tcPr>
          <w:p>
            <w:r/>
            <w:r>
              <w:rPr>
                <w:sz w:val="16"/>
              </w:rPr>
              <w:t>793</w:t>
            </w:r>
          </w:p>
        </w:tc>
        <w:tc>
          <w:tcPr>
            <w:tcW w:type="dxa" w:w="2268"/>
          </w:tcPr>
          <w:p>
            <w:r/>
            <w:r>
              <w:rPr>
                <w:sz w:val="16"/>
              </w:rPr>
              <w:t>257.5</w:t>
            </w:r>
          </w:p>
        </w:tc>
      </w:tr>
      <w:tr>
        <w:tc>
          <w:tcPr>
            <w:tcW w:type="dxa" w:w="2268"/>
          </w:tcPr>
          <w:p>
            <w:r/>
            <w:r>
              <w:rPr>
                <w:sz w:val="16"/>
              </w:rPr>
              <w:t>Pneumonia sem agente (J18) sobre pneumonia por Haemophilus (J14)</w:t>
            </w:r>
          </w:p>
        </w:tc>
        <w:tc>
          <w:tcPr>
            <w:tcW w:type="dxa" w:w="2268"/>
          </w:tcPr>
          <w:p>
            <w:r/>
            <w:r>
              <w:rPr>
                <w:sz w:val="16"/>
              </w:rPr>
              <w:t>631108</w:t>
            </w:r>
          </w:p>
        </w:tc>
        <w:tc>
          <w:tcPr>
            <w:tcW w:type="dxa" w:w="2268"/>
          </w:tcPr>
          <w:p>
            <w:r/>
            <w:r>
              <w:rPr>
                <w:sz w:val="16"/>
              </w:rPr>
              <w:t>88</w:t>
            </w:r>
          </w:p>
        </w:tc>
        <w:tc>
          <w:tcPr>
            <w:tcW w:type="dxa" w:w="2268"/>
          </w:tcPr>
          <w:p>
            <w:r/>
            <w:r>
              <w:rPr>
                <w:sz w:val="16"/>
              </w:rPr>
              <w:t>7171.7</w:t>
            </w:r>
          </w:p>
        </w:tc>
      </w:tr>
    </w:tbl>
    <w:p>
      <w:pPr>
        <w:spacing w:before="240" w:after="80"/>
      </w:pPr>
      <w:r>
        <w:rPr>
          <w:b/>
          <w:sz w:val="20"/>
        </w:rPr>
        <w:t>Tabela S14. Óbitos por influenza em 60 anos ou mais e doses aplicadas, por unidade da federação e ano</w:t>
      </w:r>
    </w:p>
    <w:tbl>
      <w:tblPr>
        <w:tblStyle w:val="LightGrid-Accent1"/>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r/>
            <w:r>
              <w:rPr>
                <w:b/>
                <w:sz w:val="16"/>
              </w:rPr>
              <w:t>UF</w:t>
            </w:r>
          </w:p>
        </w:tc>
        <w:tc>
          <w:tcPr>
            <w:tcW w:type="dxa" w:w="1296"/>
          </w:tcPr>
          <w:p>
            <w:r/>
            <w:r>
              <w:rPr>
                <w:b/>
                <w:sz w:val="16"/>
              </w:rPr>
              <w:t>Ano</w:t>
            </w:r>
          </w:p>
        </w:tc>
        <w:tc>
          <w:tcPr>
            <w:tcW w:type="dxa" w:w="1296"/>
          </w:tcPr>
          <w:p>
            <w:r/>
            <w:r>
              <w:rPr>
                <w:b/>
                <w:sz w:val="16"/>
              </w:rPr>
              <w:t>Óbitos por influenza em 60 anos ou mais</w:t>
            </w:r>
          </w:p>
        </w:tc>
        <w:tc>
          <w:tcPr>
            <w:tcW w:type="dxa" w:w="1296"/>
          </w:tcPr>
          <w:p>
            <w:r/>
            <w:r>
              <w:rPr>
                <w:b/>
                <w:sz w:val="16"/>
              </w:rPr>
              <w:t>População de 60 anos ou mais</w:t>
            </w:r>
          </w:p>
        </w:tc>
        <w:tc>
          <w:tcPr>
            <w:tcW w:type="dxa" w:w="1296"/>
          </w:tcPr>
          <w:p>
            <w:r/>
            <w:r>
              <w:rPr>
                <w:b/>
                <w:sz w:val="16"/>
              </w:rPr>
              <w:t>Doses de influenza (INF3)</w:t>
            </w:r>
          </w:p>
        </w:tc>
        <w:tc>
          <w:tcPr>
            <w:tcW w:type="dxa" w:w="1296"/>
          </w:tcPr>
          <w:p>
            <w:r/>
            <w:r>
              <w:rPr>
                <w:b/>
                <w:sz w:val="16"/>
              </w:rPr>
              <w:t>Óbitos por 100 mil de 60 anos ou mais</w:t>
            </w:r>
          </w:p>
        </w:tc>
        <w:tc>
          <w:tcPr>
            <w:tcW w:type="dxa" w:w="1296"/>
          </w:tcPr>
          <w:p>
            <w:r/>
            <w:r>
              <w:rPr>
                <w:b/>
                <w:sz w:val="16"/>
              </w:rPr>
              <w:t>Doses por habitante de 60 anos ou mais</w:t>
            </w:r>
          </w:p>
        </w:tc>
      </w:tr>
      <w:tr>
        <w:tc>
          <w:tcPr>
            <w:tcW w:type="dxa" w:w="1296"/>
          </w:tcPr>
          <w:p>
            <w:r/>
            <w:r>
              <w:rPr>
                <w:sz w:val="16"/>
              </w:rPr>
              <w:t>AM</w:t>
            </w:r>
          </w:p>
        </w:tc>
        <w:tc>
          <w:tcPr>
            <w:tcW w:type="dxa" w:w="1296"/>
          </w:tcPr>
          <w:p>
            <w:r/>
            <w:r>
              <w:rPr>
                <w:sz w:val="16"/>
              </w:rPr>
              <w:t>2023</w:t>
            </w:r>
          </w:p>
        </w:tc>
        <w:tc>
          <w:tcPr>
            <w:tcW w:type="dxa" w:w="1296"/>
          </w:tcPr>
          <w:p>
            <w:r/>
            <w:r>
              <w:rPr>
                <w:sz w:val="16"/>
              </w:rPr>
              <w:t>44</w:t>
            </w:r>
          </w:p>
        </w:tc>
        <w:tc>
          <w:tcPr>
            <w:tcW w:type="dxa" w:w="1296"/>
          </w:tcPr>
          <w:p>
            <w:r/>
            <w:r>
              <w:rPr>
                <w:sz w:val="16"/>
              </w:rPr>
              <w:t>372862</w:t>
            </w:r>
          </w:p>
        </w:tc>
        <w:tc>
          <w:tcPr>
            <w:tcW w:type="dxa" w:w="1296"/>
          </w:tcPr>
          <w:p>
            <w:r/>
            <w:r>
              <w:rPr>
                <w:sz w:val="16"/>
              </w:rPr>
              <w:t>505699</w:t>
            </w:r>
          </w:p>
        </w:tc>
        <w:tc>
          <w:tcPr>
            <w:tcW w:type="dxa" w:w="1296"/>
          </w:tcPr>
          <w:p>
            <w:r/>
            <w:r>
              <w:rPr>
                <w:sz w:val="16"/>
              </w:rPr>
              <w:t>11.8</w:t>
            </w:r>
          </w:p>
        </w:tc>
        <w:tc>
          <w:tcPr>
            <w:tcW w:type="dxa" w:w="1296"/>
          </w:tcPr>
          <w:p>
            <w:r/>
            <w:r>
              <w:rPr>
                <w:sz w:val="16"/>
              </w:rPr>
              <w:t>1.356</w:t>
            </w:r>
          </w:p>
        </w:tc>
      </w:tr>
      <w:tr>
        <w:tc>
          <w:tcPr>
            <w:tcW w:type="dxa" w:w="1296"/>
          </w:tcPr>
          <w:p>
            <w:r/>
            <w:r>
              <w:rPr>
                <w:sz w:val="16"/>
              </w:rPr>
              <w:t>SE</w:t>
            </w:r>
          </w:p>
        </w:tc>
        <w:tc>
          <w:tcPr>
            <w:tcW w:type="dxa" w:w="1296"/>
          </w:tcPr>
          <w:p>
            <w:r/>
            <w:r>
              <w:rPr>
                <w:sz w:val="16"/>
              </w:rPr>
              <w:t>2023</w:t>
            </w:r>
          </w:p>
        </w:tc>
        <w:tc>
          <w:tcPr>
            <w:tcW w:type="dxa" w:w="1296"/>
          </w:tcPr>
          <w:p>
            <w:r/>
            <w:r>
              <w:rPr>
                <w:sz w:val="16"/>
              </w:rPr>
              <w:t>27</w:t>
            </w:r>
          </w:p>
        </w:tc>
        <w:tc>
          <w:tcPr>
            <w:tcW w:type="dxa" w:w="1296"/>
          </w:tcPr>
          <w:p>
            <w:r/>
            <w:r>
              <w:rPr>
                <w:sz w:val="16"/>
              </w:rPr>
              <w:t>294498</w:t>
            </w:r>
          </w:p>
        </w:tc>
        <w:tc>
          <w:tcPr>
            <w:tcW w:type="dxa" w:w="1296"/>
          </w:tcPr>
          <w:p>
            <w:r/>
            <w:r>
              <w:rPr>
                <w:sz w:val="16"/>
              </w:rPr>
              <w:t>264895</w:t>
            </w:r>
          </w:p>
        </w:tc>
        <w:tc>
          <w:tcPr>
            <w:tcW w:type="dxa" w:w="1296"/>
          </w:tcPr>
          <w:p>
            <w:r/>
            <w:r>
              <w:rPr>
                <w:sz w:val="16"/>
              </w:rPr>
              <w:t>9.17</w:t>
            </w:r>
          </w:p>
        </w:tc>
        <w:tc>
          <w:tcPr>
            <w:tcW w:type="dxa" w:w="1296"/>
          </w:tcPr>
          <w:p>
            <w:r/>
            <w:r>
              <w:rPr>
                <w:sz w:val="16"/>
              </w:rPr>
              <w:t>0.899</w:t>
            </w:r>
          </w:p>
        </w:tc>
      </w:tr>
      <w:tr>
        <w:tc>
          <w:tcPr>
            <w:tcW w:type="dxa" w:w="1296"/>
          </w:tcPr>
          <w:p>
            <w:r/>
            <w:r>
              <w:rPr>
                <w:sz w:val="16"/>
              </w:rPr>
              <w:t>AC</w:t>
            </w:r>
          </w:p>
        </w:tc>
        <w:tc>
          <w:tcPr>
            <w:tcW w:type="dxa" w:w="1296"/>
          </w:tcPr>
          <w:p>
            <w:r/>
            <w:r>
              <w:rPr>
                <w:sz w:val="16"/>
              </w:rPr>
              <w:t>2023</w:t>
            </w:r>
          </w:p>
        </w:tc>
        <w:tc>
          <w:tcPr>
            <w:tcW w:type="dxa" w:w="1296"/>
          </w:tcPr>
          <w:p>
            <w:r/>
            <w:r>
              <w:rPr>
                <w:sz w:val="16"/>
              </w:rPr>
              <w:t>7</w:t>
            </w:r>
          </w:p>
        </w:tc>
        <w:tc>
          <w:tcPr>
            <w:tcW w:type="dxa" w:w="1296"/>
          </w:tcPr>
          <w:p>
            <w:r/>
            <w:r>
              <w:rPr>
                <w:sz w:val="16"/>
              </w:rPr>
              <w:t>80387</w:t>
            </w:r>
          </w:p>
        </w:tc>
        <w:tc>
          <w:tcPr>
            <w:tcW w:type="dxa" w:w="1296"/>
          </w:tcPr>
          <w:p>
            <w:r/>
            <w:r>
              <w:rPr>
                <w:sz w:val="16"/>
              </w:rPr>
              <w:t>187650</w:t>
            </w:r>
          </w:p>
        </w:tc>
        <w:tc>
          <w:tcPr>
            <w:tcW w:type="dxa" w:w="1296"/>
          </w:tcPr>
          <w:p>
            <w:r/>
            <w:r>
              <w:rPr>
                <w:sz w:val="16"/>
              </w:rPr>
              <w:t>8.71</w:t>
            </w:r>
          </w:p>
        </w:tc>
        <w:tc>
          <w:tcPr>
            <w:tcW w:type="dxa" w:w="1296"/>
          </w:tcPr>
          <w:p>
            <w:r/>
            <w:r>
              <w:rPr>
                <w:sz w:val="16"/>
              </w:rPr>
              <w:t>2.334</w:t>
            </w:r>
          </w:p>
        </w:tc>
      </w:tr>
      <w:tr>
        <w:tc>
          <w:tcPr>
            <w:tcW w:type="dxa" w:w="1296"/>
          </w:tcPr>
          <w:p>
            <w:r/>
            <w:r>
              <w:rPr>
                <w:sz w:val="16"/>
              </w:rPr>
              <w:t>MS</w:t>
            </w:r>
          </w:p>
        </w:tc>
        <w:tc>
          <w:tcPr>
            <w:tcW w:type="dxa" w:w="1296"/>
          </w:tcPr>
          <w:p>
            <w:r/>
            <w:r>
              <w:rPr>
                <w:sz w:val="16"/>
              </w:rPr>
              <w:t>2023</w:t>
            </w:r>
          </w:p>
        </w:tc>
        <w:tc>
          <w:tcPr>
            <w:tcW w:type="dxa" w:w="1296"/>
          </w:tcPr>
          <w:p>
            <w:r/>
            <w:r>
              <w:rPr>
                <w:sz w:val="16"/>
              </w:rPr>
              <w:t>24</w:t>
            </w:r>
          </w:p>
        </w:tc>
        <w:tc>
          <w:tcPr>
            <w:tcW w:type="dxa" w:w="1296"/>
          </w:tcPr>
          <w:p>
            <w:r/>
            <w:r>
              <w:rPr>
                <w:sz w:val="16"/>
              </w:rPr>
              <w:t>417899</w:t>
            </w:r>
          </w:p>
        </w:tc>
        <w:tc>
          <w:tcPr>
            <w:tcW w:type="dxa" w:w="1296"/>
          </w:tcPr>
          <w:p>
            <w:r/>
            <w:r>
              <w:rPr>
                <w:sz w:val="16"/>
              </w:rPr>
              <w:t>317944</w:t>
            </w:r>
          </w:p>
        </w:tc>
        <w:tc>
          <w:tcPr>
            <w:tcW w:type="dxa" w:w="1296"/>
          </w:tcPr>
          <w:p>
            <w:r/>
            <w:r>
              <w:rPr>
                <w:sz w:val="16"/>
              </w:rPr>
              <w:t>5.74</w:t>
            </w:r>
          </w:p>
        </w:tc>
        <w:tc>
          <w:tcPr>
            <w:tcW w:type="dxa" w:w="1296"/>
          </w:tcPr>
          <w:p>
            <w:r/>
            <w:r>
              <w:rPr>
                <w:sz w:val="16"/>
              </w:rPr>
              <w:t>0.761</w:t>
            </w:r>
          </w:p>
        </w:tc>
      </w:tr>
      <w:tr>
        <w:tc>
          <w:tcPr>
            <w:tcW w:type="dxa" w:w="1296"/>
          </w:tcPr>
          <w:p>
            <w:r/>
            <w:r>
              <w:rPr>
                <w:sz w:val="16"/>
              </w:rPr>
              <w:t>RR</w:t>
            </w:r>
          </w:p>
        </w:tc>
        <w:tc>
          <w:tcPr>
            <w:tcW w:type="dxa" w:w="1296"/>
          </w:tcPr>
          <w:p>
            <w:r/>
            <w:r>
              <w:rPr>
                <w:sz w:val="16"/>
              </w:rPr>
              <w:t>2023</w:t>
            </w:r>
          </w:p>
        </w:tc>
        <w:tc>
          <w:tcPr>
            <w:tcW w:type="dxa" w:w="1296"/>
          </w:tcPr>
          <w:p>
            <w:r/>
            <w:r>
              <w:rPr>
                <w:sz w:val="16"/>
              </w:rPr>
              <w:t>3</w:t>
            </w:r>
          </w:p>
        </w:tc>
        <w:tc>
          <w:tcPr>
            <w:tcW w:type="dxa" w:w="1296"/>
          </w:tcPr>
          <w:p>
            <w:r/>
            <w:r>
              <w:rPr>
                <w:sz w:val="16"/>
              </w:rPr>
              <w:t>52443</w:t>
            </w:r>
          </w:p>
        </w:tc>
        <w:tc>
          <w:tcPr>
            <w:tcW w:type="dxa" w:w="1296"/>
          </w:tcPr>
          <w:p>
            <w:r/>
            <w:r>
              <w:rPr>
                <w:sz w:val="16"/>
              </w:rPr>
              <w:t>100733</w:t>
            </w:r>
          </w:p>
        </w:tc>
        <w:tc>
          <w:tcPr>
            <w:tcW w:type="dxa" w:w="1296"/>
          </w:tcPr>
          <w:p>
            <w:r/>
            <w:r>
              <w:rPr>
                <w:sz w:val="16"/>
              </w:rPr>
              <w:t>5.72</w:t>
            </w:r>
          </w:p>
        </w:tc>
        <w:tc>
          <w:tcPr>
            <w:tcW w:type="dxa" w:w="1296"/>
          </w:tcPr>
          <w:p>
            <w:r/>
            <w:r>
              <w:rPr>
                <w:sz w:val="16"/>
              </w:rPr>
              <w:t>1.921</w:t>
            </w:r>
          </w:p>
        </w:tc>
      </w:tr>
      <w:tr>
        <w:tc>
          <w:tcPr>
            <w:tcW w:type="dxa" w:w="1296"/>
          </w:tcPr>
          <w:p>
            <w:r/>
            <w:r>
              <w:rPr>
                <w:sz w:val="16"/>
              </w:rPr>
              <w:t>PA</w:t>
            </w:r>
          </w:p>
        </w:tc>
        <w:tc>
          <w:tcPr>
            <w:tcW w:type="dxa" w:w="1296"/>
          </w:tcPr>
          <w:p>
            <w:r/>
            <w:r>
              <w:rPr>
                <w:sz w:val="16"/>
              </w:rPr>
              <w:t>2023</w:t>
            </w:r>
          </w:p>
        </w:tc>
        <w:tc>
          <w:tcPr>
            <w:tcW w:type="dxa" w:w="1296"/>
          </w:tcPr>
          <w:p>
            <w:r/>
            <w:r>
              <w:rPr>
                <w:sz w:val="16"/>
              </w:rPr>
              <w:t>42</w:t>
            </w:r>
          </w:p>
        </w:tc>
        <w:tc>
          <w:tcPr>
            <w:tcW w:type="dxa" w:w="1296"/>
          </w:tcPr>
          <w:p>
            <w:r/>
            <w:r>
              <w:rPr>
                <w:sz w:val="16"/>
              </w:rPr>
              <w:t>888869</w:t>
            </w:r>
          </w:p>
        </w:tc>
        <w:tc>
          <w:tcPr>
            <w:tcW w:type="dxa" w:w="1296"/>
          </w:tcPr>
          <w:p>
            <w:r/>
            <w:r>
              <w:rPr>
                <w:sz w:val="16"/>
              </w:rPr>
              <w:t>895263</w:t>
            </w:r>
          </w:p>
        </w:tc>
        <w:tc>
          <w:tcPr>
            <w:tcW w:type="dxa" w:w="1296"/>
          </w:tcPr>
          <w:p>
            <w:r/>
            <w:r>
              <w:rPr>
                <w:sz w:val="16"/>
              </w:rPr>
              <w:t>4.73</w:t>
            </w:r>
          </w:p>
        </w:tc>
        <w:tc>
          <w:tcPr>
            <w:tcW w:type="dxa" w:w="1296"/>
          </w:tcPr>
          <w:p>
            <w:r/>
            <w:r>
              <w:rPr>
                <w:sz w:val="16"/>
              </w:rPr>
              <w:t>1.007</w:t>
            </w:r>
          </w:p>
        </w:tc>
      </w:tr>
      <w:tr>
        <w:tc>
          <w:tcPr>
            <w:tcW w:type="dxa" w:w="1296"/>
          </w:tcPr>
          <w:p>
            <w:r/>
            <w:r>
              <w:rPr>
                <w:sz w:val="16"/>
              </w:rPr>
              <w:t>MA</w:t>
            </w:r>
          </w:p>
        </w:tc>
        <w:tc>
          <w:tcPr>
            <w:tcW w:type="dxa" w:w="1296"/>
          </w:tcPr>
          <w:p>
            <w:r/>
            <w:r>
              <w:rPr>
                <w:sz w:val="16"/>
              </w:rPr>
              <w:t>2023</w:t>
            </w:r>
          </w:p>
        </w:tc>
        <w:tc>
          <w:tcPr>
            <w:tcW w:type="dxa" w:w="1296"/>
          </w:tcPr>
          <w:p>
            <w:r/>
            <w:r>
              <w:rPr>
                <w:sz w:val="16"/>
              </w:rPr>
              <w:t>38</w:t>
            </w:r>
          </w:p>
        </w:tc>
        <w:tc>
          <w:tcPr>
            <w:tcW w:type="dxa" w:w="1296"/>
          </w:tcPr>
          <w:p>
            <w:r/>
            <w:r>
              <w:rPr>
                <w:sz w:val="16"/>
              </w:rPr>
              <w:t>805286</w:t>
            </w:r>
          </w:p>
        </w:tc>
        <w:tc>
          <w:tcPr>
            <w:tcW w:type="dxa" w:w="1296"/>
          </w:tcPr>
          <w:p>
            <w:r/>
            <w:r>
              <w:rPr>
                <w:sz w:val="16"/>
              </w:rPr>
              <w:t>169265</w:t>
            </w:r>
          </w:p>
        </w:tc>
        <w:tc>
          <w:tcPr>
            <w:tcW w:type="dxa" w:w="1296"/>
          </w:tcPr>
          <w:p>
            <w:r/>
            <w:r>
              <w:rPr>
                <w:sz w:val="16"/>
              </w:rPr>
              <w:t>4.72</w:t>
            </w:r>
          </w:p>
        </w:tc>
        <w:tc>
          <w:tcPr>
            <w:tcW w:type="dxa" w:w="1296"/>
          </w:tcPr>
          <w:p>
            <w:r/>
            <w:r>
              <w:rPr>
                <w:sz w:val="16"/>
              </w:rPr>
              <w:t>0.21</w:t>
            </w:r>
          </w:p>
        </w:tc>
      </w:tr>
      <w:tr>
        <w:tc>
          <w:tcPr>
            <w:tcW w:type="dxa" w:w="1296"/>
          </w:tcPr>
          <w:p>
            <w:r/>
            <w:r>
              <w:rPr>
                <w:sz w:val="16"/>
              </w:rPr>
              <w:t>TO</w:t>
            </w:r>
          </w:p>
        </w:tc>
        <w:tc>
          <w:tcPr>
            <w:tcW w:type="dxa" w:w="1296"/>
          </w:tcPr>
          <w:p>
            <w:r/>
            <w:r>
              <w:rPr>
                <w:sz w:val="16"/>
              </w:rPr>
              <w:t>2023</w:t>
            </w:r>
          </w:p>
        </w:tc>
        <w:tc>
          <w:tcPr>
            <w:tcW w:type="dxa" w:w="1296"/>
          </w:tcPr>
          <w:p>
            <w:r/>
            <w:r>
              <w:rPr>
                <w:sz w:val="16"/>
              </w:rPr>
              <w:t>9</w:t>
            </w:r>
          </w:p>
        </w:tc>
        <w:tc>
          <w:tcPr>
            <w:tcW w:type="dxa" w:w="1296"/>
          </w:tcPr>
          <w:p>
            <w:r/>
            <w:r>
              <w:rPr>
                <w:sz w:val="16"/>
              </w:rPr>
              <w:t>191769</w:t>
            </w:r>
          </w:p>
        </w:tc>
        <w:tc>
          <w:tcPr>
            <w:tcW w:type="dxa" w:w="1296"/>
          </w:tcPr>
          <w:p>
            <w:r/>
            <w:r>
              <w:rPr>
                <w:sz w:val="16"/>
              </w:rPr>
              <w:t>78683</w:t>
            </w:r>
          </w:p>
        </w:tc>
        <w:tc>
          <w:tcPr>
            <w:tcW w:type="dxa" w:w="1296"/>
          </w:tcPr>
          <w:p>
            <w:r/>
            <w:r>
              <w:rPr>
                <w:sz w:val="16"/>
              </w:rPr>
              <w:t>4.69</w:t>
            </w:r>
          </w:p>
        </w:tc>
        <w:tc>
          <w:tcPr>
            <w:tcW w:type="dxa" w:w="1296"/>
          </w:tcPr>
          <w:p>
            <w:r/>
            <w:r>
              <w:rPr>
                <w:sz w:val="16"/>
              </w:rPr>
              <w:t>0.41</w:t>
            </w:r>
          </w:p>
        </w:tc>
      </w:tr>
      <w:tr>
        <w:tc>
          <w:tcPr>
            <w:tcW w:type="dxa" w:w="1296"/>
          </w:tcPr>
          <w:p>
            <w:r/>
            <w:r>
              <w:rPr>
                <w:sz w:val="16"/>
              </w:rPr>
              <w:t>CE</w:t>
            </w:r>
          </w:p>
        </w:tc>
        <w:tc>
          <w:tcPr>
            <w:tcW w:type="dxa" w:w="1296"/>
          </w:tcPr>
          <w:p>
            <w:r/>
            <w:r>
              <w:rPr>
                <w:sz w:val="16"/>
              </w:rPr>
              <w:t>2023</w:t>
            </w:r>
          </w:p>
        </w:tc>
        <w:tc>
          <w:tcPr>
            <w:tcW w:type="dxa" w:w="1296"/>
          </w:tcPr>
          <w:p>
            <w:r/>
            <w:r>
              <w:rPr>
                <w:sz w:val="16"/>
              </w:rPr>
              <w:t>50</w:t>
            </w:r>
          </w:p>
        </w:tc>
        <w:tc>
          <w:tcPr>
            <w:tcW w:type="dxa" w:w="1296"/>
          </w:tcPr>
          <w:p>
            <w:r/>
            <w:r>
              <w:rPr>
                <w:sz w:val="16"/>
              </w:rPr>
              <w:t>1306181</w:t>
            </w:r>
          </w:p>
        </w:tc>
        <w:tc>
          <w:tcPr>
            <w:tcW w:type="dxa" w:w="1296"/>
          </w:tcPr>
          <w:p>
            <w:r/>
            <w:r>
              <w:rPr>
                <w:sz w:val="16"/>
              </w:rPr>
              <w:t>838017</w:t>
            </w:r>
          </w:p>
        </w:tc>
        <w:tc>
          <w:tcPr>
            <w:tcW w:type="dxa" w:w="1296"/>
          </w:tcPr>
          <w:p>
            <w:r/>
            <w:r>
              <w:rPr>
                <w:sz w:val="16"/>
              </w:rPr>
              <w:t>3.83</w:t>
            </w:r>
          </w:p>
        </w:tc>
        <w:tc>
          <w:tcPr>
            <w:tcW w:type="dxa" w:w="1296"/>
          </w:tcPr>
          <w:p>
            <w:r/>
            <w:r>
              <w:rPr>
                <w:sz w:val="16"/>
              </w:rPr>
              <w:t>0.642</w:t>
            </w:r>
          </w:p>
        </w:tc>
      </w:tr>
      <w:tr>
        <w:tc>
          <w:tcPr>
            <w:tcW w:type="dxa" w:w="1296"/>
          </w:tcPr>
          <w:p>
            <w:r/>
            <w:r>
              <w:rPr>
                <w:sz w:val="16"/>
              </w:rPr>
              <w:t>PI</w:t>
            </w:r>
          </w:p>
        </w:tc>
        <w:tc>
          <w:tcPr>
            <w:tcW w:type="dxa" w:w="1296"/>
          </w:tcPr>
          <w:p>
            <w:r/>
            <w:r>
              <w:rPr>
                <w:sz w:val="16"/>
              </w:rPr>
              <w:t>2023</w:t>
            </w:r>
          </w:p>
        </w:tc>
        <w:tc>
          <w:tcPr>
            <w:tcW w:type="dxa" w:w="1296"/>
          </w:tcPr>
          <w:p>
            <w:r/>
            <w:r>
              <w:rPr>
                <w:sz w:val="16"/>
              </w:rPr>
              <w:t>17</w:t>
            </w:r>
          </w:p>
        </w:tc>
        <w:tc>
          <w:tcPr>
            <w:tcW w:type="dxa" w:w="1296"/>
          </w:tcPr>
          <w:p>
            <w:r/>
            <w:r>
              <w:rPr>
                <w:sz w:val="16"/>
              </w:rPr>
              <w:t>457473</w:t>
            </w:r>
          </w:p>
        </w:tc>
        <w:tc>
          <w:tcPr>
            <w:tcW w:type="dxa" w:w="1296"/>
          </w:tcPr>
          <w:p>
            <w:r/>
            <w:r>
              <w:rPr>
                <w:sz w:val="16"/>
              </w:rPr>
              <w:t>119491</w:t>
            </w:r>
          </w:p>
        </w:tc>
        <w:tc>
          <w:tcPr>
            <w:tcW w:type="dxa" w:w="1296"/>
          </w:tcPr>
          <w:p>
            <w:r/>
            <w:r>
              <w:rPr>
                <w:sz w:val="16"/>
              </w:rPr>
              <w:t>3.72</w:t>
            </w:r>
          </w:p>
        </w:tc>
        <w:tc>
          <w:tcPr>
            <w:tcW w:type="dxa" w:w="1296"/>
          </w:tcPr>
          <w:p>
            <w:r/>
            <w:r>
              <w:rPr>
                <w:sz w:val="16"/>
              </w:rPr>
              <w:t>0.261</w:t>
            </w:r>
          </w:p>
        </w:tc>
      </w:tr>
      <w:tr>
        <w:tc>
          <w:tcPr>
            <w:tcW w:type="dxa" w:w="1296"/>
          </w:tcPr>
          <w:p>
            <w:r/>
            <w:r>
              <w:rPr>
                <w:sz w:val="16"/>
              </w:rPr>
              <w:t>RN</w:t>
            </w:r>
          </w:p>
        </w:tc>
        <w:tc>
          <w:tcPr>
            <w:tcW w:type="dxa" w:w="1296"/>
          </w:tcPr>
          <w:p>
            <w:r/>
            <w:r>
              <w:rPr>
                <w:sz w:val="16"/>
              </w:rPr>
              <w:t>2023</w:t>
            </w:r>
          </w:p>
        </w:tc>
        <w:tc>
          <w:tcPr>
            <w:tcW w:type="dxa" w:w="1296"/>
          </w:tcPr>
          <w:p>
            <w:r/>
            <w:r>
              <w:rPr>
                <w:sz w:val="16"/>
              </w:rPr>
              <w:t>19</w:t>
            </w:r>
          </w:p>
        </w:tc>
        <w:tc>
          <w:tcPr>
            <w:tcW w:type="dxa" w:w="1296"/>
          </w:tcPr>
          <w:p>
            <w:r/>
            <w:r>
              <w:rPr>
                <w:sz w:val="16"/>
              </w:rPr>
              <w:t>518910</w:t>
            </w:r>
          </w:p>
        </w:tc>
        <w:tc>
          <w:tcPr>
            <w:tcW w:type="dxa" w:w="1296"/>
          </w:tcPr>
          <w:p>
            <w:r/>
            <w:r>
              <w:rPr>
                <w:sz w:val="16"/>
              </w:rPr>
              <w:t>156172</w:t>
            </w:r>
          </w:p>
        </w:tc>
        <w:tc>
          <w:tcPr>
            <w:tcW w:type="dxa" w:w="1296"/>
          </w:tcPr>
          <w:p>
            <w:r/>
            <w:r>
              <w:rPr>
                <w:sz w:val="16"/>
              </w:rPr>
              <w:t>3.66</w:t>
            </w:r>
          </w:p>
        </w:tc>
        <w:tc>
          <w:tcPr>
            <w:tcW w:type="dxa" w:w="1296"/>
          </w:tcPr>
          <w:p>
            <w:r/>
            <w:r>
              <w:rPr>
                <w:sz w:val="16"/>
              </w:rPr>
              <w:t>0.301</w:t>
            </w:r>
          </w:p>
        </w:tc>
      </w:tr>
      <w:tr>
        <w:tc>
          <w:tcPr>
            <w:tcW w:type="dxa" w:w="1296"/>
          </w:tcPr>
          <w:p>
            <w:r/>
            <w:r>
              <w:rPr>
                <w:sz w:val="16"/>
              </w:rPr>
              <w:t>PB</w:t>
            </w:r>
          </w:p>
        </w:tc>
        <w:tc>
          <w:tcPr>
            <w:tcW w:type="dxa" w:w="1296"/>
          </w:tcPr>
          <w:p>
            <w:r/>
            <w:r>
              <w:rPr>
                <w:sz w:val="16"/>
              </w:rPr>
              <w:t>2023</w:t>
            </w:r>
          </w:p>
        </w:tc>
        <w:tc>
          <w:tcPr>
            <w:tcW w:type="dxa" w:w="1296"/>
          </w:tcPr>
          <w:p>
            <w:r/>
            <w:r>
              <w:rPr>
                <w:sz w:val="16"/>
              </w:rPr>
              <w:t>19</w:t>
            </w:r>
          </w:p>
        </w:tc>
        <w:tc>
          <w:tcPr>
            <w:tcW w:type="dxa" w:w="1296"/>
          </w:tcPr>
          <w:p>
            <w:r/>
            <w:r>
              <w:rPr>
                <w:sz w:val="16"/>
              </w:rPr>
              <w:t>611543</w:t>
            </w:r>
          </w:p>
        </w:tc>
        <w:tc>
          <w:tcPr>
            <w:tcW w:type="dxa" w:w="1296"/>
          </w:tcPr>
          <w:p>
            <w:r/>
            <w:r>
              <w:rPr>
                <w:sz w:val="16"/>
              </w:rPr>
              <w:t>92845</w:t>
            </w:r>
          </w:p>
        </w:tc>
        <w:tc>
          <w:tcPr>
            <w:tcW w:type="dxa" w:w="1296"/>
          </w:tcPr>
          <w:p>
            <w:r/>
            <w:r>
              <w:rPr>
                <w:sz w:val="16"/>
              </w:rPr>
              <w:t>3.11</w:t>
            </w:r>
          </w:p>
        </w:tc>
        <w:tc>
          <w:tcPr>
            <w:tcW w:type="dxa" w:w="1296"/>
          </w:tcPr>
          <w:p>
            <w:r/>
            <w:r>
              <w:rPr>
                <w:sz w:val="16"/>
              </w:rPr>
              <w:t>0.152</w:t>
            </w:r>
          </w:p>
        </w:tc>
      </w:tr>
      <w:tr>
        <w:tc>
          <w:tcPr>
            <w:tcW w:type="dxa" w:w="1296"/>
          </w:tcPr>
          <w:p>
            <w:r/>
            <w:r>
              <w:rPr>
                <w:sz w:val="16"/>
              </w:rPr>
              <w:t>PR</w:t>
            </w:r>
          </w:p>
        </w:tc>
        <w:tc>
          <w:tcPr>
            <w:tcW w:type="dxa" w:w="1296"/>
          </w:tcPr>
          <w:p>
            <w:r/>
            <w:r>
              <w:rPr>
                <w:sz w:val="16"/>
              </w:rPr>
              <w:t>2023</w:t>
            </w:r>
          </w:p>
        </w:tc>
        <w:tc>
          <w:tcPr>
            <w:tcW w:type="dxa" w:w="1296"/>
          </w:tcPr>
          <w:p>
            <w:r/>
            <w:r>
              <w:rPr>
                <w:sz w:val="16"/>
              </w:rPr>
              <w:t>59</w:t>
            </w:r>
          </w:p>
        </w:tc>
        <w:tc>
          <w:tcPr>
            <w:tcW w:type="dxa" w:w="1296"/>
          </w:tcPr>
          <w:p>
            <w:r/>
            <w:r>
              <w:rPr>
                <w:sz w:val="16"/>
              </w:rPr>
              <w:t>2002790</w:t>
            </w:r>
          </w:p>
        </w:tc>
        <w:tc>
          <w:tcPr>
            <w:tcW w:type="dxa" w:w="1296"/>
          </w:tcPr>
          <w:p>
            <w:r/>
            <w:r>
              <w:rPr>
                <w:sz w:val="16"/>
              </w:rPr>
              <w:t>1406836</w:t>
            </w:r>
          </w:p>
        </w:tc>
        <w:tc>
          <w:tcPr>
            <w:tcW w:type="dxa" w:w="1296"/>
          </w:tcPr>
          <w:p>
            <w:r/>
            <w:r>
              <w:rPr>
                <w:sz w:val="16"/>
              </w:rPr>
              <w:t>2.95</w:t>
            </w:r>
          </w:p>
        </w:tc>
        <w:tc>
          <w:tcPr>
            <w:tcW w:type="dxa" w:w="1296"/>
          </w:tcPr>
          <w:p>
            <w:r/>
            <w:r>
              <w:rPr>
                <w:sz w:val="16"/>
              </w:rPr>
              <w:t>0.702</w:t>
            </w:r>
          </w:p>
        </w:tc>
      </w:tr>
      <w:tr>
        <w:tc>
          <w:tcPr>
            <w:tcW w:type="dxa" w:w="1296"/>
          </w:tcPr>
          <w:p>
            <w:r/>
            <w:r>
              <w:rPr>
                <w:sz w:val="16"/>
              </w:rPr>
              <w:t>GO</w:t>
            </w:r>
          </w:p>
        </w:tc>
        <w:tc>
          <w:tcPr>
            <w:tcW w:type="dxa" w:w="1296"/>
          </w:tcPr>
          <w:p>
            <w:r/>
            <w:r>
              <w:rPr>
                <w:sz w:val="16"/>
              </w:rPr>
              <w:t>2023</w:t>
            </w:r>
          </w:p>
        </w:tc>
        <w:tc>
          <w:tcPr>
            <w:tcW w:type="dxa" w:w="1296"/>
          </w:tcPr>
          <w:p>
            <w:r/>
            <w:r>
              <w:rPr>
                <w:sz w:val="16"/>
              </w:rPr>
              <w:t>29</w:t>
            </w:r>
          </w:p>
        </w:tc>
        <w:tc>
          <w:tcPr>
            <w:tcW w:type="dxa" w:w="1296"/>
          </w:tcPr>
          <w:p>
            <w:r/>
            <w:r>
              <w:rPr>
                <w:sz w:val="16"/>
              </w:rPr>
              <w:t>990111</w:t>
            </w:r>
          </w:p>
        </w:tc>
        <w:tc>
          <w:tcPr>
            <w:tcW w:type="dxa" w:w="1296"/>
          </w:tcPr>
          <w:p>
            <w:r/>
            <w:r>
              <w:rPr>
                <w:sz w:val="16"/>
              </w:rPr>
              <w:t>263126</w:t>
            </w:r>
          </w:p>
        </w:tc>
        <w:tc>
          <w:tcPr>
            <w:tcW w:type="dxa" w:w="1296"/>
          </w:tcPr>
          <w:p>
            <w:r/>
            <w:r>
              <w:rPr>
                <w:sz w:val="16"/>
              </w:rPr>
              <w:t>2.93</w:t>
            </w:r>
          </w:p>
        </w:tc>
        <w:tc>
          <w:tcPr>
            <w:tcW w:type="dxa" w:w="1296"/>
          </w:tcPr>
          <w:p>
            <w:r/>
            <w:r>
              <w:rPr>
                <w:sz w:val="16"/>
              </w:rPr>
              <w:t>0.266</w:t>
            </w:r>
          </w:p>
        </w:tc>
      </w:tr>
      <w:tr>
        <w:tc>
          <w:tcPr>
            <w:tcW w:type="dxa" w:w="1296"/>
          </w:tcPr>
          <w:p>
            <w:r/>
            <w:r>
              <w:rPr>
                <w:sz w:val="16"/>
              </w:rPr>
              <w:t>RO</w:t>
            </w:r>
          </w:p>
        </w:tc>
        <w:tc>
          <w:tcPr>
            <w:tcW w:type="dxa" w:w="1296"/>
          </w:tcPr>
          <w:p>
            <w:r/>
            <w:r>
              <w:rPr>
                <w:sz w:val="16"/>
              </w:rPr>
              <w:t>2023</w:t>
            </w:r>
          </w:p>
        </w:tc>
        <w:tc>
          <w:tcPr>
            <w:tcW w:type="dxa" w:w="1296"/>
          </w:tcPr>
          <w:p>
            <w:r/>
            <w:r>
              <w:rPr>
                <w:sz w:val="16"/>
              </w:rPr>
              <w:t>6</w:t>
            </w:r>
          </w:p>
        </w:tc>
        <w:tc>
          <w:tcPr>
            <w:tcW w:type="dxa" w:w="1296"/>
          </w:tcPr>
          <w:p>
            <w:r/>
            <w:r>
              <w:rPr>
                <w:sz w:val="16"/>
              </w:rPr>
              <w:t>205227</w:t>
            </w:r>
          </w:p>
        </w:tc>
        <w:tc>
          <w:tcPr>
            <w:tcW w:type="dxa" w:w="1296"/>
          </w:tcPr>
          <w:p>
            <w:r/>
            <w:r>
              <w:rPr>
                <w:sz w:val="16"/>
              </w:rPr>
              <w:t>198707</w:t>
            </w:r>
          </w:p>
        </w:tc>
        <w:tc>
          <w:tcPr>
            <w:tcW w:type="dxa" w:w="1296"/>
          </w:tcPr>
          <w:p>
            <w:r/>
            <w:r>
              <w:rPr>
                <w:sz w:val="16"/>
              </w:rPr>
              <w:t>2.92</w:t>
            </w:r>
          </w:p>
        </w:tc>
        <w:tc>
          <w:tcPr>
            <w:tcW w:type="dxa" w:w="1296"/>
          </w:tcPr>
          <w:p>
            <w:r/>
            <w:r>
              <w:rPr>
                <w:sz w:val="16"/>
              </w:rPr>
              <w:t>0.968</w:t>
            </w:r>
          </w:p>
        </w:tc>
      </w:tr>
      <w:tr>
        <w:tc>
          <w:tcPr>
            <w:tcW w:type="dxa" w:w="1296"/>
          </w:tcPr>
          <w:p>
            <w:r/>
            <w:r>
              <w:rPr>
                <w:sz w:val="16"/>
              </w:rPr>
              <w:t>DF</w:t>
            </w:r>
          </w:p>
        </w:tc>
        <w:tc>
          <w:tcPr>
            <w:tcW w:type="dxa" w:w="1296"/>
          </w:tcPr>
          <w:p>
            <w:r/>
            <w:r>
              <w:rPr>
                <w:sz w:val="16"/>
              </w:rPr>
              <w:t>2023</w:t>
            </w:r>
          </w:p>
        </w:tc>
        <w:tc>
          <w:tcPr>
            <w:tcW w:type="dxa" w:w="1296"/>
          </w:tcPr>
          <w:p>
            <w:r/>
            <w:r>
              <w:rPr>
                <w:sz w:val="16"/>
              </w:rPr>
              <w:t>11</w:t>
            </w:r>
          </w:p>
        </w:tc>
        <w:tc>
          <w:tcPr>
            <w:tcW w:type="dxa" w:w="1296"/>
          </w:tcPr>
          <w:p>
            <w:r/>
            <w:r>
              <w:rPr>
                <w:sz w:val="16"/>
              </w:rPr>
              <w:t>405058</w:t>
            </w:r>
          </w:p>
        </w:tc>
        <w:tc>
          <w:tcPr>
            <w:tcW w:type="dxa" w:w="1296"/>
          </w:tcPr>
          <w:p>
            <w:r/>
            <w:r>
              <w:rPr>
                <w:sz w:val="16"/>
              </w:rPr>
              <w:t>123202</w:t>
            </w:r>
          </w:p>
        </w:tc>
        <w:tc>
          <w:tcPr>
            <w:tcW w:type="dxa" w:w="1296"/>
          </w:tcPr>
          <w:p>
            <w:r/>
            <w:r>
              <w:rPr>
                <w:sz w:val="16"/>
              </w:rPr>
              <w:t>2.72</w:t>
            </w:r>
          </w:p>
        </w:tc>
        <w:tc>
          <w:tcPr>
            <w:tcW w:type="dxa" w:w="1296"/>
          </w:tcPr>
          <w:p>
            <w:r/>
            <w:r>
              <w:rPr>
                <w:sz w:val="16"/>
              </w:rPr>
              <w:t>0.304</w:t>
            </w:r>
          </w:p>
        </w:tc>
      </w:tr>
      <w:tr>
        <w:tc>
          <w:tcPr>
            <w:tcW w:type="dxa" w:w="1296"/>
          </w:tcPr>
          <w:p>
            <w:r/>
            <w:r>
              <w:rPr>
                <w:sz w:val="16"/>
              </w:rPr>
              <w:t>RS</w:t>
            </w:r>
          </w:p>
        </w:tc>
        <w:tc>
          <w:tcPr>
            <w:tcW w:type="dxa" w:w="1296"/>
          </w:tcPr>
          <w:p>
            <w:r/>
            <w:r>
              <w:rPr>
                <w:sz w:val="16"/>
              </w:rPr>
              <w:t>2023</w:t>
            </w:r>
          </w:p>
        </w:tc>
        <w:tc>
          <w:tcPr>
            <w:tcW w:type="dxa" w:w="1296"/>
          </w:tcPr>
          <w:p>
            <w:r/>
            <w:r>
              <w:rPr>
                <w:sz w:val="16"/>
              </w:rPr>
              <w:t>62</w:t>
            </w:r>
          </w:p>
        </w:tc>
        <w:tc>
          <w:tcPr>
            <w:tcW w:type="dxa" w:w="1296"/>
          </w:tcPr>
          <w:p>
            <w:r/>
            <w:r>
              <w:rPr>
                <w:sz w:val="16"/>
              </w:rPr>
              <w:t>2371583</w:t>
            </w:r>
          </w:p>
        </w:tc>
        <w:tc>
          <w:tcPr>
            <w:tcW w:type="dxa" w:w="1296"/>
          </w:tcPr>
          <w:p>
            <w:r/>
            <w:r>
              <w:rPr>
                <w:sz w:val="16"/>
              </w:rPr>
              <w:t>400193</w:t>
            </w:r>
          </w:p>
        </w:tc>
        <w:tc>
          <w:tcPr>
            <w:tcW w:type="dxa" w:w="1296"/>
          </w:tcPr>
          <w:p>
            <w:r/>
            <w:r>
              <w:rPr>
                <w:sz w:val="16"/>
              </w:rPr>
              <w:t>2.61</w:t>
            </w:r>
          </w:p>
        </w:tc>
        <w:tc>
          <w:tcPr>
            <w:tcW w:type="dxa" w:w="1296"/>
          </w:tcPr>
          <w:p>
            <w:r/>
            <w:r>
              <w:rPr>
                <w:sz w:val="16"/>
              </w:rPr>
              <w:t>0.169</w:t>
            </w:r>
          </w:p>
        </w:tc>
      </w:tr>
      <w:tr>
        <w:tc>
          <w:tcPr>
            <w:tcW w:type="dxa" w:w="1296"/>
          </w:tcPr>
          <w:p>
            <w:r/>
            <w:r>
              <w:rPr>
                <w:sz w:val="16"/>
              </w:rPr>
              <w:t>ES</w:t>
            </w:r>
          </w:p>
        </w:tc>
        <w:tc>
          <w:tcPr>
            <w:tcW w:type="dxa" w:w="1296"/>
          </w:tcPr>
          <w:p>
            <w:r/>
            <w:r>
              <w:rPr>
                <w:sz w:val="16"/>
              </w:rPr>
              <w:t>2023</w:t>
            </w:r>
          </w:p>
        </w:tc>
        <w:tc>
          <w:tcPr>
            <w:tcW w:type="dxa" w:w="1296"/>
          </w:tcPr>
          <w:p>
            <w:r/>
            <w:r>
              <w:rPr>
                <w:sz w:val="16"/>
              </w:rPr>
              <w:t>17</w:t>
            </w:r>
          </w:p>
        </w:tc>
        <w:tc>
          <w:tcPr>
            <w:tcW w:type="dxa" w:w="1296"/>
          </w:tcPr>
          <w:p>
            <w:r/>
            <w:r>
              <w:rPr>
                <w:sz w:val="16"/>
              </w:rPr>
              <w:t>672790</w:t>
            </w:r>
          </w:p>
        </w:tc>
        <w:tc>
          <w:tcPr>
            <w:tcW w:type="dxa" w:w="1296"/>
          </w:tcPr>
          <w:p>
            <w:r/>
            <w:r>
              <w:rPr>
                <w:sz w:val="16"/>
              </w:rPr>
              <w:t>194042</w:t>
            </w:r>
          </w:p>
        </w:tc>
        <w:tc>
          <w:tcPr>
            <w:tcW w:type="dxa" w:w="1296"/>
          </w:tcPr>
          <w:p>
            <w:r/>
            <w:r>
              <w:rPr>
                <w:sz w:val="16"/>
              </w:rPr>
              <w:t>2.53</w:t>
            </w:r>
          </w:p>
        </w:tc>
        <w:tc>
          <w:tcPr>
            <w:tcW w:type="dxa" w:w="1296"/>
          </w:tcPr>
          <w:p>
            <w:r/>
            <w:r>
              <w:rPr>
                <w:sz w:val="16"/>
              </w:rPr>
              <w:t>0.288</w:t>
            </w:r>
          </w:p>
        </w:tc>
      </w:tr>
      <w:tr>
        <w:tc>
          <w:tcPr>
            <w:tcW w:type="dxa" w:w="1296"/>
          </w:tcPr>
          <w:p>
            <w:r/>
            <w:r>
              <w:rPr>
                <w:sz w:val="16"/>
              </w:rPr>
              <w:t>SC</w:t>
            </w:r>
          </w:p>
        </w:tc>
        <w:tc>
          <w:tcPr>
            <w:tcW w:type="dxa" w:w="1296"/>
          </w:tcPr>
          <w:p>
            <w:r/>
            <w:r>
              <w:rPr>
                <w:sz w:val="16"/>
              </w:rPr>
              <w:t>2023</w:t>
            </w:r>
          </w:p>
        </w:tc>
        <w:tc>
          <w:tcPr>
            <w:tcW w:type="dxa" w:w="1296"/>
          </w:tcPr>
          <w:p>
            <w:r/>
            <w:r>
              <w:rPr>
                <w:sz w:val="16"/>
              </w:rPr>
              <w:t>28</w:t>
            </w:r>
          </w:p>
        </w:tc>
        <w:tc>
          <w:tcPr>
            <w:tcW w:type="dxa" w:w="1296"/>
          </w:tcPr>
          <w:p>
            <w:r/>
            <w:r>
              <w:rPr>
                <w:sz w:val="16"/>
              </w:rPr>
              <w:t>1261013</w:t>
            </w:r>
          </w:p>
        </w:tc>
        <w:tc>
          <w:tcPr>
            <w:tcW w:type="dxa" w:w="1296"/>
          </w:tcPr>
          <w:p>
            <w:r/>
            <w:r>
              <w:rPr>
                <w:sz w:val="16"/>
              </w:rPr>
              <w:t>1413322</w:t>
            </w:r>
          </w:p>
        </w:tc>
        <w:tc>
          <w:tcPr>
            <w:tcW w:type="dxa" w:w="1296"/>
          </w:tcPr>
          <w:p>
            <w:r/>
            <w:r>
              <w:rPr>
                <w:sz w:val="16"/>
              </w:rPr>
              <w:t>2.22</w:t>
            </w:r>
          </w:p>
        </w:tc>
        <w:tc>
          <w:tcPr>
            <w:tcW w:type="dxa" w:w="1296"/>
          </w:tcPr>
          <w:p>
            <w:r/>
            <w:r>
              <w:rPr>
                <w:sz w:val="16"/>
              </w:rPr>
              <w:t>1.121</w:t>
            </w:r>
          </w:p>
        </w:tc>
      </w:tr>
      <w:tr>
        <w:tc>
          <w:tcPr>
            <w:tcW w:type="dxa" w:w="1296"/>
          </w:tcPr>
          <w:p>
            <w:r/>
            <w:r>
              <w:rPr>
                <w:sz w:val="16"/>
              </w:rPr>
              <w:t>BA</w:t>
            </w:r>
          </w:p>
        </w:tc>
        <w:tc>
          <w:tcPr>
            <w:tcW w:type="dxa" w:w="1296"/>
          </w:tcPr>
          <w:p>
            <w:r/>
            <w:r>
              <w:rPr>
                <w:sz w:val="16"/>
              </w:rPr>
              <w:t>2023</w:t>
            </w:r>
          </w:p>
        </w:tc>
        <w:tc>
          <w:tcPr>
            <w:tcW w:type="dxa" w:w="1296"/>
          </w:tcPr>
          <w:p>
            <w:r/>
            <w:r>
              <w:rPr>
                <w:sz w:val="16"/>
              </w:rPr>
              <w:t>44</w:t>
            </w:r>
          </w:p>
        </w:tc>
        <w:tc>
          <w:tcPr>
            <w:tcW w:type="dxa" w:w="1296"/>
          </w:tcPr>
          <w:p>
            <w:r/>
            <w:r>
              <w:rPr>
                <w:sz w:val="16"/>
              </w:rPr>
              <w:t>2179226</w:t>
            </w:r>
          </w:p>
        </w:tc>
        <w:tc>
          <w:tcPr>
            <w:tcW w:type="dxa" w:w="1296"/>
          </w:tcPr>
          <w:p>
            <w:r/>
            <w:r>
              <w:rPr>
                <w:sz w:val="16"/>
              </w:rPr>
              <w:t>586821</w:t>
            </w:r>
          </w:p>
        </w:tc>
        <w:tc>
          <w:tcPr>
            <w:tcW w:type="dxa" w:w="1296"/>
          </w:tcPr>
          <w:p>
            <w:r/>
            <w:r>
              <w:rPr>
                <w:sz w:val="16"/>
              </w:rPr>
              <w:t>2.02</w:t>
            </w:r>
          </w:p>
        </w:tc>
        <w:tc>
          <w:tcPr>
            <w:tcW w:type="dxa" w:w="1296"/>
          </w:tcPr>
          <w:p>
            <w:r/>
            <w:r>
              <w:rPr>
                <w:sz w:val="16"/>
              </w:rPr>
              <w:t>0.269</w:t>
            </w:r>
          </w:p>
        </w:tc>
      </w:tr>
      <w:tr>
        <w:tc>
          <w:tcPr>
            <w:tcW w:type="dxa" w:w="1296"/>
          </w:tcPr>
          <w:p>
            <w:r/>
            <w:r>
              <w:rPr>
                <w:sz w:val="16"/>
              </w:rPr>
              <w:t>AL</w:t>
            </w:r>
          </w:p>
        </w:tc>
        <w:tc>
          <w:tcPr>
            <w:tcW w:type="dxa" w:w="1296"/>
          </w:tcPr>
          <w:p>
            <w:r/>
            <w:r>
              <w:rPr>
                <w:sz w:val="16"/>
              </w:rPr>
              <w:t>2023</w:t>
            </w:r>
          </w:p>
        </w:tc>
        <w:tc>
          <w:tcPr>
            <w:tcW w:type="dxa" w:w="1296"/>
          </w:tcPr>
          <w:p>
            <w:r/>
            <w:r>
              <w:rPr>
                <w:sz w:val="16"/>
              </w:rPr>
              <w:t>8</w:t>
            </w:r>
          </w:p>
        </w:tc>
        <w:tc>
          <w:tcPr>
            <w:tcW w:type="dxa" w:w="1296"/>
          </w:tcPr>
          <w:p>
            <w:r/>
            <w:r>
              <w:rPr>
                <w:sz w:val="16"/>
              </w:rPr>
              <w:t>423252</w:t>
            </w:r>
          </w:p>
        </w:tc>
        <w:tc>
          <w:tcPr>
            <w:tcW w:type="dxa" w:w="1296"/>
          </w:tcPr>
          <w:p>
            <w:r/>
            <w:r>
              <w:rPr>
                <w:sz w:val="16"/>
              </w:rPr>
              <w:t>98007</w:t>
            </w:r>
          </w:p>
        </w:tc>
        <w:tc>
          <w:tcPr>
            <w:tcW w:type="dxa" w:w="1296"/>
          </w:tcPr>
          <w:p>
            <w:r/>
            <w:r>
              <w:rPr>
                <w:sz w:val="16"/>
              </w:rPr>
              <w:t>1.89</w:t>
            </w:r>
          </w:p>
        </w:tc>
        <w:tc>
          <w:tcPr>
            <w:tcW w:type="dxa" w:w="1296"/>
          </w:tcPr>
          <w:p>
            <w:r/>
            <w:r>
              <w:rPr>
                <w:sz w:val="16"/>
              </w:rPr>
              <w:t>0.232</w:t>
            </w:r>
          </w:p>
        </w:tc>
      </w:tr>
      <w:tr>
        <w:tc>
          <w:tcPr>
            <w:tcW w:type="dxa" w:w="1296"/>
          </w:tcPr>
          <w:p>
            <w:r/>
            <w:r>
              <w:rPr>
                <w:sz w:val="16"/>
              </w:rPr>
              <w:t>SP</w:t>
            </w:r>
          </w:p>
        </w:tc>
        <w:tc>
          <w:tcPr>
            <w:tcW w:type="dxa" w:w="1296"/>
          </w:tcPr>
          <w:p>
            <w:r/>
            <w:r>
              <w:rPr>
                <w:sz w:val="16"/>
              </w:rPr>
              <w:t>2023</w:t>
            </w:r>
          </w:p>
        </w:tc>
        <w:tc>
          <w:tcPr>
            <w:tcW w:type="dxa" w:w="1296"/>
          </w:tcPr>
          <w:p>
            <w:r/>
            <w:r>
              <w:rPr>
                <w:sz w:val="16"/>
              </w:rPr>
              <w:t>143</w:t>
            </w:r>
          </w:p>
        </w:tc>
        <w:tc>
          <w:tcPr>
            <w:tcW w:type="dxa" w:w="1296"/>
          </w:tcPr>
          <w:p>
            <w:r/>
            <w:r>
              <w:rPr>
                <w:sz w:val="16"/>
              </w:rPr>
              <w:t>8129891</w:t>
            </w:r>
          </w:p>
        </w:tc>
        <w:tc>
          <w:tcPr>
            <w:tcW w:type="dxa" w:w="1296"/>
          </w:tcPr>
          <w:p>
            <w:r/>
            <w:r>
              <w:rPr>
                <w:sz w:val="16"/>
              </w:rPr>
              <w:t>4983472</w:t>
            </w:r>
          </w:p>
        </w:tc>
        <w:tc>
          <w:tcPr>
            <w:tcW w:type="dxa" w:w="1296"/>
          </w:tcPr>
          <w:p>
            <w:r/>
            <w:r>
              <w:rPr>
                <w:sz w:val="16"/>
              </w:rPr>
              <w:t>1.76</w:t>
            </w:r>
          </w:p>
        </w:tc>
        <w:tc>
          <w:tcPr>
            <w:tcW w:type="dxa" w:w="1296"/>
          </w:tcPr>
          <w:p>
            <w:r/>
            <w:r>
              <w:rPr>
                <w:sz w:val="16"/>
              </w:rPr>
              <w:t>0.613</w:t>
            </w:r>
          </w:p>
        </w:tc>
      </w:tr>
      <w:tr>
        <w:tc>
          <w:tcPr>
            <w:tcW w:type="dxa" w:w="1296"/>
          </w:tcPr>
          <w:p>
            <w:r/>
            <w:r>
              <w:rPr>
                <w:sz w:val="16"/>
              </w:rPr>
              <w:t>RJ</w:t>
            </w:r>
          </w:p>
        </w:tc>
        <w:tc>
          <w:tcPr>
            <w:tcW w:type="dxa" w:w="1296"/>
          </w:tcPr>
          <w:p>
            <w:r/>
            <w:r>
              <w:rPr>
                <w:sz w:val="16"/>
              </w:rPr>
              <w:t>2023</w:t>
            </w:r>
          </w:p>
        </w:tc>
        <w:tc>
          <w:tcPr>
            <w:tcW w:type="dxa" w:w="1296"/>
          </w:tcPr>
          <w:p>
            <w:r/>
            <w:r>
              <w:rPr>
                <w:sz w:val="16"/>
              </w:rPr>
              <w:t>52</w:t>
            </w:r>
          </w:p>
        </w:tc>
        <w:tc>
          <w:tcPr>
            <w:tcW w:type="dxa" w:w="1296"/>
          </w:tcPr>
          <w:p>
            <w:r/>
            <w:r>
              <w:rPr>
                <w:sz w:val="16"/>
              </w:rPr>
              <w:t>3296229</w:t>
            </w:r>
          </w:p>
        </w:tc>
        <w:tc>
          <w:tcPr>
            <w:tcW w:type="dxa" w:w="1296"/>
          </w:tcPr>
          <w:p>
            <w:r/>
            <w:r>
              <w:rPr>
                <w:sz w:val="16"/>
              </w:rPr>
              <w:t>926390</w:t>
            </w:r>
          </w:p>
        </w:tc>
        <w:tc>
          <w:tcPr>
            <w:tcW w:type="dxa" w:w="1296"/>
          </w:tcPr>
          <w:p>
            <w:r/>
            <w:r>
              <w:rPr>
                <w:sz w:val="16"/>
              </w:rPr>
              <w:t>1.58</w:t>
            </w:r>
          </w:p>
        </w:tc>
        <w:tc>
          <w:tcPr>
            <w:tcW w:type="dxa" w:w="1296"/>
          </w:tcPr>
          <w:p>
            <w:r/>
            <w:r>
              <w:rPr>
                <w:sz w:val="16"/>
              </w:rPr>
              <w:t>0.281</w:t>
            </w:r>
          </w:p>
        </w:tc>
      </w:tr>
      <w:tr>
        <w:tc>
          <w:tcPr>
            <w:tcW w:type="dxa" w:w="1296"/>
          </w:tcPr>
          <w:p>
            <w:r/>
            <w:r>
              <w:rPr>
                <w:sz w:val="16"/>
              </w:rPr>
              <w:t>PE</w:t>
            </w:r>
          </w:p>
        </w:tc>
        <w:tc>
          <w:tcPr>
            <w:tcW w:type="dxa" w:w="1296"/>
          </w:tcPr>
          <w:p>
            <w:r/>
            <w:r>
              <w:rPr>
                <w:sz w:val="16"/>
              </w:rPr>
              <w:t>2023</w:t>
            </w:r>
          </w:p>
        </w:tc>
        <w:tc>
          <w:tcPr>
            <w:tcW w:type="dxa" w:w="1296"/>
          </w:tcPr>
          <w:p>
            <w:r/>
            <w:r>
              <w:rPr>
                <w:sz w:val="16"/>
              </w:rPr>
              <w:t>18</w:t>
            </w:r>
          </w:p>
        </w:tc>
        <w:tc>
          <w:tcPr>
            <w:tcW w:type="dxa" w:w="1296"/>
          </w:tcPr>
          <w:p>
            <w:r/>
            <w:r>
              <w:rPr>
                <w:sz w:val="16"/>
              </w:rPr>
              <w:t>1384121</w:t>
            </w:r>
          </w:p>
        </w:tc>
        <w:tc>
          <w:tcPr>
            <w:tcW w:type="dxa" w:w="1296"/>
          </w:tcPr>
          <w:p>
            <w:r/>
            <w:r>
              <w:rPr>
                <w:sz w:val="16"/>
              </w:rPr>
              <w:t>318896</w:t>
            </w:r>
          </w:p>
        </w:tc>
        <w:tc>
          <w:tcPr>
            <w:tcW w:type="dxa" w:w="1296"/>
          </w:tcPr>
          <w:p>
            <w:r/>
            <w:r>
              <w:rPr>
                <w:sz w:val="16"/>
              </w:rPr>
              <w:t>1.3</w:t>
            </w:r>
          </w:p>
        </w:tc>
        <w:tc>
          <w:tcPr>
            <w:tcW w:type="dxa" w:w="1296"/>
          </w:tcPr>
          <w:p>
            <w:r/>
            <w:r>
              <w:rPr>
                <w:sz w:val="16"/>
              </w:rPr>
              <w:t>0.23</w:t>
            </w:r>
          </w:p>
        </w:tc>
      </w:tr>
      <w:tr>
        <w:tc>
          <w:tcPr>
            <w:tcW w:type="dxa" w:w="1296"/>
          </w:tcPr>
          <w:p>
            <w:r/>
            <w:r>
              <w:rPr>
                <w:sz w:val="16"/>
              </w:rPr>
              <w:t>MG</w:t>
            </w:r>
          </w:p>
        </w:tc>
        <w:tc>
          <w:tcPr>
            <w:tcW w:type="dxa" w:w="1296"/>
          </w:tcPr>
          <w:p>
            <w:r/>
            <w:r>
              <w:rPr>
                <w:sz w:val="16"/>
              </w:rPr>
              <w:t>2023</w:t>
            </w:r>
          </w:p>
        </w:tc>
        <w:tc>
          <w:tcPr>
            <w:tcW w:type="dxa" w:w="1296"/>
          </w:tcPr>
          <w:p>
            <w:r/>
            <w:r>
              <w:rPr>
                <w:sz w:val="16"/>
              </w:rPr>
              <w:t>45</w:t>
            </w:r>
          </w:p>
        </w:tc>
        <w:tc>
          <w:tcPr>
            <w:tcW w:type="dxa" w:w="1296"/>
          </w:tcPr>
          <w:p>
            <w:r/>
            <w:r>
              <w:rPr>
                <w:sz w:val="16"/>
              </w:rPr>
              <w:t>3835764</w:t>
            </w:r>
          </w:p>
        </w:tc>
        <w:tc>
          <w:tcPr>
            <w:tcW w:type="dxa" w:w="1296"/>
          </w:tcPr>
          <w:p>
            <w:r/>
            <w:r>
              <w:rPr>
                <w:sz w:val="16"/>
              </w:rPr>
              <w:t>1455311</w:t>
            </w:r>
          </w:p>
        </w:tc>
        <w:tc>
          <w:tcPr>
            <w:tcW w:type="dxa" w:w="1296"/>
          </w:tcPr>
          <w:p>
            <w:r/>
            <w:r>
              <w:rPr>
                <w:sz w:val="16"/>
              </w:rPr>
              <w:t>1.17</w:t>
            </w:r>
          </w:p>
        </w:tc>
        <w:tc>
          <w:tcPr>
            <w:tcW w:type="dxa" w:w="1296"/>
          </w:tcPr>
          <w:p>
            <w:r/>
            <w:r>
              <w:rPr>
                <w:sz w:val="16"/>
              </w:rPr>
              <w:t>0.379</w:t>
            </w:r>
          </w:p>
        </w:tc>
      </w:tr>
      <w:tr>
        <w:tc>
          <w:tcPr>
            <w:tcW w:type="dxa" w:w="1296"/>
          </w:tcPr>
          <w:p>
            <w:r/>
            <w:r>
              <w:rPr>
                <w:sz w:val="16"/>
              </w:rPr>
              <w:t>MT</w:t>
            </w:r>
          </w:p>
        </w:tc>
        <w:tc>
          <w:tcPr>
            <w:tcW w:type="dxa" w:w="1296"/>
          </w:tcPr>
          <w:p>
            <w:r/>
            <w:r>
              <w:rPr>
                <w:sz w:val="16"/>
              </w:rPr>
              <w:t>2023</w:t>
            </w:r>
          </w:p>
        </w:tc>
        <w:tc>
          <w:tcPr>
            <w:tcW w:type="dxa" w:w="1296"/>
          </w:tcPr>
          <w:p>
            <w:r/>
            <w:r>
              <w:rPr>
                <w:sz w:val="16"/>
              </w:rPr>
              <w:t>3</w:t>
            </w:r>
          </w:p>
        </w:tc>
        <w:tc>
          <w:tcPr>
            <w:tcW w:type="dxa" w:w="1296"/>
          </w:tcPr>
          <w:p>
            <w:r/>
            <w:r>
              <w:rPr>
                <w:sz w:val="16"/>
              </w:rPr>
              <w:t>454414</w:t>
            </w:r>
          </w:p>
        </w:tc>
        <w:tc>
          <w:tcPr>
            <w:tcW w:type="dxa" w:w="1296"/>
          </w:tcPr>
          <w:p>
            <w:r/>
            <w:r>
              <w:rPr>
                <w:sz w:val="16"/>
              </w:rPr>
              <w:t>442515</w:t>
            </w:r>
          </w:p>
        </w:tc>
        <w:tc>
          <w:tcPr>
            <w:tcW w:type="dxa" w:w="1296"/>
          </w:tcPr>
          <w:p>
            <w:r/>
            <w:r>
              <w:rPr>
                <w:sz w:val="16"/>
              </w:rPr>
              <w:t>0.66</w:t>
            </w:r>
          </w:p>
        </w:tc>
        <w:tc>
          <w:tcPr>
            <w:tcW w:type="dxa" w:w="1296"/>
          </w:tcPr>
          <w:p>
            <w:r/>
            <w:r>
              <w:rPr>
                <w:sz w:val="16"/>
              </w:rPr>
              <w:t>0.974</w:t>
            </w:r>
          </w:p>
        </w:tc>
      </w:tr>
      <w:tr>
        <w:tc>
          <w:tcPr>
            <w:tcW w:type="dxa" w:w="1296"/>
          </w:tcPr>
          <w:p>
            <w:r/>
            <w:r>
              <w:rPr>
                <w:sz w:val="16"/>
              </w:rPr>
              <w:t>MS</w:t>
            </w:r>
          </w:p>
        </w:tc>
        <w:tc>
          <w:tcPr>
            <w:tcW w:type="dxa" w:w="1296"/>
          </w:tcPr>
          <w:p>
            <w:r/>
            <w:r>
              <w:rPr>
                <w:sz w:val="16"/>
              </w:rPr>
              <w:t>2024</w:t>
            </w:r>
          </w:p>
        </w:tc>
        <w:tc>
          <w:tcPr>
            <w:tcW w:type="dxa" w:w="1296"/>
          </w:tcPr>
          <w:p>
            <w:r/>
            <w:r>
              <w:rPr>
                <w:sz w:val="16"/>
              </w:rPr>
              <w:t>55</w:t>
            </w:r>
          </w:p>
        </w:tc>
        <w:tc>
          <w:tcPr>
            <w:tcW w:type="dxa" w:w="1296"/>
          </w:tcPr>
          <w:p>
            <w:r/>
            <w:r>
              <w:rPr>
                <w:sz w:val="16"/>
              </w:rPr>
              <w:t>435081</w:t>
            </w:r>
          </w:p>
        </w:tc>
        <w:tc>
          <w:tcPr>
            <w:tcW w:type="dxa" w:w="1296"/>
          </w:tcPr>
          <w:p>
            <w:r/>
            <w:r>
              <w:rPr>
                <w:sz w:val="16"/>
              </w:rPr>
              <w:t>859593</w:t>
            </w:r>
          </w:p>
        </w:tc>
        <w:tc>
          <w:tcPr>
            <w:tcW w:type="dxa" w:w="1296"/>
          </w:tcPr>
          <w:p>
            <w:r/>
            <w:r>
              <w:rPr>
                <w:sz w:val="16"/>
              </w:rPr>
              <w:t>12.64</w:t>
            </w:r>
          </w:p>
        </w:tc>
        <w:tc>
          <w:tcPr>
            <w:tcW w:type="dxa" w:w="1296"/>
          </w:tcPr>
          <w:p>
            <w:r/>
            <w:r>
              <w:rPr>
                <w:sz w:val="16"/>
              </w:rPr>
              <w:t>1.976</w:t>
            </w:r>
          </w:p>
        </w:tc>
      </w:tr>
      <w:tr>
        <w:tc>
          <w:tcPr>
            <w:tcW w:type="dxa" w:w="1296"/>
          </w:tcPr>
          <w:p>
            <w:r/>
            <w:r>
              <w:rPr>
                <w:sz w:val="16"/>
              </w:rPr>
              <w:t>SE</w:t>
            </w:r>
          </w:p>
        </w:tc>
        <w:tc>
          <w:tcPr>
            <w:tcW w:type="dxa" w:w="1296"/>
          </w:tcPr>
          <w:p>
            <w:r/>
            <w:r>
              <w:rPr>
                <w:sz w:val="16"/>
              </w:rPr>
              <w:t>2024</w:t>
            </w:r>
          </w:p>
        </w:tc>
        <w:tc>
          <w:tcPr>
            <w:tcW w:type="dxa" w:w="1296"/>
          </w:tcPr>
          <w:p>
            <w:r/>
            <w:r>
              <w:rPr>
                <w:sz w:val="16"/>
              </w:rPr>
              <w:t>29</w:t>
            </w:r>
          </w:p>
        </w:tc>
        <w:tc>
          <w:tcPr>
            <w:tcW w:type="dxa" w:w="1296"/>
          </w:tcPr>
          <w:p>
            <w:r/>
            <w:r>
              <w:rPr>
                <w:sz w:val="16"/>
              </w:rPr>
              <w:t>306213</w:t>
            </w:r>
          </w:p>
        </w:tc>
        <w:tc>
          <w:tcPr>
            <w:tcW w:type="dxa" w:w="1296"/>
          </w:tcPr>
          <w:p>
            <w:r/>
            <w:r>
              <w:rPr>
                <w:sz w:val="16"/>
              </w:rPr>
              <w:t>587317</w:t>
            </w:r>
          </w:p>
        </w:tc>
        <w:tc>
          <w:tcPr>
            <w:tcW w:type="dxa" w:w="1296"/>
          </w:tcPr>
          <w:p>
            <w:r/>
            <w:r>
              <w:rPr>
                <w:sz w:val="16"/>
              </w:rPr>
              <w:t>9.47</w:t>
            </w:r>
          </w:p>
        </w:tc>
        <w:tc>
          <w:tcPr>
            <w:tcW w:type="dxa" w:w="1296"/>
          </w:tcPr>
          <w:p>
            <w:r/>
            <w:r>
              <w:rPr>
                <w:sz w:val="16"/>
              </w:rPr>
              <w:t>1.918</w:t>
            </w:r>
          </w:p>
        </w:tc>
      </w:tr>
      <w:tr>
        <w:tc>
          <w:tcPr>
            <w:tcW w:type="dxa" w:w="1296"/>
          </w:tcPr>
          <w:p>
            <w:r/>
            <w:r>
              <w:rPr>
                <w:sz w:val="16"/>
              </w:rPr>
              <w:t>PR</w:t>
            </w:r>
          </w:p>
        </w:tc>
        <w:tc>
          <w:tcPr>
            <w:tcW w:type="dxa" w:w="1296"/>
          </w:tcPr>
          <w:p>
            <w:r/>
            <w:r>
              <w:rPr>
                <w:sz w:val="16"/>
              </w:rPr>
              <w:t>2024</w:t>
            </w:r>
          </w:p>
        </w:tc>
        <w:tc>
          <w:tcPr>
            <w:tcW w:type="dxa" w:w="1296"/>
          </w:tcPr>
          <w:p>
            <w:r/>
            <w:r>
              <w:rPr>
                <w:sz w:val="16"/>
              </w:rPr>
              <w:t>176</w:t>
            </w:r>
          </w:p>
        </w:tc>
        <w:tc>
          <w:tcPr>
            <w:tcW w:type="dxa" w:w="1296"/>
          </w:tcPr>
          <w:p>
            <w:r/>
            <w:r>
              <w:rPr>
                <w:sz w:val="16"/>
              </w:rPr>
              <w:t>2079282</w:t>
            </w:r>
          </w:p>
        </w:tc>
        <w:tc>
          <w:tcPr>
            <w:tcW w:type="dxa" w:w="1296"/>
          </w:tcPr>
          <w:p>
            <w:r/>
            <w:r>
              <w:rPr>
                <w:sz w:val="16"/>
              </w:rPr>
              <w:t>3315223</w:t>
            </w:r>
          </w:p>
        </w:tc>
        <w:tc>
          <w:tcPr>
            <w:tcW w:type="dxa" w:w="1296"/>
          </w:tcPr>
          <w:p>
            <w:r/>
            <w:r>
              <w:rPr>
                <w:sz w:val="16"/>
              </w:rPr>
              <w:t>8.46</w:t>
            </w:r>
          </w:p>
        </w:tc>
        <w:tc>
          <w:tcPr>
            <w:tcW w:type="dxa" w:w="1296"/>
          </w:tcPr>
          <w:p>
            <w:r/>
            <w:r>
              <w:rPr>
                <w:sz w:val="16"/>
              </w:rPr>
              <w:t>1.594</w:t>
            </w:r>
          </w:p>
        </w:tc>
      </w:tr>
      <w:tr>
        <w:tc>
          <w:tcPr>
            <w:tcW w:type="dxa" w:w="1296"/>
          </w:tcPr>
          <w:p>
            <w:r/>
            <w:r>
              <w:rPr>
                <w:sz w:val="16"/>
              </w:rPr>
              <w:t>SC</w:t>
            </w:r>
          </w:p>
        </w:tc>
        <w:tc>
          <w:tcPr>
            <w:tcW w:type="dxa" w:w="1296"/>
          </w:tcPr>
          <w:p>
            <w:r/>
            <w:r>
              <w:rPr>
                <w:sz w:val="16"/>
              </w:rPr>
              <w:t>2024</w:t>
            </w:r>
          </w:p>
        </w:tc>
        <w:tc>
          <w:tcPr>
            <w:tcW w:type="dxa" w:w="1296"/>
          </w:tcPr>
          <w:p>
            <w:r/>
            <w:r>
              <w:rPr>
                <w:sz w:val="16"/>
              </w:rPr>
              <w:t>111</w:t>
            </w:r>
          </w:p>
        </w:tc>
        <w:tc>
          <w:tcPr>
            <w:tcW w:type="dxa" w:w="1296"/>
          </w:tcPr>
          <w:p>
            <w:r/>
            <w:r>
              <w:rPr>
                <w:sz w:val="16"/>
              </w:rPr>
              <w:t>1318261</w:t>
            </w:r>
          </w:p>
        </w:tc>
        <w:tc>
          <w:tcPr>
            <w:tcW w:type="dxa" w:w="1296"/>
          </w:tcPr>
          <w:p>
            <w:r/>
            <w:r>
              <w:rPr>
                <w:sz w:val="16"/>
              </w:rPr>
              <w:t>2016059</w:t>
            </w:r>
          </w:p>
        </w:tc>
        <w:tc>
          <w:tcPr>
            <w:tcW w:type="dxa" w:w="1296"/>
          </w:tcPr>
          <w:p>
            <w:r/>
            <w:r>
              <w:rPr>
                <w:sz w:val="16"/>
              </w:rPr>
              <w:t>8.42</w:t>
            </w:r>
          </w:p>
        </w:tc>
        <w:tc>
          <w:tcPr>
            <w:tcW w:type="dxa" w:w="1296"/>
          </w:tcPr>
          <w:p>
            <w:r/>
            <w:r>
              <w:rPr>
                <w:sz w:val="16"/>
              </w:rPr>
              <w:t>1.529</w:t>
            </w:r>
          </w:p>
        </w:tc>
      </w:tr>
      <w:tr>
        <w:tc>
          <w:tcPr>
            <w:tcW w:type="dxa" w:w="1296"/>
          </w:tcPr>
          <w:p>
            <w:r/>
            <w:r>
              <w:rPr>
                <w:sz w:val="16"/>
              </w:rPr>
              <w:t>RS</w:t>
            </w:r>
          </w:p>
        </w:tc>
        <w:tc>
          <w:tcPr>
            <w:tcW w:type="dxa" w:w="1296"/>
          </w:tcPr>
          <w:p>
            <w:r/>
            <w:r>
              <w:rPr>
                <w:sz w:val="16"/>
              </w:rPr>
              <w:t>2024</w:t>
            </w:r>
          </w:p>
        </w:tc>
        <w:tc>
          <w:tcPr>
            <w:tcW w:type="dxa" w:w="1296"/>
          </w:tcPr>
          <w:p>
            <w:r/>
            <w:r>
              <w:rPr>
                <w:sz w:val="16"/>
              </w:rPr>
              <w:t>187</w:t>
            </w:r>
          </w:p>
        </w:tc>
        <w:tc>
          <w:tcPr>
            <w:tcW w:type="dxa" w:w="1296"/>
          </w:tcPr>
          <w:p>
            <w:r/>
            <w:r>
              <w:rPr>
                <w:sz w:val="16"/>
              </w:rPr>
              <w:t>2445607</w:t>
            </w:r>
          </w:p>
        </w:tc>
        <w:tc>
          <w:tcPr>
            <w:tcW w:type="dxa" w:w="1296"/>
          </w:tcPr>
          <w:p>
            <w:r/>
            <w:r>
              <w:rPr>
                <w:sz w:val="16"/>
              </w:rPr>
              <w:t>2930841</w:t>
            </w:r>
          </w:p>
        </w:tc>
        <w:tc>
          <w:tcPr>
            <w:tcW w:type="dxa" w:w="1296"/>
          </w:tcPr>
          <w:p>
            <w:r/>
            <w:r>
              <w:rPr>
                <w:sz w:val="16"/>
              </w:rPr>
              <w:t>7.65</w:t>
            </w:r>
          </w:p>
        </w:tc>
        <w:tc>
          <w:tcPr>
            <w:tcW w:type="dxa" w:w="1296"/>
          </w:tcPr>
          <w:p>
            <w:r/>
            <w:r>
              <w:rPr>
                <w:sz w:val="16"/>
              </w:rPr>
              <w:t>1.198</w:t>
            </w:r>
          </w:p>
        </w:tc>
      </w:tr>
      <w:tr>
        <w:tc>
          <w:tcPr>
            <w:tcW w:type="dxa" w:w="1296"/>
          </w:tcPr>
          <w:p>
            <w:r/>
            <w:r>
              <w:rPr>
                <w:sz w:val="16"/>
              </w:rPr>
              <w:t>AM</w:t>
            </w:r>
          </w:p>
        </w:tc>
        <w:tc>
          <w:tcPr>
            <w:tcW w:type="dxa" w:w="1296"/>
          </w:tcPr>
          <w:p>
            <w:r/>
            <w:r>
              <w:rPr>
                <w:sz w:val="16"/>
              </w:rPr>
              <w:t>2024</w:t>
            </w:r>
          </w:p>
        </w:tc>
        <w:tc>
          <w:tcPr>
            <w:tcW w:type="dxa" w:w="1296"/>
          </w:tcPr>
          <w:p>
            <w:r/>
            <w:r>
              <w:rPr>
                <w:sz w:val="16"/>
              </w:rPr>
              <w:t>26</w:t>
            </w:r>
          </w:p>
        </w:tc>
        <w:tc>
          <w:tcPr>
            <w:tcW w:type="dxa" w:w="1296"/>
          </w:tcPr>
          <w:p>
            <w:r/>
            <w:r>
              <w:rPr>
                <w:sz w:val="16"/>
              </w:rPr>
              <w:t>389849</w:t>
            </w:r>
          </w:p>
        </w:tc>
        <w:tc>
          <w:tcPr>
            <w:tcW w:type="dxa" w:w="1296"/>
          </w:tcPr>
          <w:p>
            <w:r/>
            <w:r>
              <w:rPr>
                <w:sz w:val="16"/>
              </w:rPr>
              <w:t>1057086</w:t>
            </w:r>
          </w:p>
        </w:tc>
        <w:tc>
          <w:tcPr>
            <w:tcW w:type="dxa" w:w="1296"/>
          </w:tcPr>
          <w:p>
            <w:r/>
            <w:r>
              <w:rPr>
                <w:sz w:val="16"/>
              </w:rPr>
              <w:t>6.67</w:t>
            </w:r>
          </w:p>
        </w:tc>
        <w:tc>
          <w:tcPr>
            <w:tcW w:type="dxa" w:w="1296"/>
          </w:tcPr>
          <w:p>
            <w:r/>
            <w:r>
              <w:rPr>
                <w:sz w:val="16"/>
              </w:rPr>
              <w:t>2.712</w:t>
            </w:r>
          </w:p>
        </w:tc>
      </w:tr>
      <w:tr>
        <w:tc>
          <w:tcPr>
            <w:tcW w:type="dxa" w:w="1296"/>
          </w:tcPr>
          <w:p>
            <w:r/>
            <w:r>
              <w:rPr>
                <w:sz w:val="16"/>
              </w:rPr>
              <w:t>MA</w:t>
            </w:r>
          </w:p>
        </w:tc>
        <w:tc>
          <w:tcPr>
            <w:tcW w:type="dxa" w:w="1296"/>
          </w:tcPr>
          <w:p>
            <w:r/>
            <w:r>
              <w:rPr>
                <w:sz w:val="16"/>
              </w:rPr>
              <w:t>2024</w:t>
            </w:r>
          </w:p>
        </w:tc>
        <w:tc>
          <w:tcPr>
            <w:tcW w:type="dxa" w:w="1296"/>
          </w:tcPr>
          <w:p>
            <w:r/>
            <w:r>
              <w:rPr>
                <w:sz w:val="16"/>
              </w:rPr>
              <w:t>53</w:t>
            </w:r>
          </w:p>
        </w:tc>
        <w:tc>
          <w:tcPr>
            <w:tcW w:type="dxa" w:w="1296"/>
          </w:tcPr>
          <w:p>
            <w:r/>
            <w:r>
              <w:rPr>
                <w:sz w:val="16"/>
              </w:rPr>
              <w:t>828156</w:t>
            </w:r>
          </w:p>
        </w:tc>
        <w:tc>
          <w:tcPr>
            <w:tcW w:type="dxa" w:w="1296"/>
          </w:tcPr>
          <w:p>
            <w:r/>
            <w:r>
              <w:rPr>
                <w:sz w:val="16"/>
              </w:rPr>
              <w:t>1594161</w:t>
            </w:r>
          </w:p>
        </w:tc>
        <w:tc>
          <w:tcPr>
            <w:tcW w:type="dxa" w:w="1296"/>
          </w:tcPr>
          <w:p>
            <w:r/>
            <w:r>
              <w:rPr>
                <w:sz w:val="16"/>
              </w:rPr>
              <w:t>6.4</w:t>
            </w:r>
          </w:p>
        </w:tc>
        <w:tc>
          <w:tcPr>
            <w:tcW w:type="dxa" w:w="1296"/>
          </w:tcPr>
          <w:p>
            <w:r/>
            <w:r>
              <w:rPr>
                <w:sz w:val="16"/>
              </w:rPr>
              <w:t>1.925</w:t>
            </w:r>
          </w:p>
        </w:tc>
      </w:tr>
      <w:tr>
        <w:tc>
          <w:tcPr>
            <w:tcW w:type="dxa" w:w="1296"/>
          </w:tcPr>
          <w:p>
            <w:r/>
            <w:r>
              <w:rPr>
                <w:sz w:val="16"/>
              </w:rPr>
              <w:t>TO</w:t>
            </w:r>
          </w:p>
        </w:tc>
        <w:tc>
          <w:tcPr>
            <w:tcW w:type="dxa" w:w="1296"/>
          </w:tcPr>
          <w:p>
            <w:r/>
            <w:r>
              <w:rPr>
                <w:sz w:val="16"/>
              </w:rPr>
              <w:t>2024</w:t>
            </w:r>
          </w:p>
        </w:tc>
        <w:tc>
          <w:tcPr>
            <w:tcW w:type="dxa" w:w="1296"/>
          </w:tcPr>
          <w:p>
            <w:r/>
            <w:r>
              <w:rPr>
                <w:sz w:val="16"/>
              </w:rPr>
              <w:t>12</w:t>
            </w:r>
          </w:p>
        </w:tc>
        <w:tc>
          <w:tcPr>
            <w:tcW w:type="dxa" w:w="1296"/>
          </w:tcPr>
          <w:p>
            <w:r/>
            <w:r>
              <w:rPr>
                <w:sz w:val="16"/>
              </w:rPr>
              <w:t>199179</w:t>
            </w:r>
          </w:p>
        </w:tc>
        <w:tc>
          <w:tcPr>
            <w:tcW w:type="dxa" w:w="1296"/>
          </w:tcPr>
          <w:p>
            <w:r/>
            <w:r>
              <w:rPr>
                <w:sz w:val="16"/>
              </w:rPr>
              <w:t>332623</w:t>
            </w:r>
          </w:p>
        </w:tc>
        <w:tc>
          <w:tcPr>
            <w:tcW w:type="dxa" w:w="1296"/>
          </w:tcPr>
          <w:p>
            <w:r/>
            <w:r>
              <w:rPr>
                <w:sz w:val="16"/>
              </w:rPr>
              <w:t>6.02</w:t>
            </w:r>
          </w:p>
        </w:tc>
        <w:tc>
          <w:tcPr>
            <w:tcW w:type="dxa" w:w="1296"/>
          </w:tcPr>
          <w:p>
            <w:r/>
            <w:r>
              <w:rPr>
                <w:sz w:val="16"/>
              </w:rPr>
              <w:t>1.67</w:t>
            </w:r>
          </w:p>
        </w:tc>
      </w:tr>
      <w:tr>
        <w:tc>
          <w:tcPr>
            <w:tcW w:type="dxa" w:w="1296"/>
          </w:tcPr>
          <w:p>
            <w:r/>
            <w:r>
              <w:rPr>
                <w:sz w:val="16"/>
              </w:rPr>
              <w:t>GO</w:t>
            </w:r>
          </w:p>
        </w:tc>
        <w:tc>
          <w:tcPr>
            <w:tcW w:type="dxa" w:w="1296"/>
          </w:tcPr>
          <w:p>
            <w:r/>
            <w:r>
              <w:rPr>
                <w:sz w:val="16"/>
              </w:rPr>
              <w:t>2024</w:t>
            </w:r>
          </w:p>
        </w:tc>
        <w:tc>
          <w:tcPr>
            <w:tcW w:type="dxa" w:w="1296"/>
          </w:tcPr>
          <w:p>
            <w:r/>
            <w:r>
              <w:rPr>
                <w:sz w:val="16"/>
              </w:rPr>
              <w:t>62</w:t>
            </w:r>
          </w:p>
        </w:tc>
        <w:tc>
          <w:tcPr>
            <w:tcW w:type="dxa" w:w="1296"/>
          </w:tcPr>
          <w:p>
            <w:r/>
            <w:r>
              <w:rPr>
                <w:sz w:val="16"/>
              </w:rPr>
              <w:t>1031555</w:t>
            </w:r>
          </w:p>
        </w:tc>
        <w:tc>
          <w:tcPr>
            <w:tcW w:type="dxa" w:w="1296"/>
          </w:tcPr>
          <w:p>
            <w:r/>
            <w:r>
              <w:rPr>
                <w:sz w:val="16"/>
              </w:rPr>
              <w:t>1651311</w:t>
            </w:r>
          </w:p>
        </w:tc>
        <w:tc>
          <w:tcPr>
            <w:tcW w:type="dxa" w:w="1296"/>
          </w:tcPr>
          <w:p>
            <w:r/>
            <w:r>
              <w:rPr>
                <w:sz w:val="16"/>
              </w:rPr>
              <w:t>6.01</w:t>
            </w:r>
          </w:p>
        </w:tc>
        <w:tc>
          <w:tcPr>
            <w:tcW w:type="dxa" w:w="1296"/>
          </w:tcPr>
          <w:p>
            <w:r/>
            <w:r>
              <w:rPr>
                <w:sz w:val="16"/>
              </w:rPr>
              <w:t>1.601</w:t>
            </w:r>
          </w:p>
        </w:tc>
      </w:tr>
      <w:tr>
        <w:tc>
          <w:tcPr>
            <w:tcW w:type="dxa" w:w="1296"/>
          </w:tcPr>
          <w:p>
            <w:r/>
            <w:r>
              <w:rPr>
                <w:sz w:val="16"/>
              </w:rPr>
              <w:t>AL</w:t>
            </w:r>
          </w:p>
        </w:tc>
        <w:tc>
          <w:tcPr>
            <w:tcW w:type="dxa" w:w="1296"/>
          </w:tcPr>
          <w:p>
            <w:r/>
            <w:r>
              <w:rPr>
                <w:sz w:val="16"/>
              </w:rPr>
              <w:t>2024</w:t>
            </w:r>
          </w:p>
        </w:tc>
        <w:tc>
          <w:tcPr>
            <w:tcW w:type="dxa" w:w="1296"/>
          </w:tcPr>
          <w:p>
            <w:r/>
            <w:r>
              <w:rPr>
                <w:sz w:val="16"/>
              </w:rPr>
              <w:t>26</w:t>
            </w:r>
          </w:p>
        </w:tc>
        <w:tc>
          <w:tcPr>
            <w:tcW w:type="dxa" w:w="1296"/>
          </w:tcPr>
          <w:p>
            <w:r/>
            <w:r>
              <w:rPr>
                <w:sz w:val="16"/>
              </w:rPr>
              <w:t>437892</w:t>
            </w:r>
          </w:p>
        </w:tc>
        <w:tc>
          <w:tcPr>
            <w:tcW w:type="dxa" w:w="1296"/>
          </w:tcPr>
          <w:p>
            <w:r/>
            <w:r>
              <w:rPr>
                <w:sz w:val="16"/>
              </w:rPr>
              <w:t>856259</w:t>
            </w:r>
          </w:p>
        </w:tc>
        <w:tc>
          <w:tcPr>
            <w:tcW w:type="dxa" w:w="1296"/>
          </w:tcPr>
          <w:p>
            <w:r/>
            <w:r>
              <w:rPr>
                <w:sz w:val="16"/>
              </w:rPr>
              <w:t>5.94</w:t>
            </w:r>
          </w:p>
        </w:tc>
        <w:tc>
          <w:tcPr>
            <w:tcW w:type="dxa" w:w="1296"/>
          </w:tcPr>
          <w:p>
            <w:r/>
            <w:r>
              <w:rPr>
                <w:sz w:val="16"/>
              </w:rPr>
              <w:t>1.955</w:t>
            </w:r>
          </w:p>
        </w:tc>
      </w:tr>
      <w:tr>
        <w:tc>
          <w:tcPr>
            <w:tcW w:type="dxa" w:w="1296"/>
          </w:tcPr>
          <w:p>
            <w:r/>
            <w:r>
              <w:rPr>
                <w:sz w:val="16"/>
              </w:rPr>
              <w:t>PA</w:t>
            </w:r>
          </w:p>
        </w:tc>
        <w:tc>
          <w:tcPr>
            <w:tcW w:type="dxa" w:w="1296"/>
          </w:tcPr>
          <w:p>
            <w:r/>
            <w:r>
              <w:rPr>
                <w:sz w:val="16"/>
              </w:rPr>
              <w:t>2024</w:t>
            </w:r>
          </w:p>
        </w:tc>
        <w:tc>
          <w:tcPr>
            <w:tcW w:type="dxa" w:w="1296"/>
          </w:tcPr>
          <w:p>
            <w:r/>
            <w:r>
              <w:rPr>
                <w:sz w:val="16"/>
              </w:rPr>
              <w:t>50</w:t>
            </w:r>
          </w:p>
        </w:tc>
        <w:tc>
          <w:tcPr>
            <w:tcW w:type="dxa" w:w="1296"/>
          </w:tcPr>
          <w:p>
            <w:r/>
            <w:r>
              <w:rPr>
                <w:sz w:val="16"/>
              </w:rPr>
              <w:t>923024</w:t>
            </w:r>
          </w:p>
        </w:tc>
        <w:tc>
          <w:tcPr>
            <w:tcW w:type="dxa" w:w="1296"/>
          </w:tcPr>
          <w:p>
            <w:r/>
            <w:r>
              <w:rPr>
                <w:sz w:val="16"/>
              </w:rPr>
              <w:t>2146129</w:t>
            </w:r>
          </w:p>
        </w:tc>
        <w:tc>
          <w:tcPr>
            <w:tcW w:type="dxa" w:w="1296"/>
          </w:tcPr>
          <w:p>
            <w:r/>
            <w:r>
              <w:rPr>
                <w:sz w:val="16"/>
              </w:rPr>
              <w:t>5.42</w:t>
            </w:r>
          </w:p>
        </w:tc>
        <w:tc>
          <w:tcPr>
            <w:tcW w:type="dxa" w:w="1296"/>
          </w:tcPr>
          <w:p>
            <w:r/>
            <w:r>
              <w:rPr>
                <w:sz w:val="16"/>
              </w:rPr>
              <w:t>2.325</w:t>
            </w:r>
          </w:p>
        </w:tc>
      </w:tr>
      <w:tr>
        <w:tc>
          <w:tcPr>
            <w:tcW w:type="dxa" w:w="1296"/>
          </w:tcPr>
          <w:p>
            <w:r/>
            <w:r>
              <w:rPr>
                <w:sz w:val="16"/>
              </w:rPr>
              <w:t>PB</w:t>
            </w:r>
          </w:p>
        </w:tc>
        <w:tc>
          <w:tcPr>
            <w:tcW w:type="dxa" w:w="1296"/>
          </w:tcPr>
          <w:p>
            <w:r/>
            <w:r>
              <w:rPr>
                <w:sz w:val="16"/>
              </w:rPr>
              <w:t>2024</w:t>
            </w:r>
          </w:p>
        </w:tc>
        <w:tc>
          <w:tcPr>
            <w:tcW w:type="dxa" w:w="1296"/>
          </w:tcPr>
          <w:p>
            <w:r/>
            <w:r>
              <w:rPr>
                <w:sz w:val="16"/>
              </w:rPr>
              <w:t>34</w:t>
            </w:r>
          </w:p>
        </w:tc>
        <w:tc>
          <w:tcPr>
            <w:tcW w:type="dxa" w:w="1296"/>
          </w:tcPr>
          <w:p>
            <w:r/>
            <w:r>
              <w:rPr>
                <w:sz w:val="16"/>
              </w:rPr>
              <w:t>630338</w:t>
            </w:r>
          </w:p>
        </w:tc>
        <w:tc>
          <w:tcPr>
            <w:tcW w:type="dxa" w:w="1296"/>
          </w:tcPr>
          <w:p>
            <w:r/>
            <w:r>
              <w:rPr>
                <w:sz w:val="16"/>
              </w:rPr>
              <w:t>1084650</w:t>
            </w:r>
          </w:p>
        </w:tc>
        <w:tc>
          <w:tcPr>
            <w:tcW w:type="dxa" w:w="1296"/>
          </w:tcPr>
          <w:p>
            <w:r/>
            <w:r>
              <w:rPr>
                <w:sz w:val="16"/>
              </w:rPr>
              <w:t>5.39</w:t>
            </w:r>
          </w:p>
        </w:tc>
        <w:tc>
          <w:tcPr>
            <w:tcW w:type="dxa" w:w="1296"/>
          </w:tcPr>
          <w:p>
            <w:r/>
            <w:r>
              <w:rPr>
                <w:sz w:val="16"/>
              </w:rPr>
              <w:t>1.721</w:t>
            </w:r>
          </w:p>
        </w:tc>
      </w:tr>
      <w:tr>
        <w:tc>
          <w:tcPr>
            <w:tcW w:type="dxa" w:w="1296"/>
          </w:tcPr>
          <w:p>
            <w:r/>
            <w:r>
              <w:rPr>
                <w:sz w:val="16"/>
              </w:rPr>
              <w:t>PI</w:t>
            </w:r>
          </w:p>
        </w:tc>
        <w:tc>
          <w:tcPr>
            <w:tcW w:type="dxa" w:w="1296"/>
          </w:tcPr>
          <w:p>
            <w:r/>
            <w:r>
              <w:rPr>
                <w:sz w:val="16"/>
              </w:rPr>
              <w:t>2024</w:t>
            </w:r>
          </w:p>
        </w:tc>
        <w:tc>
          <w:tcPr>
            <w:tcW w:type="dxa" w:w="1296"/>
          </w:tcPr>
          <w:p>
            <w:r/>
            <w:r>
              <w:rPr>
                <w:sz w:val="16"/>
              </w:rPr>
              <w:t>24</w:t>
            </w:r>
          </w:p>
        </w:tc>
        <w:tc>
          <w:tcPr>
            <w:tcW w:type="dxa" w:w="1296"/>
          </w:tcPr>
          <w:p>
            <w:r/>
            <w:r>
              <w:rPr>
                <w:sz w:val="16"/>
              </w:rPr>
              <w:t>470052</w:t>
            </w:r>
          </w:p>
        </w:tc>
        <w:tc>
          <w:tcPr>
            <w:tcW w:type="dxa" w:w="1296"/>
          </w:tcPr>
          <w:p>
            <w:r/>
            <w:r>
              <w:rPr>
                <w:sz w:val="16"/>
              </w:rPr>
              <w:t>878901</w:t>
            </w:r>
          </w:p>
        </w:tc>
        <w:tc>
          <w:tcPr>
            <w:tcW w:type="dxa" w:w="1296"/>
          </w:tcPr>
          <w:p>
            <w:r/>
            <w:r>
              <w:rPr>
                <w:sz w:val="16"/>
              </w:rPr>
              <w:t>5.11</w:t>
            </w:r>
          </w:p>
        </w:tc>
        <w:tc>
          <w:tcPr>
            <w:tcW w:type="dxa" w:w="1296"/>
          </w:tcPr>
          <w:p>
            <w:r/>
            <w:r>
              <w:rPr>
                <w:sz w:val="16"/>
              </w:rPr>
              <w:t>1.87</w:t>
            </w:r>
          </w:p>
        </w:tc>
      </w:tr>
      <w:tr>
        <w:tc>
          <w:tcPr>
            <w:tcW w:type="dxa" w:w="1296"/>
          </w:tcPr>
          <w:p>
            <w:r/>
            <w:r>
              <w:rPr>
                <w:sz w:val="16"/>
              </w:rPr>
              <w:t>SP</w:t>
            </w:r>
          </w:p>
        </w:tc>
        <w:tc>
          <w:tcPr>
            <w:tcW w:type="dxa" w:w="1296"/>
          </w:tcPr>
          <w:p>
            <w:r/>
            <w:r>
              <w:rPr>
                <w:sz w:val="16"/>
              </w:rPr>
              <w:t>2024</w:t>
            </w:r>
          </w:p>
        </w:tc>
        <w:tc>
          <w:tcPr>
            <w:tcW w:type="dxa" w:w="1296"/>
          </w:tcPr>
          <w:p>
            <w:r/>
            <w:r>
              <w:rPr>
                <w:sz w:val="16"/>
              </w:rPr>
              <w:t>425</w:t>
            </w:r>
          </w:p>
        </w:tc>
        <w:tc>
          <w:tcPr>
            <w:tcW w:type="dxa" w:w="1296"/>
          </w:tcPr>
          <w:p>
            <w:r/>
            <w:r>
              <w:rPr>
                <w:sz w:val="16"/>
              </w:rPr>
              <w:t>8419113</w:t>
            </w:r>
          </w:p>
        </w:tc>
        <w:tc>
          <w:tcPr>
            <w:tcW w:type="dxa" w:w="1296"/>
          </w:tcPr>
          <w:p>
            <w:r/>
            <w:r>
              <w:rPr>
                <w:sz w:val="16"/>
              </w:rPr>
              <w:t>11757953</w:t>
            </w:r>
          </w:p>
        </w:tc>
        <w:tc>
          <w:tcPr>
            <w:tcW w:type="dxa" w:w="1296"/>
          </w:tcPr>
          <w:p>
            <w:r/>
            <w:r>
              <w:rPr>
                <w:sz w:val="16"/>
              </w:rPr>
              <w:t>5.05</w:t>
            </w:r>
          </w:p>
        </w:tc>
        <w:tc>
          <w:tcPr>
            <w:tcW w:type="dxa" w:w="1296"/>
          </w:tcPr>
          <w:p>
            <w:r/>
            <w:r>
              <w:rPr>
                <w:sz w:val="16"/>
              </w:rPr>
              <w:t>1.397</w:t>
            </w:r>
          </w:p>
        </w:tc>
      </w:tr>
      <w:tr>
        <w:tc>
          <w:tcPr>
            <w:tcW w:type="dxa" w:w="1296"/>
          </w:tcPr>
          <w:p>
            <w:r/>
            <w:r>
              <w:rPr>
                <w:sz w:val="16"/>
              </w:rPr>
              <w:t>ES</w:t>
            </w:r>
          </w:p>
        </w:tc>
        <w:tc>
          <w:tcPr>
            <w:tcW w:type="dxa" w:w="1296"/>
          </w:tcPr>
          <w:p>
            <w:r/>
            <w:r>
              <w:rPr>
                <w:sz w:val="16"/>
              </w:rPr>
              <w:t>2024</w:t>
            </w:r>
          </w:p>
        </w:tc>
        <w:tc>
          <w:tcPr>
            <w:tcW w:type="dxa" w:w="1296"/>
          </w:tcPr>
          <w:p>
            <w:r/>
            <w:r>
              <w:rPr>
                <w:sz w:val="16"/>
              </w:rPr>
              <w:t>35</w:t>
            </w:r>
          </w:p>
        </w:tc>
        <w:tc>
          <w:tcPr>
            <w:tcW w:type="dxa" w:w="1296"/>
          </w:tcPr>
          <w:p>
            <w:r/>
            <w:r>
              <w:rPr>
                <w:sz w:val="16"/>
              </w:rPr>
              <w:t>699859</w:t>
            </w:r>
          </w:p>
        </w:tc>
        <w:tc>
          <w:tcPr>
            <w:tcW w:type="dxa" w:w="1296"/>
          </w:tcPr>
          <w:p>
            <w:r/>
            <w:r>
              <w:rPr>
                <w:sz w:val="16"/>
              </w:rPr>
              <w:t>1279837</w:t>
            </w:r>
          </w:p>
        </w:tc>
        <w:tc>
          <w:tcPr>
            <w:tcW w:type="dxa" w:w="1296"/>
          </w:tcPr>
          <w:p>
            <w:r/>
            <w:r>
              <w:rPr>
                <w:sz w:val="16"/>
              </w:rPr>
              <w:t>5.0</w:t>
            </w:r>
          </w:p>
        </w:tc>
        <w:tc>
          <w:tcPr>
            <w:tcW w:type="dxa" w:w="1296"/>
          </w:tcPr>
          <w:p>
            <w:r/>
            <w:r>
              <w:rPr>
                <w:sz w:val="16"/>
              </w:rPr>
              <w:t>1.829</w:t>
            </w:r>
          </w:p>
        </w:tc>
      </w:tr>
      <w:tr>
        <w:tc>
          <w:tcPr>
            <w:tcW w:type="dxa" w:w="1296"/>
          </w:tcPr>
          <w:p>
            <w:r/>
            <w:r>
              <w:rPr>
                <w:sz w:val="16"/>
              </w:rPr>
              <w:t>AC</w:t>
            </w:r>
          </w:p>
        </w:tc>
        <w:tc>
          <w:tcPr>
            <w:tcW w:type="dxa" w:w="1296"/>
          </w:tcPr>
          <w:p>
            <w:r/>
            <w:r>
              <w:rPr>
                <w:sz w:val="16"/>
              </w:rPr>
              <w:t>2024</w:t>
            </w:r>
          </w:p>
        </w:tc>
        <w:tc>
          <w:tcPr>
            <w:tcW w:type="dxa" w:w="1296"/>
          </w:tcPr>
          <w:p>
            <w:r/>
            <w:r>
              <w:rPr>
                <w:sz w:val="16"/>
              </w:rPr>
              <w:t>4</w:t>
            </w:r>
          </w:p>
        </w:tc>
        <w:tc>
          <w:tcPr>
            <w:tcW w:type="dxa" w:w="1296"/>
          </w:tcPr>
          <w:p>
            <w:r/>
            <w:r>
              <w:rPr>
                <w:sz w:val="16"/>
              </w:rPr>
              <w:t>83767</w:t>
            </w:r>
          </w:p>
        </w:tc>
        <w:tc>
          <w:tcPr>
            <w:tcW w:type="dxa" w:w="1296"/>
          </w:tcPr>
          <w:p>
            <w:r/>
            <w:r>
              <w:rPr>
                <w:sz w:val="16"/>
              </w:rPr>
              <w:t>212263</w:t>
            </w:r>
          </w:p>
        </w:tc>
        <w:tc>
          <w:tcPr>
            <w:tcW w:type="dxa" w:w="1296"/>
          </w:tcPr>
          <w:p>
            <w:r/>
            <w:r>
              <w:rPr>
                <w:sz w:val="16"/>
              </w:rPr>
              <w:t>4.78</w:t>
            </w:r>
          </w:p>
        </w:tc>
        <w:tc>
          <w:tcPr>
            <w:tcW w:type="dxa" w:w="1296"/>
          </w:tcPr>
          <w:p>
            <w:r/>
            <w:r>
              <w:rPr>
                <w:sz w:val="16"/>
              </w:rPr>
              <w:t>2.534</w:t>
            </w:r>
          </w:p>
        </w:tc>
      </w:tr>
      <w:tr>
        <w:tc>
          <w:tcPr>
            <w:tcW w:type="dxa" w:w="1296"/>
          </w:tcPr>
          <w:p>
            <w:r/>
            <w:r>
              <w:rPr>
                <w:sz w:val="16"/>
              </w:rPr>
              <w:t>CE</w:t>
            </w:r>
          </w:p>
        </w:tc>
        <w:tc>
          <w:tcPr>
            <w:tcW w:type="dxa" w:w="1296"/>
          </w:tcPr>
          <w:p>
            <w:r/>
            <w:r>
              <w:rPr>
                <w:sz w:val="16"/>
              </w:rPr>
              <w:t>2024</w:t>
            </w:r>
          </w:p>
        </w:tc>
        <w:tc>
          <w:tcPr>
            <w:tcW w:type="dxa" w:w="1296"/>
          </w:tcPr>
          <w:p>
            <w:r/>
            <w:r>
              <w:rPr>
                <w:sz w:val="16"/>
              </w:rPr>
              <w:t>64</w:t>
            </w:r>
          </w:p>
        </w:tc>
        <w:tc>
          <w:tcPr>
            <w:tcW w:type="dxa" w:w="1296"/>
          </w:tcPr>
          <w:p>
            <w:r/>
            <w:r>
              <w:rPr>
                <w:sz w:val="16"/>
              </w:rPr>
              <w:t>1351285</w:t>
            </w:r>
          </w:p>
        </w:tc>
        <w:tc>
          <w:tcPr>
            <w:tcW w:type="dxa" w:w="1296"/>
          </w:tcPr>
          <w:p>
            <w:r/>
            <w:r>
              <w:rPr>
                <w:sz w:val="16"/>
              </w:rPr>
              <w:t>2552384</w:t>
            </w:r>
          </w:p>
        </w:tc>
        <w:tc>
          <w:tcPr>
            <w:tcW w:type="dxa" w:w="1296"/>
          </w:tcPr>
          <w:p>
            <w:r/>
            <w:r>
              <w:rPr>
                <w:sz w:val="16"/>
              </w:rPr>
              <w:t>4.74</w:t>
            </w:r>
          </w:p>
        </w:tc>
        <w:tc>
          <w:tcPr>
            <w:tcW w:type="dxa" w:w="1296"/>
          </w:tcPr>
          <w:p>
            <w:r/>
            <w:r>
              <w:rPr>
                <w:sz w:val="16"/>
              </w:rPr>
              <w:t>1.889</w:t>
            </w:r>
          </w:p>
        </w:tc>
      </w:tr>
      <w:tr>
        <w:tc>
          <w:tcPr>
            <w:tcW w:type="dxa" w:w="1296"/>
          </w:tcPr>
          <w:p>
            <w:r/>
            <w:r>
              <w:rPr>
                <w:sz w:val="16"/>
              </w:rPr>
              <w:t>RO</w:t>
            </w:r>
          </w:p>
        </w:tc>
        <w:tc>
          <w:tcPr>
            <w:tcW w:type="dxa" w:w="1296"/>
          </w:tcPr>
          <w:p>
            <w:r/>
            <w:r>
              <w:rPr>
                <w:sz w:val="16"/>
              </w:rPr>
              <w:t>2024</w:t>
            </w:r>
          </w:p>
        </w:tc>
        <w:tc>
          <w:tcPr>
            <w:tcW w:type="dxa" w:w="1296"/>
          </w:tcPr>
          <w:p>
            <w:r/>
            <w:r>
              <w:rPr>
                <w:sz w:val="16"/>
              </w:rPr>
              <w:t>10</w:t>
            </w:r>
          </w:p>
        </w:tc>
        <w:tc>
          <w:tcPr>
            <w:tcW w:type="dxa" w:w="1296"/>
          </w:tcPr>
          <w:p>
            <w:r/>
            <w:r>
              <w:rPr>
                <w:sz w:val="16"/>
              </w:rPr>
              <w:t>214904</w:t>
            </w:r>
          </w:p>
        </w:tc>
        <w:tc>
          <w:tcPr>
            <w:tcW w:type="dxa" w:w="1296"/>
          </w:tcPr>
          <w:p>
            <w:r/>
            <w:r>
              <w:rPr>
                <w:sz w:val="16"/>
              </w:rPr>
              <w:t>381143</w:t>
            </w:r>
          </w:p>
        </w:tc>
        <w:tc>
          <w:tcPr>
            <w:tcW w:type="dxa" w:w="1296"/>
          </w:tcPr>
          <w:p>
            <w:r/>
            <w:r>
              <w:rPr>
                <w:sz w:val="16"/>
              </w:rPr>
              <w:t>4.65</w:t>
            </w:r>
          </w:p>
        </w:tc>
        <w:tc>
          <w:tcPr>
            <w:tcW w:type="dxa" w:w="1296"/>
          </w:tcPr>
          <w:p>
            <w:r/>
            <w:r>
              <w:rPr>
                <w:sz w:val="16"/>
              </w:rPr>
              <w:t>1.774</w:t>
            </w:r>
          </w:p>
        </w:tc>
      </w:tr>
      <w:tr>
        <w:tc>
          <w:tcPr>
            <w:tcW w:type="dxa" w:w="1296"/>
          </w:tcPr>
          <w:p>
            <w:r/>
            <w:r>
              <w:rPr>
                <w:sz w:val="16"/>
              </w:rPr>
              <w:t>RN</w:t>
            </w:r>
          </w:p>
        </w:tc>
        <w:tc>
          <w:tcPr>
            <w:tcW w:type="dxa" w:w="1296"/>
          </w:tcPr>
          <w:p>
            <w:r/>
            <w:r>
              <w:rPr>
                <w:sz w:val="16"/>
              </w:rPr>
              <w:t>2024</w:t>
            </w:r>
          </w:p>
        </w:tc>
        <w:tc>
          <w:tcPr>
            <w:tcW w:type="dxa" w:w="1296"/>
          </w:tcPr>
          <w:p>
            <w:r/>
            <w:r>
              <w:rPr>
                <w:sz w:val="16"/>
              </w:rPr>
              <w:t>20</w:t>
            </w:r>
          </w:p>
        </w:tc>
        <w:tc>
          <w:tcPr>
            <w:tcW w:type="dxa" w:w="1296"/>
          </w:tcPr>
          <w:p>
            <w:r/>
            <w:r>
              <w:rPr>
                <w:sz w:val="16"/>
              </w:rPr>
              <w:t>539796</w:t>
            </w:r>
          </w:p>
        </w:tc>
        <w:tc>
          <w:tcPr>
            <w:tcW w:type="dxa" w:w="1296"/>
          </w:tcPr>
          <w:p>
            <w:r/>
            <w:r>
              <w:rPr>
                <w:sz w:val="16"/>
              </w:rPr>
              <w:t>961265</w:t>
            </w:r>
          </w:p>
        </w:tc>
        <w:tc>
          <w:tcPr>
            <w:tcW w:type="dxa" w:w="1296"/>
          </w:tcPr>
          <w:p>
            <w:r/>
            <w:r>
              <w:rPr>
                <w:sz w:val="16"/>
              </w:rPr>
              <w:t>3.71</w:t>
            </w:r>
          </w:p>
        </w:tc>
        <w:tc>
          <w:tcPr>
            <w:tcW w:type="dxa" w:w="1296"/>
          </w:tcPr>
          <w:p>
            <w:r/>
            <w:r>
              <w:rPr>
                <w:sz w:val="16"/>
              </w:rPr>
              <w:t>1.781</w:t>
            </w:r>
          </w:p>
        </w:tc>
      </w:tr>
      <w:tr>
        <w:tc>
          <w:tcPr>
            <w:tcW w:type="dxa" w:w="1296"/>
          </w:tcPr>
          <w:p>
            <w:r/>
            <w:r>
              <w:rPr>
                <w:sz w:val="16"/>
              </w:rPr>
              <w:t>DF</w:t>
            </w:r>
          </w:p>
        </w:tc>
        <w:tc>
          <w:tcPr>
            <w:tcW w:type="dxa" w:w="1296"/>
          </w:tcPr>
          <w:p>
            <w:r/>
            <w:r>
              <w:rPr>
                <w:sz w:val="16"/>
              </w:rPr>
              <w:t>2024</w:t>
            </w:r>
          </w:p>
        </w:tc>
        <w:tc>
          <w:tcPr>
            <w:tcW w:type="dxa" w:w="1296"/>
          </w:tcPr>
          <w:p>
            <w:r/>
            <w:r>
              <w:rPr>
                <w:sz w:val="16"/>
              </w:rPr>
              <w:t>13</w:t>
            </w:r>
          </w:p>
        </w:tc>
        <w:tc>
          <w:tcPr>
            <w:tcW w:type="dxa" w:w="1296"/>
          </w:tcPr>
          <w:p>
            <w:r/>
            <w:r>
              <w:rPr>
                <w:sz w:val="16"/>
              </w:rPr>
              <w:t>426238</w:t>
            </w:r>
          </w:p>
        </w:tc>
        <w:tc>
          <w:tcPr>
            <w:tcW w:type="dxa" w:w="1296"/>
          </w:tcPr>
          <w:p>
            <w:r/>
            <w:r>
              <w:rPr>
                <w:sz w:val="16"/>
              </w:rPr>
              <w:t>820725</w:t>
            </w:r>
          </w:p>
        </w:tc>
        <w:tc>
          <w:tcPr>
            <w:tcW w:type="dxa" w:w="1296"/>
          </w:tcPr>
          <w:p>
            <w:r/>
            <w:r>
              <w:rPr>
                <w:sz w:val="16"/>
              </w:rPr>
              <w:t>3.05</w:t>
            </w:r>
          </w:p>
        </w:tc>
        <w:tc>
          <w:tcPr>
            <w:tcW w:type="dxa" w:w="1296"/>
          </w:tcPr>
          <w:p>
            <w:r/>
            <w:r>
              <w:rPr>
                <w:sz w:val="16"/>
              </w:rPr>
              <w:t>1.926</w:t>
            </w:r>
          </w:p>
        </w:tc>
      </w:tr>
      <w:tr>
        <w:tc>
          <w:tcPr>
            <w:tcW w:type="dxa" w:w="1296"/>
          </w:tcPr>
          <w:p>
            <w:r/>
            <w:r>
              <w:rPr>
                <w:sz w:val="16"/>
              </w:rPr>
              <w:t>BA</w:t>
            </w:r>
          </w:p>
        </w:tc>
        <w:tc>
          <w:tcPr>
            <w:tcW w:type="dxa" w:w="1296"/>
          </w:tcPr>
          <w:p>
            <w:r/>
            <w:r>
              <w:rPr>
                <w:sz w:val="16"/>
              </w:rPr>
              <w:t>2024</w:t>
            </w:r>
          </w:p>
        </w:tc>
        <w:tc>
          <w:tcPr>
            <w:tcW w:type="dxa" w:w="1296"/>
          </w:tcPr>
          <w:p>
            <w:r/>
            <w:r>
              <w:rPr>
                <w:sz w:val="16"/>
              </w:rPr>
              <w:t>67</w:t>
            </w:r>
          </w:p>
        </w:tc>
        <w:tc>
          <w:tcPr>
            <w:tcW w:type="dxa" w:w="1296"/>
          </w:tcPr>
          <w:p>
            <w:r/>
            <w:r>
              <w:rPr>
                <w:sz w:val="16"/>
              </w:rPr>
              <w:t>2248921</w:t>
            </w:r>
          </w:p>
        </w:tc>
        <w:tc>
          <w:tcPr>
            <w:tcW w:type="dxa" w:w="1296"/>
          </w:tcPr>
          <w:p>
            <w:r/>
            <w:r>
              <w:rPr>
                <w:sz w:val="16"/>
              </w:rPr>
              <w:t>3258528</w:t>
            </w:r>
          </w:p>
        </w:tc>
        <w:tc>
          <w:tcPr>
            <w:tcW w:type="dxa" w:w="1296"/>
          </w:tcPr>
          <w:p>
            <w:r/>
            <w:r>
              <w:rPr>
                <w:sz w:val="16"/>
              </w:rPr>
              <w:t>2.98</w:t>
            </w:r>
          </w:p>
        </w:tc>
        <w:tc>
          <w:tcPr>
            <w:tcW w:type="dxa" w:w="1296"/>
          </w:tcPr>
          <w:p>
            <w:r/>
            <w:r>
              <w:rPr>
                <w:sz w:val="16"/>
              </w:rPr>
              <w:t>1.449</w:t>
            </w:r>
          </w:p>
        </w:tc>
      </w:tr>
      <w:tr>
        <w:tc>
          <w:tcPr>
            <w:tcW w:type="dxa" w:w="1296"/>
          </w:tcPr>
          <w:p>
            <w:r/>
            <w:r>
              <w:rPr>
                <w:sz w:val="16"/>
              </w:rPr>
              <w:t>MG</w:t>
            </w:r>
          </w:p>
        </w:tc>
        <w:tc>
          <w:tcPr>
            <w:tcW w:type="dxa" w:w="1296"/>
          </w:tcPr>
          <w:p>
            <w:r/>
            <w:r>
              <w:rPr>
                <w:sz w:val="16"/>
              </w:rPr>
              <w:t>2024</w:t>
            </w:r>
          </w:p>
        </w:tc>
        <w:tc>
          <w:tcPr>
            <w:tcW w:type="dxa" w:w="1296"/>
          </w:tcPr>
          <w:p>
            <w:r/>
            <w:r>
              <w:rPr>
                <w:sz w:val="16"/>
              </w:rPr>
              <w:t>103</w:t>
            </w:r>
          </w:p>
        </w:tc>
        <w:tc>
          <w:tcPr>
            <w:tcW w:type="dxa" w:w="1296"/>
          </w:tcPr>
          <w:p>
            <w:r/>
            <w:r>
              <w:rPr>
                <w:sz w:val="16"/>
              </w:rPr>
              <w:t>3967762</w:t>
            </w:r>
          </w:p>
        </w:tc>
        <w:tc>
          <w:tcPr>
            <w:tcW w:type="dxa" w:w="1296"/>
          </w:tcPr>
          <w:p>
            <w:r/>
            <w:r>
              <w:rPr>
                <w:sz w:val="16"/>
              </w:rPr>
              <w:t>6294465</w:t>
            </w:r>
          </w:p>
        </w:tc>
        <w:tc>
          <w:tcPr>
            <w:tcW w:type="dxa" w:w="1296"/>
          </w:tcPr>
          <w:p>
            <w:r/>
            <w:r>
              <w:rPr>
                <w:sz w:val="16"/>
              </w:rPr>
              <w:t>2.6</w:t>
            </w:r>
          </w:p>
        </w:tc>
        <w:tc>
          <w:tcPr>
            <w:tcW w:type="dxa" w:w="1296"/>
          </w:tcPr>
          <w:p>
            <w:r/>
            <w:r>
              <w:rPr>
                <w:sz w:val="16"/>
              </w:rPr>
              <w:t>1.586</w:t>
            </w:r>
          </w:p>
        </w:tc>
      </w:tr>
      <w:tr>
        <w:tc>
          <w:tcPr>
            <w:tcW w:type="dxa" w:w="1296"/>
          </w:tcPr>
          <w:p>
            <w:r/>
            <w:r>
              <w:rPr>
                <w:sz w:val="16"/>
              </w:rPr>
              <w:t>RJ</w:t>
            </w:r>
          </w:p>
        </w:tc>
        <w:tc>
          <w:tcPr>
            <w:tcW w:type="dxa" w:w="1296"/>
          </w:tcPr>
          <w:p>
            <w:r/>
            <w:r>
              <w:rPr>
                <w:sz w:val="16"/>
              </w:rPr>
              <w:t>2024</w:t>
            </w:r>
          </w:p>
        </w:tc>
        <w:tc>
          <w:tcPr>
            <w:tcW w:type="dxa" w:w="1296"/>
          </w:tcPr>
          <w:p>
            <w:r/>
            <w:r>
              <w:rPr>
                <w:sz w:val="16"/>
              </w:rPr>
              <w:t>88</w:t>
            </w:r>
          </w:p>
        </w:tc>
        <w:tc>
          <w:tcPr>
            <w:tcW w:type="dxa" w:w="1296"/>
          </w:tcPr>
          <w:p>
            <w:r/>
            <w:r>
              <w:rPr>
                <w:sz w:val="16"/>
              </w:rPr>
              <w:t>3396135</w:t>
            </w:r>
          </w:p>
        </w:tc>
        <w:tc>
          <w:tcPr>
            <w:tcW w:type="dxa" w:w="1296"/>
          </w:tcPr>
          <w:p>
            <w:r/>
            <w:r>
              <w:rPr>
                <w:sz w:val="16"/>
              </w:rPr>
              <w:t>3888597</w:t>
            </w:r>
          </w:p>
        </w:tc>
        <w:tc>
          <w:tcPr>
            <w:tcW w:type="dxa" w:w="1296"/>
          </w:tcPr>
          <w:p>
            <w:r/>
            <w:r>
              <w:rPr>
                <w:sz w:val="16"/>
              </w:rPr>
              <w:t>2.59</w:t>
            </w:r>
          </w:p>
        </w:tc>
        <w:tc>
          <w:tcPr>
            <w:tcW w:type="dxa" w:w="1296"/>
          </w:tcPr>
          <w:p>
            <w:r/>
            <w:r>
              <w:rPr>
                <w:sz w:val="16"/>
              </w:rPr>
              <w:t>1.145</w:t>
            </w:r>
          </w:p>
        </w:tc>
      </w:tr>
      <w:tr>
        <w:tc>
          <w:tcPr>
            <w:tcW w:type="dxa" w:w="1296"/>
          </w:tcPr>
          <w:p>
            <w:r/>
            <w:r>
              <w:rPr>
                <w:sz w:val="16"/>
              </w:rPr>
              <w:t>MT</w:t>
            </w:r>
          </w:p>
        </w:tc>
        <w:tc>
          <w:tcPr>
            <w:tcW w:type="dxa" w:w="1296"/>
          </w:tcPr>
          <w:p>
            <w:r/>
            <w:r>
              <w:rPr>
                <w:sz w:val="16"/>
              </w:rPr>
              <w:t>2024</w:t>
            </w:r>
          </w:p>
        </w:tc>
        <w:tc>
          <w:tcPr>
            <w:tcW w:type="dxa" w:w="1296"/>
          </w:tcPr>
          <w:p>
            <w:r/>
            <w:r>
              <w:rPr>
                <w:sz w:val="16"/>
              </w:rPr>
              <w:t>12</w:t>
            </w:r>
          </w:p>
        </w:tc>
        <w:tc>
          <w:tcPr>
            <w:tcW w:type="dxa" w:w="1296"/>
          </w:tcPr>
          <w:p>
            <w:r/>
            <w:r>
              <w:rPr>
                <w:sz w:val="16"/>
              </w:rPr>
              <w:t>475784</w:t>
            </w:r>
          </w:p>
        </w:tc>
        <w:tc>
          <w:tcPr>
            <w:tcW w:type="dxa" w:w="1296"/>
          </w:tcPr>
          <w:p>
            <w:r/>
            <w:r>
              <w:rPr>
                <w:sz w:val="16"/>
              </w:rPr>
              <w:t>920727</w:t>
            </w:r>
          </w:p>
        </w:tc>
        <w:tc>
          <w:tcPr>
            <w:tcW w:type="dxa" w:w="1296"/>
          </w:tcPr>
          <w:p>
            <w:r/>
            <w:r>
              <w:rPr>
                <w:sz w:val="16"/>
              </w:rPr>
              <w:t>2.52</w:t>
            </w:r>
          </w:p>
        </w:tc>
        <w:tc>
          <w:tcPr>
            <w:tcW w:type="dxa" w:w="1296"/>
          </w:tcPr>
          <w:p>
            <w:r/>
            <w:r>
              <w:rPr>
                <w:sz w:val="16"/>
              </w:rPr>
              <w:t>1.935</w:t>
            </w:r>
          </w:p>
        </w:tc>
      </w:tr>
      <w:tr>
        <w:tc>
          <w:tcPr>
            <w:tcW w:type="dxa" w:w="1296"/>
          </w:tcPr>
          <w:p>
            <w:r/>
            <w:r>
              <w:rPr>
                <w:sz w:val="16"/>
              </w:rPr>
              <w:t>PE</w:t>
            </w:r>
          </w:p>
        </w:tc>
        <w:tc>
          <w:tcPr>
            <w:tcW w:type="dxa" w:w="1296"/>
          </w:tcPr>
          <w:p>
            <w:r/>
            <w:r>
              <w:rPr>
                <w:sz w:val="16"/>
              </w:rPr>
              <w:t>2024</w:t>
            </w:r>
          </w:p>
        </w:tc>
        <w:tc>
          <w:tcPr>
            <w:tcW w:type="dxa" w:w="1296"/>
          </w:tcPr>
          <w:p>
            <w:r/>
            <w:r>
              <w:rPr>
                <w:sz w:val="16"/>
              </w:rPr>
              <w:t>31</w:t>
            </w:r>
          </w:p>
        </w:tc>
        <w:tc>
          <w:tcPr>
            <w:tcW w:type="dxa" w:w="1296"/>
          </w:tcPr>
          <w:p>
            <w:r/>
            <w:r>
              <w:rPr>
                <w:sz w:val="16"/>
              </w:rPr>
              <w:t>1431590</w:t>
            </w:r>
          </w:p>
        </w:tc>
        <w:tc>
          <w:tcPr>
            <w:tcW w:type="dxa" w:w="1296"/>
          </w:tcPr>
          <w:p>
            <w:r/>
            <w:r>
              <w:rPr>
                <w:sz w:val="16"/>
              </w:rPr>
              <w:t>2215288</w:t>
            </w:r>
          </w:p>
        </w:tc>
        <w:tc>
          <w:tcPr>
            <w:tcW w:type="dxa" w:w="1296"/>
          </w:tcPr>
          <w:p>
            <w:r/>
            <w:r>
              <w:rPr>
                <w:sz w:val="16"/>
              </w:rPr>
              <w:t>2.17</w:t>
            </w:r>
          </w:p>
        </w:tc>
        <w:tc>
          <w:tcPr>
            <w:tcW w:type="dxa" w:w="1296"/>
          </w:tcPr>
          <w:p>
            <w:r/>
            <w:r>
              <w:rPr>
                <w:sz w:val="16"/>
              </w:rPr>
              <w:t>1.547</w:t>
            </w:r>
          </w:p>
        </w:tc>
      </w:tr>
      <w:tr>
        <w:tc>
          <w:tcPr>
            <w:tcW w:type="dxa" w:w="1296"/>
          </w:tcPr>
          <w:p>
            <w:r/>
            <w:r>
              <w:rPr>
                <w:sz w:val="16"/>
              </w:rPr>
              <w:t>RR</w:t>
            </w:r>
          </w:p>
        </w:tc>
        <w:tc>
          <w:tcPr>
            <w:tcW w:type="dxa" w:w="1296"/>
          </w:tcPr>
          <w:p>
            <w:r/>
            <w:r>
              <w:rPr>
                <w:sz w:val="16"/>
              </w:rPr>
              <w:t>2024</w:t>
            </w:r>
          </w:p>
        </w:tc>
        <w:tc>
          <w:tcPr>
            <w:tcW w:type="dxa" w:w="1296"/>
          </w:tcPr>
          <w:p>
            <w:r/>
            <w:r>
              <w:rPr>
                <w:sz w:val="16"/>
              </w:rPr>
              <w:t>1</w:t>
            </w:r>
          </w:p>
        </w:tc>
        <w:tc>
          <w:tcPr>
            <w:tcW w:type="dxa" w:w="1296"/>
          </w:tcPr>
          <w:p>
            <w:r/>
            <w:r>
              <w:rPr>
                <w:sz w:val="16"/>
              </w:rPr>
              <w:t>55343</w:t>
            </w:r>
          </w:p>
        </w:tc>
        <w:tc>
          <w:tcPr>
            <w:tcW w:type="dxa" w:w="1296"/>
          </w:tcPr>
          <w:p>
            <w:r/>
            <w:r>
              <w:rPr>
                <w:sz w:val="16"/>
              </w:rPr>
              <w:t>157012</w:t>
            </w:r>
          </w:p>
        </w:tc>
        <w:tc>
          <w:tcPr>
            <w:tcW w:type="dxa" w:w="1296"/>
          </w:tcPr>
          <w:p>
            <w:r/>
            <w:r>
              <w:rPr>
                <w:sz w:val="16"/>
              </w:rPr>
              <w:t>1.81</w:t>
            </w:r>
          </w:p>
        </w:tc>
        <w:tc>
          <w:tcPr>
            <w:tcW w:type="dxa" w:w="1296"/>
          </w:tcPr>
          <w:p>
            <w:r/>
            <w:r>
              <w:rPr>
                <w:sz w:val="16"/>
              </w:rPr>
              <w:t>2.837</w:t>
            </w:r>
          </w:p>
        </w:tc>
      </w:tr>
      <w:tr>
        <w:tc>
          <w:tcPr>
            <w:tcW w:type="dxa" w:w="1296"/>
          </w:tcPr>
          <w:p>
            <w:r/>
            <w:r>
              <w:rPr>
                <w:sz w:val="16"/>
              </w:rPr>
              <w:t>AP</w:t>
            </w:r>
          </w:p>
        </w:tc>
        <w:tc>
          <w:tcPr>
            <w:tcW w:type="dxa" w:w="1296"/>
          </w:tcPr>
          <w:p>
            <w:r/>
            <w:r>
              <w:rPr>
                <w:sz w:val="16"/>
              </w:rPr>
              <w:t>2024</w:t>
            </w:r>
          </w:p>
        </w:tc>
        <w:tc>
          <w:tcPr>
            <w:tcW w:type="dxa" w:w="1296"/>
          </w:tcPr>
          <w:p>
            <w:r/>
            <w:r>
              <w:rPr>
                <w:sz w:val="16"/>
              </w:rPr>
              <w:t>1</w:t>
            </w:r>
          </w:p>
        </w:tc>
        <w:tc>
          <w:tcPr>
            <w:tcW w:type="dxa" w:w="1296"/>
          </w:tcPr>
          <w:p>
            <w:r/>
            <w:r>
              <w:rPr>
                <w:sz w:val="16"/>
              </w:rPr>
              <w:t>74228</w:t>
            </w:r>
          </w:p>
        </w:tc>
        <w:tc>
          <w:tcPr>
            <w:tcW w:type="dxa" w:w="1296"/>
          </w:tcPr>
          <w:p>
            <w:r/>
            <w:r>
              <w:rPr>
                <w:sz w:val="16"/>
              </w:rPr>
              <w:t>204753</w:t>
            </w:r>
          </w:p>
        </w:tc>
        <w:tc>
          <w:tcPr>
            <w:tcW w:type="dxa" w:w="1296"/>
          </w:tcPr>
          <w:p>
            <w:r/>
            <w:r>
              <w:rPr>
                <w:sz w:val="16"/>
              </w:rPr>
              <w:t>1.35</w:t>
            </w:r>
          </w:p>
        </w:tc>
        <w:tc>
          <w:tcPr>
            <w:tcW w:type="dxa" w:w="1296"/>
          </w:tcPr>
          <w:p>
            <w:r/>
            <w:r>
              <w:rPr>
                <w:sz w:val="16"/>
              </w:rPr>
              <w:t>2.758</w:t>
            </w:r>
          </w:p>
        </w:tc>
      </w:tr>
    </w:tbl>
    <w:p>
      <w:pPr>
        <w:spacing w:before="240" w:after="80"/>
      </w:pPr>
      <w:r>
        <w:rPr>
          <w:b/>
          <w:sz w:val="20"/>
        </w:rPr>
        <w:t>Tabela S15. Correlação entre doses de influenza por habitante de 60 anos ou mais e óbitos por influenza nessa faixa, por unidade da federação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Ano</w:t>
            </w:r>
          </w:p>
        </w:tc>
        <w:tc>
          <w:tcPr>
            <w:tcW w:type="dxa" w:w="1512"/>
          </w:tcPr>
          <w:p>
            <w:r/>
            <w:r>
              <w:rPr>
                <w:b/>
                <w:sz w:val="16"/>
              </w:rPr>
              <w:t>Unidades da federação no cruzamento</w:t>
            </w:r>
          </w:p>
        </w:tc>
        <w:tc>
          <w:tcPr>
            <w:tcW w:type="dxa" w:w="1512"/>
          </w:tcPr>
          <w:p>
            <w:r/>
            <w:r>
              <w:rPr>
                <w:b/>
                <w:sz w:val="16"/>
              </w:rPr>
              <w:t>Doses de influenza no país (INF3)</w:t>
            </w:r>
          </w:p>
        </w:tc>
        <w:tc>
          <w:tcPr>
            <w:tcW w:type="dxa" w:w="1512"/>
          </w:tcPr>
          <w:p>
            <w:r/>
            <w:r>
              <w:rPr>
                <w:b/>
                <w:sz w:val="16"/>
              </w:rPr>
              <w:t>Óbitos por influenza em 60 anos ou mais</w:t>
            </w:r>
          </w:p>
        </w:tc>
        <w:tc>
          <w:tcPr>
            <w:tcW w:type="dxa" w:w="1512"/>
          </w:tcPr>
          <w:p>
            <w:r/>
            <w:r>
              <w:rPr>
                <w:b/>
                <w:sz w:val="16"/>
              </w:rPr>
              <w:t>Correlação de Spearman</w:t>
            </w:r>
          </w:p>
        </w:tc>
        <w:tc>
          <w:tcPr>
            <w:tcW w:type="dxa" w:w="1512"/>
          </w:tcPr>
          <w:p>
            <w:r/>
            <w:r>
              <w:rPr>
                <w:b/>
                <w:sz w:val="16"/>
              </w:rPr>
              <w:t>Valor de p</w:t>
            </w:r>
          </w:p>
        </w:tc>
      </w:tr>
      <w:tr>
        <w:tc>
          <w:tcPr>
            <w:tcW w:type="dxa" w:w="1512"/>
          </w:tcPr>
          <w:p>
            <w:r/>
            <w:r>
              <w:rPr>
                <w:sz w:val="16"/>
              </w:rPr>
              <w:t>2023.0</w:t>
            </w:r>
          </w:p>
        </w:tc>
        <w:tc>
          <w:tcPr>
            <w:tcW w:type="dxa" w:w="1512"/>
          </w:tcPr>
          <w:p>
            <w:r/>
            <w:r>
              <w:rPr>
                <w:sz w:val="16"/>
              </w:rPr>
              <w:t>26.0</w:t>
            </w:r>
          </w:p>
        </w:tc>
        <w:tc>
          <w:tcPr>
            <w:tcW w:type="dxa" w:w="1512"/>
          </w:tcPr>
          <w:p>
            <w:r/>
            <w:r>
              <w:rPr>
                <w:sz w:val="16"/>
              </w:rPr>
              <w:t>16621107.0</w:t>
            </w:r>
          </w:p>
        </w:tc>
        <w:tc>
          <w:tcPr>
            <w:tcW w:type="dxa" w:w="1512"/>
          </w:tcPr>
          <w:p>
            <w:r/>
            <w:r>
              <w:rPr>
                <w:sz w:val="16"/>
              </w:rPr>
              <w:t>824.0</w:t>
            </w:r>
          </w:p>
        </w:tc>
        <w:tc>
          <w:tcPr>
            <w:tcW w:type="dxa" w:w="1512"/>
          </w:tcPr>
          <w:p>
            <w:r/>
            <w:r>
              <w:rPr>
                <w:sz w:val="16"/>
              </w:rPr>
              <w:t>0.389</w:t>
            </w:r>
          </w:p>
        </w:tc>
        <w:tc>
          <w:tcPr>
            <w:tcW w:type="dxa" w:w="1512"/>
          </w:tcPr>
          <w:p>
            <w:r/>
            <w:r>
              <w:rPr>
                <w:sz w:val="16"/>
              </w:rPr>
              <w:t>0.05</w:t>
            </w:r>
          </w:p>
        </w:tc>
      </w:tr>
      <w:tr>
        <w:tc>
          <w:tcPr>
            <w:tcW w:type="dxa" w:w="1512"/>
          </w:tcPr>
          <w:p>
            <w:r/>
            <w:r>
              <w:rPr>
                <w:sz w:val="16"/>
              </w:rPr>
              <w:t>2024.0</w:t>
            </w:r>
          </w:p>
        </w:tc>
        <w:tc>
          <w:tcPr>
            <w:tcW w:type="dxa" w:w="1512"/>
          </w:tcPr>
          <w:p>
            <w:r/>
            <w:r>
              <w:rPr>
                <w:sz w:val="16"/>
              </w:rPr>
              <w:t>27.0</w:t>
            </w:r>
          </w:p>
        </w:tc>
        <w:tc>
          <w:tcPr>
            <w:tcW w:type="dxa" w:w="1512"/>
          </w:tcPr>
          <w:p>
            <w:r/>
            <w:r>
              <w:rPr>
                <w:sz w:val="16"/>
              </w:rPr>
              <w:t>54215093.0</w:t>
            </w:r>
          </w:p>
        </w:tc>
        <w:tc>
          <w:tcPr>
            <w:tcW w:type="dxa" w:w="1512"/>
          </w:tcPr>
          <w:p>
            <w:r/>
            <w:r>
              <w:rPr>
                <w:sz w:val="16"/>
              </w:rPr>
              <w:t>1719.0</w:t>
            </w:r>
          </w:p>
        </w:tc>
        <w:tc>
          <w:tcPr>
            <w:tcW w:type="dxa" w:w="1512"/>
          </w:tcPr>
          <w:p>
            <w:r/>
            <w:r>
              <w:rPr>
                <w:sz w:val="16"/>
              </w:rPr>
              <w:t>-0.056</w:t>
            </w:r>
          </w:p>
        </w:tc>
        <w:tc>
          <w:tcPr>
            <w:tcW w:type="dxa" w:w="1512"/>
          </w:tcPr>
          <w:p>
            <w:r/>
            <w:r>
              <w:rPr>
                <w:sz w:val="16"/>
              </w:rPr>
              <w:t>0.783</w:t>
            </w:r>
          </w:p>
        </w:tc>
      </w:tr>
    </w:tbl>
    <w:p>
      <w:pPr>
        <w:spacing w:before="240" w:after="80"/>
      </w:pPr>
      <w:r>
        <w:rPr>
          <w:b/>
          <w:sz w:val="20"/>
        </w:rPr>
        <w:t>Tabela S16. Causas com relação estabelecida com vacina e latência longa, reportadas fora de qualquer total</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Causa</w:t>
            </w:r>
          </w:p>
        </w:tc>
        <w:tc>
          <w:tcPr>
            <w:tcW w:type="dxa" w:w="1512"/>
          </w:tcPr>
          <w:p>
            <w:r/>
            <w:r>
              <w:rPr>
                <w:b/>
                <w:sz w:val="16"/>
              </w:rPr>
              <w:t>Relação com a vacina</w:t>
            </w:r>
          </w:p>
        </w:tc>
        <w:tc>
          <w:tcPr>
            <w:tcW w:type="dxa" w:w="1512"/>
          </w:tcPr>
          <w:p>
            <w:r/>
            <w:r>
              <w:rPr>
                <w:b/>
                <w:sz w:val="16"/>
              </w:rPr>
              <w:t>Óbitos 2015–2024</w:t>
            </w:r>
          </w:p>
        </w:tc>
        <w:tc>
          <w:tcPr>
            <w:tcW w:type="dxa" w:w="1512"/>
          </w:tcPr>
          <w:p>
            <w:r/>
            <w:r>
              <w:rPr>
                <w:b/>
                <w:sz w:val="16"/>
              </w:rPr>
              <w:t>2015</w:t>
            </w:r>
          </w:p>
        </w:tc>
        <w:tc>
          <w:tcPr>
            <w:tcW w:type="dxa" w:w="1512"/>
          </w:tcPr>
          <w:p>
            <w:r/>
            <w:r>
              <w:rPr>
                <w:b/>
                <w:sz w:val="16"/>
              </w:rPr>
              <w:t>2024</w:t>
            </w:r>
          </w:p>
        </w:tc>
        <w:tc>
          <w:tcPr>
            <w:tcW w:type="dxa" w:w="1512"/>
          </w:tcPr>
          <w:p>
            <w:r/>
            <w:r>
              <w:rPr>
                <w:b/>
                <w:sz w:val="16"/>
              </w:rPr>
              <w:t>Variação de 2015 a 2024, em %</w:t>
            </w:r>
          </w:p>
        </w:tc>
      </w:tr>
      <w:tr>
        <w:tc>
          <w:tcPr>
            <w:tcW w:type="dxa" w:w="1512"/>
          </w:tcPr>
          <w:p>
            <w:r/>
            <w:r>
              <w:rPr>
                <w:sz w:val="16"/>
              </w:rPr>
              <w:t>Câncer de colo do útero (HPV)</w:t>
            </w:r>
          </w:p>
        </w:tc>
        <w:tc>
          <w:tcPr>
            <w:tcW w:type="dxa" w:w="1512"/>
          </w:tcPr>
          <w:p>
            <w:r/>
            <w:r>
              <w:rPr>
                <w:sz w:val="16"/>
              </w:rPr>
              <w:t>HPV no PNI desde 2014; latência de décadas</w:t>
            </w:r>
          </w:p>
        </w:tc>
        <w:tc>
          <w:tcPr>
            <w:tcW w:type="dxa" w:w="1512"/>
          </w:tcPr>
          <w:p>
            <w:r/>
            <w:r>
              <w:rPr>
                <w:sz w:val="16"/>
              </w:rPr>
              <w:t>65999</w:t>
            </w:r>
          </w:p>
        </w:tc>
        <w:tc>
          <w:tcPr>
            <w:tcW w:type="dxa" w:w="1512"/>
          </w:tcPr>
          <w:p>
            <w:r/>
            <w:r>
              <w:rPr>
                <w:sz w:val="16"/>
              </w:rPr>
              <w:t>5727</w:t>
            </w:r>
          </w:p>
        </w:tc>
        <w:tc>
          <w:tcPr>
            <w:tcW w:type="dxa" w:w="1512"/>
          </w:tcPr>
          <w:p>
            <w:r/>
            <w:r>
              <w:rPr>
                <w:sz w:val="16"/>
              </w:rPr>
              <w:t>7493</w:t>
            </w:r>
          </w:p>
        </w:tc>
        <w:tc>
          <w:tcPr>
            <w:tcW w:type="dxa" w:w="1512"/>
          </w:tcPr>
          <w:p>
            <w:r/>
            <w:r>
              <w:rPr>
                <w:sz w:val="16"/>
              </w:rPr>
              <w:t>30.8</w:t>
            </w:r>
          </w:p>
        </w:tc>
      </w:tr>
      <w:tr>
        <w:tc>
          <w:tcPr>
            <w:tcW w:type="dxa" w:w="1512"/>
          </w:tcPr>
          <w:p>
            <w:r/>
            <w:r>
              <w:rPr>
                <w:sz w:val="16"/>
              </w:rPr>
              <w:t>Hepatite B crônica/cirrose</w:t>
            </w:r>
          </w:p>
        </w:tc>
        <w:tc>
          <w:tcPr>
            <w:tcW w:type="dxa" w:w="1512"/>
          </w:tcPr>
          <w:p>
            <w:r/>
            <w:r>
              <w:rPr>
                <w:sz w:val="16"/>
              </w:rPr>
              <w:t>fração atribuível ao HBV não separável na CID</w:t>
            </w:r>
          </w:p>
        </w:tc>
        <w:tc>
          <w:tcPr>
            <w:tcW w:type="dxa" w:w="1512"/>
          </w:tcPr>
          <w:p>
            <w:r/>
            <w:r>
              <w:rPr>
                <w:sz w:val="16"/>
              </w:rPr>
              <w:t>2083</w:t>
            </w:r>
          </w:p>
        </w:tc>
        <w:tc>
          <w:tcPr>
            <w:tcW w:type="dxa" w:w="1512"/>
          </w:tcPr>
          <w:p>
            <w:r/>
            <w:r>
              <w:rPr>
                <w:sz w:val="16"/>
              </w:rPr>
              <w:t>262</w:t>
            </w:r>
          </w:p>
        </w:tc>
        <w:tc>
          <w:tcPr>
            <w:tcW w:type="dxa" w:w="1512"/>
          </w:tcPr>
          <w:p>
            <w:r/>
            <w:r>
              <w:rPr>
                <w:sz w:val="16"/>
              </w:rPr>
              <w:t>182</w:t>
            </w:r>
          </w:p>
        </w:tc>
        <w:tc>
          <w:tcPr>
            <w:tcW w:type="dxa" w:w="1512"/>
          </w:tcPr>
          <w:p>
            <w:r/>
            <w:r>
              <w:rPr>
                <w:sz w:val="16"/>
              </w:rPr>
              <w:t>-30.5</w:t>
            </w:r>
          </w:p>
        </w:tc>
      </w:tr>
      <w:tr>
        <w:tc>
          <w:tcPr>
            <w:tcW w:type="dxa" w:w="1512"/>
          </w:tcPr>
          <w:p>
            <w:r/>
            <w:r>
              <w:rPr>
                <w:sz w:val="16"/>
              </w:rPr>
              <w:t>Câncer de fígado</w:t>
            </w:r>
          </w:p>
        </w:tc>
        <w:tc>
          <w:tcPr>
            <w:tcW w:type="dxa" w:w="1512"/>
          </w:tcPr>
          <w:p>
            <w:r/>
            <w:r>
              <w:rPr>
                <w:sz w:val="16"/>
              </w:rPr>
              <w:t>fração atribuível ao HBV não separável na CID</w:t>
            </w:r>
          </w:p>
        </w:tc>
        <w:tc>
          <w:tcPr>
            <w:tcW w:type="dxa" w:w="1512"/>
          </w:tcPr>
          <w:p>
            <w:r/>
            <w:r>
              <w:rPr>
                <w:sz w:val="16"/>
              </w:rPr>
              <w:t>106018</w:t>
            </w:r>
          </w:p>
        </w:tc>
        <w:tc>
          <w:tcPr>
            <w:tcW w:type="dxa" w:w="1512"/>
          </w:tcPr>
          <w:p>
            <w:r/>
            <w:r>
              <w:rPr>
                <w:sz w:val="16"/>
              </w:rPr>
              <w:t>9711</w:t>
            </w:r>
          </w:p>
        </w:tc>
        <w:tc>
          <w:tcPr>
            <w:tcW w:type="dxa" w:w="1512"/>
          </w:tcPr>
          <w:p>
            <w:r/>
            <w:r>
              <w:rPr>
                <w:sz w:val="16"/>
              </w:rPr>
              <w:t>11688</w:t>
            </w:r>
          </w:p>
        </w:tc>
        <w:tc>
          <w:tcPr>
            <w:tcW w:type="dxa" w:w="1512"/>
          </w:tcPr>
          <w:p>
            <w:r/>
            <w:r>
              <w:rPr>
                <w:sz w:val="16"/>
              </w:rPr>
              <w:t>20.4</w:t>
            </w:r>
          </w:p>
        </w:tc>
      </w:tr>
    </w:tbl>
    <w:p>
      <w:pPr>
        <w:spacing w:before="240" w:after="80"/>
      </w:pPr>
      <w:r>
        <w:rPr>
          <w:b/>
          <w:sz w:val="20"/>
        </w:rPr>
        <w:t>Tabela S17. De onde vem o desacordo entre o conjunto ampliado e o subgrupo 1.1</w:t>
      </w:r>
    </w:p>
    <w:tbl>
      <w:tblPr>
        <w:tblStyle w:val="LightGrid-Accent1"/>
        <w:tblW w:type="auto" w:w="0"/>
        <w:jc w:val="center"/>
        <w:tblLayout w:type="fixed"/>
        <w:tblLook w:firstColumn="1" w:firstRow="1" w:lastColumn="0" w:lastRow="0" w:noHBand="0" w:noVBand="1" w:val="04A0"/>
      </w:tblPr>
      <w:tblGrid>
        <w:gridCol w:w="3135"/>
        <w:gridCol w:w="3135"/>
        <w:gridCol w:w="3135"/>
      </w:tblGrid>
      <w:tr>
        <w:tc>
          <w:tcPr>
            <w:tcW w:type="dxa" w:w="3024"/>
          </w:tcPr>
          <w:p>
            <w:r/>
            <w:r>
              <w:rPr>
                <w:b/>
                <w:sz w:val="16"/>
              </w:rPr>
              <w:t>Estado</w:t>
            </w:r>
          </w:p>
        </w:tc>
        <w:tc>
          <w:tcPr>
            <w:tcW w:type="dxa" w:w="3024"/>
          </w:tcPr>
          <w:p>
            <w:r/>
            <w:r>
              <w:rPr>
                <w:b/>
                <w:sz w:val="16"/>
              </w:rPr>
              <w:t>Óbitos</w:t>
            </w:r>
          </w:p>
        </w:tc>
        <w:tc>
          <w:tcPr>
            <w:tcW w:type="dxa" w:w="3024"/>
          </w:tcPr>
          <w:p>
            <w:r/>
            <w:r>
              <w:rPr>
                <w:b/>
                <w:sz w:val="16"/>
              </w:rPr>
              <w:t>% do conjunto ampliado</w:t>
            </w:r>
          </w:p>
        </w:tc>
      </w:tr>
      <w:tr>
        <w:tc>
          <w:tcPr>
            <w:tcW w:type="dxa" w:w="3024"/>
          </w:tcPr>
          <w:p>
            <w:r/>
            <w:r>
              <w:rPr>
                <w:sz w:val="16"/>
              </w:rPr>
              <w:t>1. Contado pelo subgrupo 1.1</w:t>
            </w:r>
          </w:p>
        </w:tc>
        <w:tc>
          <w:tcPr>
            <w:tcW w:type="dxa" w:w="3024"/>
          </w:tcPr>
          <w:p>
            <w:r/>
            <w:r>
              <w:rPr>
                <w:sz w:val="16"/>
              </w:rPr>
              <w:t>5832</w:t>
            </w:r>
          </w:p>
        </w:tc>
        <w:tc>
          <w:tcPr>
            <w:tcW w:type="dxa" w:w="3024"/>
          </w:tcPr>
          <w:p>
            <w:r/>
            <w:r>
              <w:rPr>
                <w:sz w:val="16"/>
              </w:rPr>
              <w:t>20.9</w:t>
            </w:r>
          </w:p>
        </w:tc>
      </w:tr>
      <w:tr>
        <w:tc>
          <w:tcPr>
            <w:tcW w:type="dxa" w:w="3024"/>
          </w:tcPr>
          <w:p>
            <w:r/>
            <w:r>
              <w:rPr>
                <w:sz w:val="16"/>
              </w:rPr>
              <w:t>2. Idade ignorada no registro</w:t>
            </w:r>
          </w:p>
        </w:tc>
        <w:tc>
          <w:tcPr>
            <w:tcW w:type="dxa" w:w="3024"/>
          </w:tcPr>
          <w:p>
            <w:r/>
            <w:r>
              <w:rPr>
                <w:sz w:val="16"/>
              </w:rPr>
              <w:t>13</w:t>
            </w:r>
          </w:p>
        </w:tc>
        <w:tc>
          <w:tcPr>
            <w:tcW w:type="dxa" w:w="3024"/>
          </w:tcPr>
          <w:p>
            <w:r/>
            <w:r>
              <w:rPr>
                <w:sz w:val="16"/>
              </w:rPr>
              <w:t>0.0</w:t>
            </w:r>
          </w:p>
        </w:tc>
      </w:tr>
      <w:tr>
        <w:tc>
          <w:tcPr>
            <w:tcW w:type="dxa" w:w="3024"/>
          </w:tcPr>
          <w:p>
            <w:r/>
            <w:r>
              <w:rPr>
                <w:sz w:val="16"/>
              </w:rPr>
              <w:t>3. Codigo da lista, idade acima de 74 anos</w:t>
            </w:r>
          </w:p>
        </w:tc>
        <w:tc>
          <w:tcPr>
            <w:tcW w:type="dxa" w:w="3024"/>
          </w:tcPr>
          <w:p>
            <w:r/>
            <w:r>
              <w:rPr>
                <w:sz w:val="16"/>
              </w:rPr>
              <w:t>798</w:t>
            </w:r>
          </w:p>
        </w:tc>
        <w:tc>
          <w:tcPr>
            <w:tcW w:type="dxa" w:w="3024"/>
          </w:tcPr>
          <w:p>
            <w:r/>
            <w:r>
              <w:rPr>
                <w:sz w:val="16"/>
              </w:rPr>
              <w:t>2.9</w:t>
            </w:r>
          </w:p>
        </w:tc>
      </w:tr>
      <w:tr>
        <w:tc>
          <w:tcPr>
            <w:tcW w:type="dxa" w:w="3024"/>
          </w:tcPr>
          <w:p>
            <w:r/>
            <w:r>
              <w:rPr>
                <w:sz w:val="16"/>
              </w:rPr>
              <w:t>4. Codigo da lista, idade fora da versao que o contem</w:t>
            </w:r>
          </w:p>
        </w:tc>
        <w:tc>
          <w:tcPr>
            <w:tcW w:type="dxa" w:w="3024"/>
          </w:tcPr>
          <w:p>
            <w:r/>
            <w:r>
              <w:rPr>
                <w:sz w:val="16"/>
              </w:rPr>
              <w:t>51</w:t>
            </w:r>
          </w:p>
        </w:tc>
        <w:tc>
          <w:tcPr>
            <w:tcW w:type="dxa" w:w="3024"/>
          </w:tcPr>
          <w:p>
            <w:r/>
            <w:r>
              <w:rPr>
                <w:sz w:val="16"/>
              </w:rPr>
              <w:t>0.2</w:t>
            </w:r>
          </w:p>
        </w:tc>
      </w:tr>
      <w:tr>
        <w:tc>
          <w:tcPr>
            <w:tcW w:type="dxa" w:w="3024"/>
          </w:tcPr>
          <w:p>
            <w:r/>
            <w:r>
              <w:rPr>
                <w:sz w:val="16"/>
              </w:rPr>
              <w:t>5. Codigo que nao consta de nenhuma versao da lista</w:t>
            </w:r>
          </w:p>
        </w:tc>
        <w:tc>
          <w:tcPr>
            <w:tcW w:type="dxa" w:w="3024"/>
          </w:tcPr>
          <w:p>
            <w:r/>
            <w:r>
              <w:rPr>
                <w:sz w:val="16"/>
              </w:rPr>
              <w:t>21237</w:t>
            </w:r>
          </w:p>
        </w:tc>
        <w:tc>
          <w:tcPr>
            <w:tcW w:type="dxa" w:w="3024"/>
          </w:tcPr>
          <w:p>
            <w:r/>
            <w:r>
              <w:rPr>
                <w:sz w:val="16"/>
              </w:rPr>
              <w:t>76.0</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0B0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