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Mortes evitáveis por doença infecciosa intestinal no Brasil, 2015–2024: uma alta de 47%, e a vigilância da água que não a vê</w:t>
      </w:r>
    </w:p>
    <w:p>
      <w:pPr>
        <w:spacing w:after="360"/>
      </w:pPr>
      <w:r>
        <w:rPr>
          <w:i/>
          <w:color w:val="52514E"/>
          <w:sz w:val="19"/>
        </w:rPr>
        <w:t>Manuscrito submetido sem identificação de autoria. As tabelas citadas no texto estão no material suplementar, ao final, com a mesma numeração precedida de S.</w:t>
      </w:r>
    </w:p>
    <w:p>
      <w:pPr>
        <w:pStyle w:val="Heading1"/>
      </w:pPr>
      <w:r>
        <w:t>Resumo</w:t>
      </w:r>
    </w:p>
    <w:p>
      <w:r>
        <w:rPr>
          <w:b/>
        </w:rPr>
        <w:t>Contexto.</w:t>
      </w:r>
      <w:r>
        <w:t xml:space="preserve"> A Lista Brasileira de Causas de Mortes Evitáveis é o instrumento oficial do Ministério da Saúde para classificar óbitos evitáveis por intervenção do SUS. O seu subgrupo 1.2 reúne as causas "reduzíveis por ações adequadas de promoção à saúde, prevenção, controle e atenção às doenças de causas infecciosas", e nele convivem, lado a lado, as </w:t>
      </w:r>
      <w:r>
        <w:rPr>
          <w:b/>
        </w:rPr>
        <w:t>doenças infecciosas intestinais</w:t>
      </w:r>
      <w:r>
        <w:t xml:space="preserve"> (A00–A09) e as </w:t>
      </w:r>
      <w:r>
        <w:rPr>
          <w:b/>
        </w:rPr>
        <w:t>infecções respiratórias, inclusive pneumonia e influenza</w:t>
      </w:r>
      <w:r>
        <w:t xml:space="preserve"> (J00–J06, J10–J22). A lista não nomeia a água em nenhum subgrupo: não existe categoria de saneamento nela.</w:t>
      </w:r>
    </w:p>
    <w:p>
      <w:r>
        <w:rPr>
          <w:b/>
        </w:rPr>
        <w:t>Objetivo.</w:t>
      </w:r>
      <w:r>
        <w:t xml:space="preserve"> Medir a evolução da mortalidade por doenças infecciosas intestinais no Brasil entre 2015 e 2024; testar se a alta observada é artefato de registro; e determinar se ela se associa à </w:t>
      </w:r>
      <w:r>
        <w:rPr>
          <w:b/>
        </w:rPr>
        <w:t>vigilância da qualidade da água</w:t>
      </w:r>
      <w:r>
        <w:t xml:space="preserve"> — medida pelo Sistema de Informação de Vigilância da Qualidade da Água para Consumo Humano (SISAGUA) — de forma específica do caminho hídrico.</w:t>
      </w:r>
    </w:p>
    <w:p>
      <w:r>
        <w:rPr>
          <w:b/>
        </w:rPr>
        <w:t>Métodos.</w:t>
      </w:r>
      <w:r>
        <w:t xml:space="preserve"> Todos os 14.457.218 óbitos não fetais registrados no Sistema de Informações sobre Mortalidade entre 2015 e 2024, agregados por município de residência (Tabela S1). A exposição é a regularidade da vigilância: a mediana municipal de meses com análise reportada ao SISAGUA no período, em quatro classes ordenadas. O desfecho é a mortalidade por A00–A09; o </w:t>
      </w:r>
      <w:r>
        <w:rPr>
          <w:b/>
        </w:rPr>
        <w:t>controle negativo</w:t>
      </w:r>
      <w:r>
        <w:t xml:space="preserve"> é a mortalidade pelas infecções respiratórias do mesmo subgrupo 1.2 — causas que partilham pobreza, desnutrição, acesso a serviço, qualidade de codificação e estrutura etária com o desfecho, e não partilham o caminho hídrico. A medida é a razão de razões (RRR) entre municípios sem vigilância e municípios com vigilância regular, com IC95% por bootstrap de município (2.000 reamostragens). Três critérios de refutação foram declarados antes de qualquer resultado: </w:t>
      </w:r>
      <w:r>
        <w:rPr>
          <w:b/>
        </w:rPr>
        <w:t>IC95% do RRR incluindo 1 refuta a interpretação hídrica</w:t>
      </w:r>
      <w:r>
        <w:t xml:space="preserve">; o RRR recalculado dentro de quartis de acesso à água pelo Censo, reunido por Mantel-Haenszel, incluindo 1 atribui o achado ao acesso e não à vigilância; e o gradiente entre as quatro classes é relatado como estiver. Um quarto teste, </w:t>
      </w:r>
      <w:r>
        <w:rPr>
          <w:b/>
        </w:rPr>
        <w:t>não pré-declarado</w:t>
      </w:r>
      <w:r>
        <w:t>, recalcula o RRR dentro de cada faixa etária.</w:t>
      </w:r>
    </w:p>
    <w:p>
      <w:r>
        <w:rPr>
          <w:b/>
        </w:rPr>
        <w:t>Resultados.</w:t>
      </w:r>
      <w:r>
        <w:t xml:space="preserve"> Os óbitos por A00–A09 passaram de 4.875 em 2019 para 7.177 em 2024 — alta de </w:t>
      </w:r>
      <w:r>
        <w:rPr>
          <w:b/>
        </w:rPr>
        <w:t>47,2%</w:t>
      </w:r>
      <w:r>
        <w:t xml:space="preserve"> —, enquanto os óbitos totais subiram 13,5% (Tabela S2). Relativos ao total de óbitos, foram de 36,12 para 46,85 por 10 mil. A alta não é de um código (A04 +72%, A08 +120%, A09 +40,9%; Tabela S4), não é de uma faixa etária (entre +38,2% e +56,5% em seis das oito faixas; Tabela S3) e não é redistribuição de causas mal definidas: nos 946 municípios em que a proporção de mal definidas </w:t>
      </w:r>
      <w:r>
        <w:rPr>
          <w:b/>
        </w:rPr>
        <w:t>não caiu</w:t>
      </w:r>
      <w:r>
        <w:t xml:space="preserve">, a alta foi de </w:t>
      </w:r>
      <w:r>
        <w:rPr>
          <w:b/>
        </w:rPr>
        <w:t>+43,5%</w:t>
      </w:r>
      <w:r>
        <w:t xml:space="preserve">, contra +49,4% onde caiu (Tabela S5). Entre os 5.570 municípios analisáveis, 384 não reportaram análise alguma ao SISAGUA. Neles a mortalidade por A00–A09 é 1,158 vez a dos municípios com vigilância regular, enquanto a mortalidade por infecção respiratória é </w:t>
      </w:r>
      <w:r>
        <w:rPr>
          <w:b/>
        </w:rPr>
        <w:t>0,558</w:t>
      </w:r>
      <w:r>
        <w:t xml:space="preserve"> — RRR de </w:t>
      </w:r>
      <w:r>
        <w:rPr>
          <w:b/>
        </w:rPr>
        <w:t>2,075 [1,776–2,518]</w:t>
      </w:r>
      <w:r>
        <w:t xml:space="preserve"> (Tabelas S7 e S8). O gradiente entre as quatro classes é monotônico: 2,075, 1,525, 1,182 e 1. Ajustado por quartil de acesso à água, o RRR é </w:t>
      </w:r>
      <w:r>
        <w:rPr>
          <w:b/>
        </w:rPr>
        <w:t>1,926 [1,618–2,225]</w:t>
      </w:r>
      <w:r>
        <w:t xml:space="preserve">, e permanece acima de 1 nos quatro quartis, </w:t>
      </w:r>
      <w:r>
        <w:rPr>
          <w:b/>
        </w:rPr>
        <w:t>inclusive naquele em que a mediana de domicílios sem ligação à rede é de 4,99%</w:t>
      </w:r>
      <w:r>
        <w:t xml:space="preserve"> (Tabela S11). Substituir o controle pela definição estrita de pneumonia e influenza dá 2,087 [1,785–2,535]. A padronização por idade, post-hoc, reduz o RRR para </w:t>
      </w:r>
      <w:r>
        <w:rPr>
          <w:b/>
        </w:rPr>
        <w:t>1,767 [1,518–2,021]</w:t>
      </w:r>
      <w:r>
        <w:t>, que permanece acima de 1 nas oito faixas etárias, com o máximo em crianças de 1 a 4 anos (2,432; Tabela S9).</w:t>
      </w:r>
    </w:p>
    <w:p>
      <w:r>
        <w:rPr>
          <w:b/>
        </w:rPr>
        <w:t>Conclusões.</w:t>
      </w:r>
      <w:r>
        <w:t xml:space="preserve"> A mortalidade por doenças infecciosas intestinais — causa que o instrumento oficial brasileiro classifica como evitável — subiu 47% em cinco anos, e a alta não é artefato de registro. A ausência de vigilância da qualidade da água distingue essa causa de outra que o mesmo instrumento trata como equivalente, com especificidade que sobrevive ao ajuste por acesso à água e à padronização por idade. O desenho é ecológico e não estabelece que o indivíduo que morreu consumiu água não vigiada; ausência de vigilância é ausência da prova, não prova de contaminação. O achado aponta uma lacuna no próprio instrumento: a Lista Brasileira declara a morte por diarreia evitável sem nomear o mecanismo pelo qual ela é evitada.</w:t>
      </w:r>
    </w:p>
    <w:p>
      <w:r>
        <w:rPr>
          <w:b/>
        </w:rPr>
        <w:t>Palavras-chave.</w:t>
      </w:r>
      <w:r>
        <w:t xml:space="preserve"> Mortalidade evitável; doenças infecciosas intestinais; vigilância da qualidade da água; SISAGUA; estudos ecológicos; Brasil.</w:t>
      </w:r>
    </w:p>
    <w:p>
      <w:pPr>
        <w:pStyle w:val="Heading1"/>
      </w:pPr>
      <w:r>
        <w:t>1. Introdução</w:t>
      </w:r>
    </w:p>
    <w:p>
      <w:r>
        <w:t>A morte por diarreia é o caso mais antigo da saúde pública. Foi ela que fundou a epidemiologia moderna quando John Snow removeu a bomba de Broad Street em 1854, e é ela que a engenharia sanitária do século XX tratou como problema resolvido nos países que construíram redes de água e esgoto. No Brasil, a mortalidade por doenças infecciosas intestinais caiu de forma sustentada ao longo de décadas, e a literatura nacional descreve essa queda como parte de uma transição epidemiológica em curso — com ressalva para o Norte e o Nordeste, onde ela seria mais lenta.</w:t>
      </w:r>
    </w:p>
    <w:p>
      <w:r>
        <w:t>Este artigo reporta que a queda parou e inverteu. Entre 2019 e 2024, os óbitos por A00–A09 subiram 47,2% no país.</w:t>
      </w:r>
    </w:p>
    <w:p>
      <w:r>
        <w:t xml:space="preserve">O achado tem duas propriedades que merecem enquadramento antes dos métodos. A primeira é que </w:t>
      </w:r>
      <w:r>
        <w:rPr>
          <w:b/>
        </w:rPr>
        <w:t>A00–A09 é uma causa oficialmente evitável no Brasil</w:t>
      </w:r>
      <w:r>
        <w:t>: ela está no subgrupo 1.2 da Lista Brasileira de Causas de Mortes Evitáveis, instrumento do Ministério da Saúde publicado em 2007 e revisto entre 2010 e 2011. Não se trata, portanto, de um agravo emergente ou de um desfecho sobre o qual o sistema de saúde não tenha responsabilidade declarada. Trata-se de uma categoria que o próprio Estado brasileiro se comprometeu a reduzir.</w:t>
      </w:r>
    </w:p>
    <w:p>
      <w:r>
        <w:t xml:space="preserve">A segunda é que </w:t>
      </w:r>
      <w:r>
        <w:rPr>
          <w:b/>
        </w:rPr>
        <w:t>a Lista não nomeia a água</w:t>
      </w:r>
      <w:r>
        <w:t>. Percorrida inteira, ela não tem subgrupo de saneamento ambiental. As doenças infecciosas intestinais aparecem sob o rótulo "reduzíveis por ações adequadas de promoção à saúde, prevenção, controle e atenção às doenças de causas infecciosas", ao lado de HIV, tuberculose respiratória, sífilis, doença inflamatória pélvica e infecção do trato urinário. O mecanismo pelo qual essas mortes são evitadas — água tratada e vigiada — não está escrito no instrumento que as declara evitáveis.</w:t>
      </w:r>
    </w:p>
    <w:p>
      <w:r>
        <w:t xml:space="preserve">Esse silêncio tem consequência operacional. O Brasil mantém, desde 2014, um sistema nacional de vigilância da qualidade da água para consumo humano, o SISAGUA, alimentado pelos municípios. A literatura que usa esse sistema é escassa e trata o não-reporte como limitação de dado: um levantamento de contaminação por agrotóxicos registra que 53% dos municípios não enviaram dados de monitoramento; outro, anterior, que apenas 9% a 17% registravam. Nenhum trabalho publicado usou a </w:t>
      </w:r>
      <w:r>
        <w:rPr>
          <w:b/>
        </w:rPr>
        <w:t>ausência de vigilância como variável de exposição</w:t>
      </w:r>
      <w:r>
        <w:t>, e nenhum ligou o SISAGUA à mortalidade por doença infecciosa intestinal em escala municipal nacional.</w:t>
      </w:r>
    </w:p>
    <w:p>
      <w:r>
        <w:t xml:space="preserve">É essa inversão que este artigo faz. A pergunta não é "a água está contaminada?" — o SISAGUA não responde isso onde ninguém mediu. A pergunta é se o município que </w:t>
      </w:r>
      <w:r>
        <w:rPr>
          <w:b/>
        </w:rPr>
        <w:t>não vigia</w:t>
      </w:r>
      <w:r>
        <w:t xml:space="preserve"> morre diferente do que vigia, e se essa diferença é específica do caminho hídrico ou apenas mais um efeito da pobreza.</w:t>
      </w:r>
    </w:p>
    <w:p>
      <w:pPr>
        <w:pStyle w:val="Heading1"/>
      </w:pPr>
      <w:r>
        <w:t>2. Métodos</w:t>
      </w:r>
    </w:p>
    <w:p>
      <w:pPr>
        <w:pStyle w:val="Heading2"/>
      </w:pPr>
      <w:r>
        <w:t>2.1 Fonte e recorte</w:t>
      </w:r>
    </w:p>
    <w:p>
      <w:r>
        <w:t xml:space="preserve">Todos os óbitos não fetais registrados no Sistema de Informações sobre Mortalidade (SIM) entre 2015 e 2024, agregados por município de residência, ano e categoria de três caracteres da CID-10. O ano de 2025 aparece nas figuras e na Tabela S2 identificado como preliminar, e </w:t>
      </w:r>
      <w:r>
        <w:rPr>
          <w:b/>
        </w:rPr>
        <w:t>não entra em nenhuma estimativa</w:t>
      </w:r>
      <w:r>
        <w:t>: ele é mostrado porque omitir o dado mais recente seria esconder informação, e é marcado porque colá-lo à série consolidada afirmaria uma completude que não existe.</w:t>
      </w:r>
    </w:p>
    <w:p>
      <w:r>
        <w:t>O denominador populacional é a Projeção da População do IBGE, revisão 2024, somada sobre os dez anos para produzir pessoas-ano. A Tabela S1 traz o recorte fechado: 14.457.218 óbitos, 49.429 deles por A00–A09, 831.816 pelo controle, sobre 2.085.404.546 pessoas-ano.</w:t>
      </w:r>
    </w:p>
    <w:p>
      <w:pPr>
        <w:pStyle w:val="Heading2"/>
      </w:pPr>
      <w:r>
        <w:t>2.2 A exposição, e o que ela não é</w:t>
      </w:r>
    </w:p>
    <w:p>
      <w:r>
        <w:t xml:space="preserve">O SISAGUA registra, por município e mês, análises de parâmetros básicos da água distribuída — cloro residual, turbidez, cor, coliformes totais, </w:t>
      </w:r>
      <w:r>
        <w:rPr>
          <w:i/>
        </w:rPr>
        <w:t>Escherichia coli</w:t>
      </w:r>
      <w:r>
        <w:t>, pH, fluoreto e outros. A coleta nacional deste trabalho percorreu os 5.571 municípios brasileiros e recuperou 117.764.680 registros; um município não teve denominador populacional utilizável e ficou fora, restando 5.570.</w:t>
      </w:r>
    </w:p>
    <w:p>
      <w:r>
        <w:t xml:space="preserve">A exposição é a </w:t>
      </w:r>
      <w:r>
        <w:rPr>
          <w:b/>
        </w:rPr>
        <w:t>mediana municipal de meses com análise reportada</w:t>
      </w:r>
      <w:r>
        <w:t>, calculada sobre ano × parâmetro no período, em quatro classes:</w:t>
      </w:r>
    </w:p>
    <w:p>
      <w:r>
        <w:t>| classe | definição | municípios |</w:t>
      </w:r>
    </w:p>
    <w:p>
      <w:r>
        <w:t>|---|---|---|</w:t>
      </w:r>
    </w:p>
    <w:p>
      <w:r>
        <w:t>| sem vigilância | nenhuma análise reportada em 2015–2024 | 384 |</w:t>
      </w:r>
    </w:p>
    <w:p>
      <w:r>
        <w:t>| vigilância rara | mediana de até 6 meses | 511 |</w:t>
      </w:r>
    </w:p>
    <w:p>
      <w:r>
        <w:t>| vigilância parcial | mediana de 7 a 11 meses | 1.048 |</w:t>
      </w:r>
    </w:p>
    <w:p>
      <w:r>
        <w:t>| vigilância regular | mediana de 12 meses | 3.627 |</w:t>
      </w:r>
    </w:p>
    <w:p>
      <w:r>
        <w:t xml:space="preserve">O SISAGUA prevê controle </w:t>
      </w:r>
      <w:r>
        <w:rPr>
          <w:b/>
        </w:rPr>
        <w:t>mensal</w:t>
      </w:r>
      <w:r>
        <w:t>, de modo que 12 é o previsto e não o excepcional.</w:t>
      </w:r>
    </w:p>
    <w:p>
      <w:r>
        <w:t xml:space="preserve">Três distinções são deliberadas e importam para a leitura. </w:t>
      </w:r>
      <w:r>
        <w:rPr>
          <w:b/>
        </w:rPr>
        <w:t>Primeira:</w:t>
      </w:r>
      <w:r>
        <w:t xml:space="preserve"> ausência de vigilância não é ausência de água encanada. As duas coisas são medidas por fontes diferentes, e a Tabela S6 mostra que a mediana de domicílios sem ligação à rede é de 29,265% na classe sem vigilância e 15,67% na classe regular — diferentes, mas longe de coincidentes. </w:t>
      </w:r>
      <w:r>
        <w:rPr>
          <w:b/>
        </w:rPr>
        <w:t>Segunda:</w:t>
      </w:r>
      <w:r>
        <w:t xml:space="preserve"> ausência de vigilância não é água contaminada. É ausência da prova, e o artigo não afirma nada além disso. </w:t>
      </w:r>
      <w:r>
        <w:rPr>
          <w:b/>
        </w:rPr>
        <w:t>Terceira:</w:t>
      </w:r>
      <w:r>
        <w:t xml:space="preserve"> município que a coleta não alcançou ficou </w:t>
      </w:r>
      <w:r>
        <w:rPr>
          <w:b/>
        </w:rPr>
        <w:t>fora</w:t>
      </w:r>
      <w:r>
        <w:t xml:space="preserve"> da análise, e não foi classificado como "sem vigilância" — chamar falha de coleta de exposição baixa inventaria dado.</w:t>
      </w:r>
    </w:p>
    <w:p>
      <w:pPr>
        <w:pStyle w:val="Heading2"/>
      </w:pPr>
      <w:r>
        <w:t>2.3 O controle negativo, e por que ele sai do instrumento</w:t>
      </w:r>
    </w:p>
    <w:p>
      <w:r>
        <w:t>Um cruzamento ecológico entre indicador de saneamento e mortalidade infecciosa nunca falha. Ele vai produzir associação, e a associação vai ser confundível com pobreza: município que não vigia a água é município pobre, e município pobre morre mais de tudo. Uma análise que reportasse apenas "encontramos associação" não teria como separar mecanismo de marcador socioeconômico.</w:t>
      </w:r>
    </w:p>
    <w:p>
      <w:r>
        <w:t xml:space="preserve">O discriminador adotado é um </w:t>
      </w:r>
      <w:r>
        <w:rPr>
          <w:b/>
        </w:rPr>
        <w:t>controle negativo</w:t>
      </w:r>
      <w:r>
        <w:t>, e ele não foi escolhido por conveniência. O subgrupo 1.2 da Lista Brasileira contém, como entradas vizinhas:</w:t>
      </w:r>
    </w:p>
    <w:p>
      <w:r>
        <w:rPr>
          <w:rFonts w:ascii="Consolas" w:hAnsi="Consolas"/>
          <w:sz w:val="19"/>
        </w:rPr>
        <w:t>`</w:t>
      </w:r>
    </w:p>
    <w:p>
      <w:r>
        <w:t>Doenças infecciosas intestinais ................ A00-A09</w:t>
      </w:r>
    </w:p>
    <w:p>
      <w:r>
        <w:t>Infecções respiratórias, inclusive pneumonia</w:t>
      </w:r>
    </w:p>
    <w:p>
      <w:r>
        <w:t>e influenza .......... J00-J01, J02.8-J02.9, J03.8-J03.9,</w:t>
      </w:r>
    </w:p>
    <w:p>
      <w:r>
        <w:t>J04-J05, J06, J10-J22</w:t>
      </w:r>
    </w:p>
    <w:p>
      <w:r>
        <w:rPr>
          <w:rFonts w:ascii="Consolas" w:hAnsi="Consolas"/>
          <w:sz w:val="19"/>
        </w:rPr>
        <w:t>`</w:t>
      </w:r>
    </w:p>
    <w:p>
      <w:r>
        <w:t>O Ministério da Saúde declara as duas evitáveis pelo mesmo tipo de ação. Elas partilham praticamente todo confundidor relevante — pobreza, desnutrição, acesso a serviço de saúde, qualidade de codificação, estrutura etária — e não partilham o caminho hídrico. Em três caracteres, a definição oficial corresponde a J00–J06 e J10–J22; a diferença são subcategorias de amigdalite e faringite estreptocócica, que praticamente não matam. Uma análise de sensibilidade repete a medida com a definição estrita de pneumonia e influenza (J10–J18).</w:t>
      </w:r>
    </w:p>
    <w:p>
      <w:r>
        <w:t>O contraste, portanto, não é entre duas causas que os autores escolheram parecidas. É entre duas entradas que o instrumento oficial trata como equivalentes.</w:t>
      </w:r>
    </w:p>
    <w:p>
      <w:pPr>
        <w:pStyle w:val="Heading2"/>
      </w:pPr>
      <w:r>
        <w:t>2.4 A medida, e os critérios declarados antes</w:t>
      </w:r>
    </w:p>
    <w:p>
      <w:r>
        <w:t>A medida é a razão de razões:</w:t>
      </w:r>
    </w:p>
    <w:p>
      <w:r>
        <w:t>$$\text{RRR} = \frac{\text{RR}(\text{A00–A09})}{\text{RR}(\text{infecção respiratória})}$$</w:t>
      </w:r>
    </w:p>
    <w:p>
      <w:r>
        <w:t xml:space="preserve">onde cada RR compara a classe sem vigilância à classe de vigilância regular. A RRR tem uma propriedade que o desenho explora: </w:t>
      </w:r>
      <w:r>
        <w:rPr>
          <w:b/>
        </w:rPr>
        <w:t>tudo o que infla ou deprime as duas causas por igual cancela</w:t>
      </w:r>
      <w:r>
        <w:t xml:space="preserve">. Sub-registro de óbito, erro no denominador populacional e variação geral de qualidade do registro afetam numerador e denominador na mesma proporção e desaparecem da razão. O que a RRR não cancela é o que afeta as duas causas de forma </w:t>
      </w:r>
      <w:r>
        <w:rPr>
          <w:b/>
        </w:rPr>
        <w:t>diferente</w:t>
      </w:r>
      <w:r>
        <w:t xml:space="preserve"> — e é por isso que a idade precisa de tratamento próprio (§2.5).</w:t>
      </w:r>
    </w:p>
    <w:p>
      <w:r>
        <w:t xml:space="preserve">Sem modelo paramétrico. Os intervalos de confiança de 95% vêm de </w:t>
      </w:r>
      <w:r>
        <w:rPr>
          <w:b/>
        </w:rPr>
        <w:t>bootstrap de município</w:t>
      </w:r>
      <w:r>
        <w:t>, com 2.000 reamostragens com reposição. A unidade de reamostragem é a unidade de análise: óbitos dentro do mesmo município não são independentes, e reamostrá-los produziria intervalo estreito por construção.</w:t>
      </w:r>
    </w:p>
    <w:p>
      <w:r>
        <w:t>Os critérios foram escritos no cabeçalho do script de análise antes de qualquer resultado ser observado, e o script imprime aprovação ou reprovação de cada um:</w:t>
      </w:r>
    </w:p>
    <w:p>
      <w:r>
        <w:t xml:space="preserve">&gt; </w:t>
      </w:r>
      <w:r>
        <w:rPr>
          <w:b/>
        </w:rPr>
        <w:t>Critério 1 — especificidade.</w:t>
      </w:r>
      <w:r>
        <w:t xml:space="preserve"> Se o IC95% do RRR incluir 1, a interpretação hídrica está </w:t>
      </w:r>
      <w:r>
        <w:rPr>
          <w:b/>
        </w:rPr>
        <w:t>refutada</w:t>
      </w:r>
      <w:r>
        <w:t>. A associação existiria, mas seria indistinguível de um marcador geral de precariedade, e seria reportada assim.</w:t>
      </w:r>
    </w:p>
    <w:p>
      <w:r>
        <w:t>&gt;</w:t>
      </w:r>
    </w:p>
    <w:p>
      <w:r>
        <w:t xml:space="preserve">&gt; </w:t>
      </w:r>
      <w:r>
        <w:rPr>
          <w:b/>
        </w:rPr>
        <w:t>Critério 2 — acesso não pode explicar.</w:t>
      </w:r>
      <w:r>
        <w:t xml:space="preserve"> O RRR é recalculado dentro de quartis de </w:t>
      </w:r>
      <w:r>
        <w:rPr>
          <w:rFonts w:ascii="Consolas" w:hAnsi="Consolas"/>
          <w:sz w:val="19"/>
        </w:rPr>
        <w:t>pct_sem_agua</w:t>
      </w:r>
      <w:r>
        <w:t xml:space="preserve"> do Censo 2022 e reunido pelos pesos de Mantel-Haenszel. Se passar a incluir 1, o achado é sobre </w:t>
      </w:r>
      <w:r>
        <w:rPr>
          <w:b/>
        </w:rPr>
        <w:t>acesso</w:t>
      </w:r>
      <w:r>
        <w:t xml:space="preserve"> e não sobre </w:t>
      </w:r>
      <w:r>
        <w:rPr>
          <w:b/>
        </w:rPr>
        <w:t>vigilância</w:t>
      </w:r>
      <w:r>
        <w:t>.</w:t>
      </w:r>
    </w:p>
    <w:p>
      <w:r>
        <w:t>&gt;</w:t>
      </w:r>
    </w:p>
    <w:p>
      <w:r>
        <w:t xml:space="preserve">&gt; </w:t>
      </w:r>
      <w:r>
        <w:rPr>
          <w:b/>
        </w:rPr>
        <w:t>Critério 3 — gradiente.</w:t>
      </w:r>
      <w:r>
        <w:t xml:space="preserve"> As quatro classes são ordenadas. Não-monotonicidade não refuta sozinha; é reportada como estiver.</w:t>
      </w:r>
    </w:p>
    <w:p>
      <w:pPr>
        <w:pStyle w:val="Heading2"/>
      </w:pPr>
      <w:r>
        <w:t>2.5 O quarto teste, que não foi pré-declarado</w:t>
      </w:r>
    </w:p>
    <w:p>
      <w:r>
        <w:t xml:space="preserve">Após observar que a mortalidade geral é 30% menor na classe sem vigilância (492 contra 709 por 100 mil; Tabela S6) — compatível com estrutura etária mais jovem, e não com sub-registro —, acrescentou-se um quarto teste: recalcular o RRR </w:t>
      </w:r>
      <w:r>
        <w:rPr>
          <w:b/>
        </w:rPr>
        <w:t>dentro de cada faixa etária</w:t>
      </w:r>
      <w:r>
        <w:t>, usando o total de óbitos da faixa como denominador. Isso neutraliza a composição etária sem exigir denominador populacional por idade.</w:t>
      </w:r>
    </w:p>
    <w:p>
      <w:r>
        <w:t xml:space="preserve">Este teste </w:t>
      </w:r>
      <w:r>
        <w:rPr>
          <w:b/>
        </w:rPr>
        <w:t>não estava entre os critérios declarados</w:t>
      </w:r>
      <w:r>
        <w:t>. Ele nasceu de observar o resultado, e vale menos que os três acima; está rotulado como post-hoc na Tabela S8 e desenhado com marcador vazado na Figura 4. Ele reduziu o efeito e não o derrubou, o que é a direção que um teste post-hoc pode ter sem se tornar suspeito — mas a ordem em que ele foi concebido fica declarada, e não escondida.</w:t>
      </w:r>
    </w:p>
    <w:p>
      <w:pPr>
        <w:pStyle w:val="Heading1"/>
      </w:pPr>
      <w:r>
        <w:t>3. Resultados</w:t>
      </w:r>
    </w:p>
    <w:p>
      <w:pPr>
        <w:pStyle w:val="Heading2"/>
      </w:pPr>
      <w:r>
        <w:t>3.1 A alta</w:t>
      </w:r>
    </w:p>
    <w:p>
      <w:r>
        <w:t xml:space="preserve">Os óbitos por doenças infecciosas intestinais passaram de 4.875 em 2019 para 7.177 em 2024, alta de </w:t>
      </w:r>
      <w:r>
        <w:rPr>
          <w:b/>
        </w:rPr>
        <w:t>47,2%</w:t>
      </w:r>
      <w:r>
        <w:t xml:space="preserve"> (Tabela S2, Figura 1). No mesmo período os óbitos totais do país subiram 13,5%. Relativos ao total, os óbitos por A00–A09 foram de 36,12 para 46,85 por 10 mil — alta de 29,7% na medida que já desconta o crescimento geral da mortalidade.</w:t>
      </w:r>
    </w:p>
    <w:p>
      <w:r>
        <w:t>A série de 2015 a 2019 é plana, entre 34,58 e 36,59 por 10 mil. Os anos de 2020 e 2021 caem para 26,5 e 21,85, compatível com o efeito conhecido da pandemia sobre a circulação de patógenos entéricos e com a inflação do denominador. A partir de 2022 a série sobe de forma contínua, e 2024 é o maior valor da década por margem larga. O ano preliminar de 2025 registra 6.885 óbitos.</w:t>
      </w:r>
    </w:p>
    <w:p>
      <w:pPr>
        <w:spacing w:before="200" w:after="40"/>
        <w:jc w:val="center"/>
      </w:pPr>
      <w:r>
        <w:drawing>
          <wp:inline xmlns:a="http://schemas.openxmlformats.org/drawingml/2006/main" xmlns:pic="http://schemas.openxmlformats.org/drawingml/2006/picture">
            <wp:extent cx="5760720" cy="2971356"/>
            <wp:docPr id="1" name="Picture 1"/>
            <wp:cNvGraphicFramePr>
              <a:graphicFrameLocks noChangeAspect="1"/>
            </wp:cNvGraphicFramePr>
            <a:graphic>
              <a:graphicData uri="http://schemas.openxmlformats.org/drawingml/2006/picture">
                <pic:pic>
                  <pic:nvPicPr>
                    <pic:cNvPr id="0" name="figura_01_serie_nacional.png"/>
                    <pic:cNvPicPr/>
                  </pic:nvPicPr>
                  <pic:blipFill>
                    <a:blip r:embed="rId9"/>
                    <a:stretch>
                      <a:fillRect/>
                    </a:stretch>
                  </pic:blipFill>
                  <pic:spPr>
                    <a:xfrm>
                      <a:off x="0" y="0"/>
                      <a:ext cx="5760720" cy="2971356"/>
                    </a:xfrm>
                    <a:prstGeom prst="rect"/>
                  </pic:spPr>
                </pic:pic>
              </a:graphicData>
            </a:graphic>
          </wp:inline>
        </w:drawing>
      </w:r>
    </w:p>
    <w:p>
      <w:pPr>
        <w:spacing w:before="40" w:after="280"/>
      </w:pPr>
      <w:r>
        <w:rPr>
          <w:color w:val="52514E"/>
          <w:sz w:val="18"/>
        </w:rPr>
        <w:t>Figura 1. Óbitos por doenças infecciosas intestinais (CID-10 A00–A09), Brasil, 2015–2025. (A) Contagem anual. (B) Óbitos por 10 mil óbitos do ano. O ano de 2025 é preliminar e aparece com marcador vazado e linha pontilhada; ele não entra em nenhuma estimativa. Fonte: Tabela S2.</w:t>
      </w:r>
    </w:p>
    <w:p>
      <w:pPr>
        <w:pStyle w:val="Heading2"/>
      </w:pPr>
      <w:r>
        <w:t>3.2 A alta não é artefato</w:t>
      </w:r>
    </w:p>
    <w:p>
      <w:r>
        <w:t>Quatro explicações alternativas foram examinadas.</w:t>
      </w:r>
    </w:p>
    <w:p>
      <w:r>
        <w:rPr>
          <w:b/>
        </w:rPr>
        <w:t>Não é ano preliminar.</w:t>
      </w:r>
      <w:r>
        <w:t xml:space="preserve"> 2024 é ano consolidado no SIM; apenas 2025 é preliminar, e ele não entra em nenhuma estimativa.</w:t>
      </w:r>
    </w:p>
    <w:p>
      <w:r>
        <w:rPr>
          <w:b/>
        </w:rPr>
        <w:t>Não é um código.</w:t>
      </w:r>
      <w:r>
        <w:t xml:space="preserve"> A alta aparece em toda a faixa (Tabela S4): A04 (outras infecções intestinais bacterianas) sobe 72%, A08 (infecções intestinais virais) sobe 120% e A09 (diarreia e gastroenterite de origem infecciosa presumível) sobe 40,9%. A09 é o código de maior volume e o mais dependente de prática de codificação; que a alta apareça também em A04 e A08, que exigem identificação de agente, argumenta contra artefato de rotulagem.</w:t>
      </w:r>
    </w:p>
    <w:p>
      <w:r>
        <w:rPr>
          <w:b/>
        </w:rPr>
        <w:t>Não é envelhecimento.</w:t>
      </w:r>
      <w:r>
        <w:t xml:space="preserve"> A alta é distribuída entre faixas etárias (Tabela S3, Figura 2): +56,5% em 5–14 anos, +54,8% em 15–29, +52% em 75 ou mais, +51,7% em 60–74, +49,1% em 45–59, +38,2% em 30–44. Apenas os menores de 1 ano (+7,3%) e a faixa de 1–4 anos (+24%) sobem menos. Uma alta impulsionada por envelhecimento populacional se concentraria nas faixas idosas; esta não se concentra em lugar nenhum.</w:t>
      </w:r>
    </w:p>
    <w:p>
      <w:r>
        <w:rPr>
          <w:b/>
        </w:rPr>
        <w:t>Não é redistribuição de causas mal definidas.</w:t>
      </w:r>
      <w:r>
        <w:t xml:space="preserve"> Esta é a explicação concorrente mais forte, porque a proporção de causas mal definidas caiu no período — de 5,55% em 2019 para 4,51% em 2024 (Tabela S2) —, e o ganho de A00–A09 caberia dentro dessa queda. O teste, com critério declarado antes, restringe a comparação aos 2.176 municípios com pelo menos 100 óbitos em ambos os anos e separa os que melhoraram a codificação dos que não melhoraram (Tabela S5):</w:t>
      </w:r>
    </w:p>
    <w:p>
      <w:r>
        <w:t>| recorte | municípios | 2019 | 2024 | variação |</w:t>
      </w:r>
    </w:p>
    <w:p>
      <w:r>
        <w:t>|---|---|---|---|---|</w:t>
      </w:r>
    </w:p>
    <w:p>
      <w:r>
        <w:t xml:space="preserve">| todos com base suficiente | 2.176 | 4.275 | 6.304 | </w:t>
      </w:r>
      <w:r>
        <w:rPr>
          <w:b/>
        </w:rPr>
        <w:t>+47,5%</w:t>
      </w:r>
      <w:r>
        <w:t xml:space="preserve"> |</w:t>
      </w:r>
    </w:p>
    <w:p>
      <w:r>
        <w:t xml:space="preserve">| onde as mal definidas </w:t>
      </w:r>
      <w:r>
        <w:rPr>
          <w:b/>
        </w:rPr>
        <w:t>não</w:t>
      </w:r>
      <w:r>
        <w:t xml:space="preserve"> caíram | 946 | 1.378 | 1.977 | </w:t>
      </w:r>
      <w:r>
        <w:rPr>
          <w:b/>
        </w:rPr>
        <w:t>+43,5%</w:t>
      </w:r>
      <w:r>
        <w:t xml:space="preserve"> |</w:t>
      </w:r>
    </w:p>
    <w:p>
      <w:r>
        <w:t xml:space="preserve">| onde as mal definidas caíram | 1.230 | 2.897 | 4.327 | </w:t>
      </w:r>
      <w:r>
        <w:rPr>
          <w:b/>
        </w:rPr>
        <w:t>+49,4%</w:t>
      </w:r>
      <w:r>
        <w:t xml:space="preserve"> |</w:t>
      </w:r>
    </w:p>
    <w:p>
      <w:r>
        <w:t>A alta onde a codificação não melhorou é 43,5%, contra 49,4% onde melhorou. A diferença entre as duas é pequena diante da magnitude da alta: a redistribuição explica uma fração, não o fenômeno.</w:t>
      </w:r>
    </w:p>
    <w:p>
      <w:pPr>
        <w:spacing w:before="200" w:after="40"/>
        <w:jc w:val="center"/>
      </w:pPr>
      <w:r>
        <w:drawing>
          <wp:inline xmlns:a="http://schemas.openxmlformats.org/drawingml/2006/main" xmlns:pic="http://schemas.openxmlformats.org/drawingml/2006/picture">
            <wp:extent cx="5760720" cy="2576981"/>
            <wp:docPr id="2" name="Picture 2"/>
            <wp:cNvGraphicFramePr>
              <a:graphicFrameLocks noChangeAspect="1"/>
            </wp:cNvGraphicFramePr>
            <a:graphic>
              <a:graphicData uri="http://schemas.openxmlformats.org/drawingml/2006/picture">
                <pic:pic>
                  <pic:nvPicPr>
                    <pic:cNvPr id="0" name="figura_02_alta_por_faixa.png"/>
                    <pic:cNvPicPr/>
                  </pic:nvPicPr>
                  <pic:blipFill>
                    <a:blip r:embed="rId10"/>
                    <a:stretch>
                      <a:fillRect/>
                    </a:stretch>
                  </pic:blipFill>
                  <pic:spPr>
                    <a:xfrm>
                      <a:off x="0" y="0"/>
                      <a:ext cx="5760720" cy="2576981"/>
                    </a:xfrm>
                    <a:prstGeom prst="rect"/>
                  </pic:spPr>
                </pic:pic>
              </a:graphicData>
            </a:graphic>
          </wp:inline>
        </w:drawing>
      </w:r>
    </w:p>
    <w:p>
      <w:pPr>
        <w:spacing w:before="40" w:after="280"/>
      </w:pPr>
      <w:r>
        <w:rPr>
          <w:color w:val="52514E"/>
          <w:sz w:val="18"/>
        </w:rPr>
        <w:t>Figura 2. Variação dos óbitos por A00–A09 entre 2019 e 2024, por faixa etária. A alta aparece em todas as faixas, o que afasta envelhecimento populacional como explicação. Fonte: Tabela S3.</w:t>
      </w:r>
    </w:p>
    <w:p>
      <w:pPr>
        <w:pStyle w:val="Heading2"/>
      </w:pPr>
      <w:r>
        <w:t>3.3 A exposição</w:t>
      </w:r>
    </w:p>
    <w:p>
      <w:r>
        <w:t xml:space="preserve">Dos 5.570 municípios analisáveis, </w:t>
      </w:r>
      <w:r>
        <w:rPr>
          <w:b/>
        </w:rPr>
        <w:t>384 não reportaram uma única análise de água ao SISAGUA entre 2015 e 2024</w:t>
      </w:r>
      <w:r>
        <w:t>. Outros 511 reportaram em mediana de até seis meses por ano, 1.048 entre sete e onze, e 3.627 nos doze meses previstos (Tabela S6).</w:t>
      </w:r>
    </w:p>
    <w:p>
      <w:r>
        <w:t>As classes diferem socialmente, como esperado: a mediana de domicílios sem ligação à rede geral vai de 29,265% na classe sem vigilância a 15,67% na regular, e a taxa de analfabetismo, de 18,415% a 7,34%. Diferem também na mortalidade geral — 492 por 100 mil na classe sem vigilância contra 709 na regular —, diferença compatível com estrutura etária mais jovem nos municípios pequenos do Norte e Nordeste que compõem a classe.</w:t>
      </w:r>
    </w:p>
    <w:p>
      <w:pPr>
        <w:pStyle w:val="Heading2"/>
      </w:pPr>
      <w:r>
        <w:t>3.4 O gradiente, e o que ele separa</w:t>
      </w:r>
    </w:p>
    <w:p>
      <w:r>
        <w:t>A Tabela S7 e a Figura 3 trazem o resultado central. Comparados aos municípios de vigilância regular, os sem vigilância têm:</w:t>
      </w:r>
    </w:p>
    <w:p>
      <w:pPr>
        <w:pStyle w:val="ListBullet"/>
      </w:pPr>
      <w:r>
        <w:rPr>
          <w:b/>
        </w:rPr>
        <w:t>mortalidade por A00–A09 1,158 vez maior</w:t>
      </w:r>
      <w:r>
        <w:t>;</w:t>
      </w:r>
    </w:p>
    <w:p>
      <w:pPr>
        <w:pStyle w:val="ListBullet"/>
      </w:pPr>
      <w:r>
        <w:rPr>
          <w:b/>
        </w:rPr>
        <w:t>mortalidade por infecção respiratória 0,558 vez</w:t>
      </w:r>
      <w:r>
        <w:t>, isto é, 44% menor.</w:t>
      </w:r>
    </w:p>
    <w:p>
      <w:r>
        <w:t xml:space="preserve">As duas causas pertencem ao mesmo subgrupo do mesmo instrumento oficial, e se movem em direções opostas. A razão de razões é </w:t>
      </w:r>
      <w:r>
        <w:rPr>
          <w:b/>
        </w:rPr>
        <w:t>2,075</w:t>
      </w:r>
      <w:r>
        <w:t>.</w:t>
      </w:r>
    </w:p>
    <w:p>
      <w:r>
        <w:t>O gradiente é monotônico ao longo das quatro classes: 2,075 na ausência de vigilância, 1,525 na vigilância rara, 1,182 na parcial, 1 na regular.</w:t>
      </w:r>
    </w:p>
    <w:p>
      <w:pPr>
        <w:spacing w:before="200" w:after="40"/>
        <w:jc w:val="center"/>
      </w:pPr>
      <w:r>
        <w:drawing>
          <wp:inline xmlns:a="http://schemas.openxmlformats.org/drawingml/2006/main" xmlns:pic="http://schemas.openxmlformats.org/drawingml/2006/picture">
            <wp:extent cx="5760720" cy="3157045"/>
            <wp:docPr id="3" name="Picture 3"/>
            <wp:cNvGraphicFramePr>
              <a:graphicFrameLocks noChangeAspect="1"/>
            </wp:cNvGraphicFramePr>
            <a:graphic>
              <a:graphicData uri="http://schemas.openxmlformats.org/drawingml/2006/picture">
                <pic:pic>
                  <pic:nvPicPr>
                    <pic:cNvPr id="0" name="figura_03_gradiente.png"/>
                    <pic:cNvPicPr/>
                  </pic:nvPicPr>
                  <pic:blipFill>
                    <a:blip r:embed="rId11"/>
                    <a:stretch>
                      <a:fillRect/>
                    </a:stretch>
                  </pic:blipFill>
                  <pic:spPr>
                    <a:xfrm>
                      <a:off x="0" y="0"/>
                      <a:ext cx="5760720" cy="3157045"/>
                    </a:xfrm>
                    <a:prstGeom prst="rect"/>
                  </pic:spPr>
                </pic:pic>
              </a:graphicData>
            </a:graphic>
          </wp:inline>
        </w:drawing>
      </w:r>
    </w:p>
    <w:p>
      <w:pPr>
        <w:spacing w:before="40" w:after="280"/>
      </w:pPr>
      <w:r>
        <w:rPr>
          <w:color w:val="52514E"/>
          <w:sz w:val="18"/>
        </w:rPr>
        <w:t>Figura 3. Razão de mortalidade contra a classe de vigilância regular, para as duas entradas do subgrupo 1.2 da Lista Brasileira: doenças infecciosas intestinais (via hídrica) e infecções respiratórias (controle negativo). As duas causas são declaradas evitáveis pelo mesmo tipo de ação no instrumento oficial. Fonte: Tabela S7.</w:t>
      </w:r>
    </w:p>
    <w:p>
      <w:pPr>
        <w:pStyle w:val="Heading2"/>
      </w:pPr>
      <w:r>
        <w:t>3.5 Os critérios</w:t>
      </w:r>
    </w:p>
    <w:p>
      <w:r>
        <w:t>A Tabela S8 e a Figura 4 trazem os quatro testes com intervalo de confiança:</w:t>
      </w:r>
    </w:p>
    <w:p>
      <w:r>
        <w:t>| critério | pré-declarado | RRR | IC95% | exclui 1 |</w:t>
      </w:r>
    </w:p>
    <w:p>
      <w:r>
        <w:t>|---|---|---|---|---|</w:t>
      </w:r>
    </w:p>
    <w:p>
      <w:r>
        <w:t xml:space="preserve">| 1. especificidade | sim | </w:t>
      </w:r>
      <w:r>
        <w:rPr>
          <w:b/>
        </w:rPr>
        <w:t>2,075</w:t>
      </w:r>
      <w:r>
        <w:t xml:space="preserve"> | 1,776–2,518 | sim |</w:t>
      </w:r>
    </w:p>
    <w:p>
      <w:r>
        <w:t xml:space="preserve">| 2. ajustado por acesso à água | sim | </w:t>
      </w:r>
      <w:r>
        <w:rPr>
          <w:b/>
        </w:rPr>
        <w:t>1,926</w:t>
      </w:r>
      <w:r>
        <w:t xml:space="preserve"> | 1,618–2,225 | sim |</w:t>
      </w:r>
    </w:p>
    <w:p>
      <w:r>
        <w:t>| sensibilidade (só pneumonia e influenza) | sim | 2,087 | 1,785–2,535 | sim |</w:t>
      </w:r>
    </w:p>
    <w:p>
      <w:r>
        <w:t xml:space="preserve">| 4. padronizado por idade | </w:t>
      </w:r>
      <w:r>
        <w:rPr>
          <w:b/>
        </w:rPr>
        <w:t>não</w:t>
      </w:r>
      <w:r>
        <w:t xml:space="preserve"> | </w:t>
      </w:r>
      <w:r>
        <w:rPr>
          <w:b/>
        </w:rPr>
        <w:t>1,767</w:t>
      </w:r>
      <w:r>
        <w:t xml:space="preserve"> | 1,518–2,021 | sim |</w:t>
      </w:r>
    </w:p>
    <w:p>
      <w:r>
        <w:t>Os três critérios declarados antes foram aprovados. O ajuste por acesso à água custou 7% do efeito; a padronização por idade, post-hoc, custou outros 15%. O que resta — 1,767 — permanece com intervalo que exclui 1 por margem confortável.</w:t>
      </w:r>
    </w:p>
    <w:p>
      <w:r>
        <w:t>A análise de sensibilidade merece nota. Trocar o controle oficial pela definição estrita de pneumonia e influenza produz 2,087 contra 2,075 — praticamente o mesmo valor. O achado não depende da escolha do comparador dentro do subgrupo.</w:t>
      </w:r>
    </w:p>
    <w:p>
      <w:pPr>
        <w:spacing w:before="200" w:after="40"/>
        <w:jc w:val="center"/>
      </w:pPr>
      <w:r>
        <w:drawing>
          <wp:inline xmlns:a="http://schemas.openxmlformats.org/drawingml/2006/main" xmlns:pic="http://schemas.openxmlformats.org/drawingml/2006/picture">
            <wp:extent cx="5760720" cy="2255010"/>
            <wp:docPr id="4" name="Picture 4"/>
            <wp:cNvGraphicFramePr>
              <a:graphicFrameLocks noChangeAspect="1"/>
            </wp:cNvGraphicFramePr>
            <a:graphic>
              <a:graphicData uri="http://schemas.openxmlformats.org/drawingml/2006/picture">
                <pic:pic>
                  <pic:nvPicPr>
                    <pic:cNvPr id="0" name="figura_04_criterios.png"/>
                    <pic:cNvPicPr/>
                  </pic:nvPicPr>
                  <pic:blipFill>
                    <a:blip r:embed="rId12"/>
                    <a:stretch>
                      <a:fillRect/>
                    </a:stretch>
                  </pic:blipFill>
                  <pic:spPr>
                    <a:xfrm>
                      <a:off x="0" y="0"/>
                      <a:ext cx="5760720" cy="2255010"/>
                    </a:xfrm>
                    <a:prstGeom prst="rect"/>
                  </pic:spPr>
                </pic:pic>
              </a:graphicData>
            </a:graphic>
          </wp:inline>
        </w:drawing>
      </w:r>
    </w:p>
    <w:p>
      <w:pPr>
        <w:spacing w:before="40" w:after="280"/>
      </w:pPr>
      <w:r>
        <w:rPr>
          <w:color w:val="52514E"/>
          <w:sz w:val="18"/>
        </w:rPr>
        <w:t>Figura 4. Razão de razões e intervalo de confiança de 95% por bootstrap de município. Marcador cheio indica critério declarado antes da análise; marcador vazado indica teste post-hoc. A linha tracejada em 1 é o valor que refuta a interpretação hídrica. Fonte: Tabela S8.</w:t>
      </w:r>
    </w:p>
    <w:p>
      <w:pPr>
        <w:pStyle w:val="Heading2"/>
      </w:pPr>
      <w:r>
        <w:t>3.6 O ajuste por acesso, quartil a quartil</w:t>
      </w:r>
    </w:p>
    <w:p>
      <w:r>
        <w:t xml:space="preserve">O critério 2 é o que separa </w:t>
      </w:r>
      <w:r>
        <w:rPr>
          <w:b/>
        </w:rPr>
        <w:t>vigilância</w:t>
      </w:r>
      <w:r>
        <w:t xml:space="preserve"> de </w:t>
      </w:r>
      <w:r>
        <w:rPr>
          <w:b/>
        </w:rPr>
        <w:t>acesso</w:t>
      </w:r>
      <w:r>
        <w:t>, e a Tabela S11 mostra por que ele sobrevive. Dentro de cada quartil de domicílios sem ligação à rede, o RRR é:</w:t>
      </w:r>
    </w:p>
    <w:p>
      <w:r>
        <w:t>| quartil | mediana sem água | óbitos A00–A09 | RRR |</w:t>
      </w:r>
    </w:p>
    <w:p>
      <w:r>
        <w:t>|---|---|---|---|</w:t>
      </w:r>
    </w:p>
    <w:p>
      <w:r>
        <w:t xml:space="preserve">| Q1 | 4,99% | 26.984 | </w:t>
      </w:r>
      <w:r>
        <w:rPr>
          <w:b/>
        </w:rPr>
        <w:t>2,008</w:t>
      </w:r>
      <w:r>
        <w:t xml:space="preserve"> |</w:t>
      </w:r>
    </w:p>
    <w:p>
      <w:r>
        <w:t>| Q2 | 13,30% | 8.628 | 1,415 |</w:t>
      </w:r>
    </w:p>
    <w:p>
      <w:r>
        <w:t>| Q3 | 24,51% | 7.341 | 1,781 |</w:t>
      </w:r>
    </w:p>
    <w:p>
      <w:r>
        <w:t>| Q4 | 43,89% | 6.476 | 2,149 |</w:t>
      </w:r>
    </w:p>
    <w:p>
      <w:r>
        <w:t xml:space="preserve">O RRR é maior que 1 nos quatro quartis, e o valor no </w:t>
      </w:r>
      <w:r>
        <w:rPr>
          <w:b/>
        </w:rPr>
        <w:t>Q1 é 2,008</w:t>
      </w:r>
      <w:r>
        <w:t xml:space="preserve"> — isto é, entre os municípios em que praticamente todos os domicílios têm ligação à rede, a ausência de vigilância ainda separa as duas causas por um fator de dois. Ter água encanada e não verificá-la não é equivalente a verificá-la.</w:t>
      </w:r>
    </w:p>
    <w:p>
      <w:r>
        <w:t>O padrão não é monotônico ao longo dos quartis, e isso vai relatado como está: a associação não cresce com a precariedade do acesso, o que é um argumento adicional contra a leitura de que ela seja apenas gradiente socioeconômico.</w:t>
      </w:r>
    </w:p>
    <w:p>
      <w:pPr>
        <w:pStyle w:val="Heading2"/>
      </w:pPr>
      <w:r>
        <w:t>3.7 O formato por idade</w:t>
      </w:r>
    </w:p>
    <w:p>
      <w:r>
        <w:t xml:space="preserve">A Tabela S9 e a Figura 5 trazem o RRR dentro de cada faixa etária. Ele é maior que 1 em </w:t>
      </w:r>
      <w:r>
        <w:rPr>
          <w:b/>
        </w:rPr>
        <w:t>todas as oito</w:t>
      </w:r>
      <w:r>
        <w:t xml:space="preserve">, e o máximo está em </w:t>
      </w:r>
      <w:r>
        <w:rPr>
          <w:b/>
        </w:rPr>
        <w:t>crianças de 1 a 4 anos (2,432)</w:t>
      </w:r>
      <w:r>
        <w:t>, seguido por 15–29 (2,151) e 45–59 (2,086). A razão para A00–A09 isoladamente também tem o seu máximo em 1–4 anos (2,518).</w:t>
      </w:r>
    </w:p>
    <w:p>
      <w:r>
        <w:t>Esse formato é, na avaliação dos autores, a evidência mais informativa do conjunto — mais do que o valor agregado ou o intervalo de confiança. A faixa de 1 a 4 anos é aquela em que a doença diarreica por água insegura mata com maior intensidade reconhecida na literatura internacional, e é a faixa em que a associação é mais forte. Nem artefato de codificação nem gradiente de pobreza têm razão para escolher precisamente essa faixa.</w:t>
      </w:r>
    </w:p>
    <w:p>
      <w:r>
        <w:t>A exceção é a faixa de menores de 1 ano (RRR 1,529), em que o controle respiratório se comporta de modo diferente (RR 1,43, o único acima de 1 entre as faixas). A mortalidade infantil precoce é dominada por causas perinatais e por um padrão de acesso a serviço distinto do restante da vida, e a leitura das duas causas ali não é comparável à das demais faixas.</w:t>
      </w:r>
    </w:p>
    <w:p>
      <w:pPr>
        <w:spacing w:before="200" w:after="40"/>
        <w:jc w:val="center"/>
      </w:pPr>
      <w:r>
        <w:drawing>
          <wp:inline xmlns:a="http://schemas.openxmlformats.org/drawingml/2006/main" xmlns:pic="http://schemas.openxmlformats.org/drawingml/2006/picture">
            <wp:extent cx="5760720" cy="2805313"/>
            <wp:docPr id="5" name="Picture 5"/>
            <wp:cNvGraphicFramePr>
              <a:graphicFrameLocks noChangeAspect="1"/>
            </wp:cNvGraphicFramePr>
            <a:graphic>
              <a:graphicData uri="http://schemas.openxmlformats.org/drawingml/2006/picture">
                <pic:pic>
                  <pic:nvPicPr>
                    <pic:cNvPr id="0" name="figura_05_rrr_por_idade.png"/>
                    <pic:cNvPicPr/>
                  </pic:nvPicPr>
                  <pic:blipFill>
                    <a:blip r:embed="rId13"/>
                    <a:stretch>
                      <a:fillRect/>
                    </a:stretch>
                  </pic:blipFill>
                  <pic:spPr>
                    <a:xfrm>
                      <a:off x="0" y="0"/>
                      <a:ext cx="5760720" cy="2805313"/>
                    </a:xfrm>
                    <a:prstGeom prst="rect"/>
                  </pic:spPr>
                </pic:pic>
              </a:graphicData>
            </a:graphic>
          </wp:inline>
        </w:drawing>
      </w:r>
    </w:p>
    <w:p>
      <w:pPr>
        <w:spacing w:before="40" w:after="280"/>
      </w:pPr>
      <w:r>
        <w:rPr>
          <w:color w:val="52514E"/>
          <w:sz w:val="18"/>
        </w:rPr>
        <w:t>Figura 5. Razão de razões dentro de cada faixa etária, o que neutraliza a composição etária sem exigir denominador populacional por idade. O valor é maior que 1 nas oito faixas, com o máximo em crianças de 1 a 4 anos. Fonte: Tabela S9.</w:t>
      </w:r>
    </w:p>
    <w:p>
      <w:pPr>
        <w:pStyle w:val="Heading1"/>
      </w:pPr>
      <w:r>
        <w:t>4. Discussão</w:t>
      </w:r>
    </w:p>
    <w:p>
      <w:pPr>
        <w:pStyle w:val="Heading2"/>
      </w:pPr>
      <w:r>
        <w:t>4.1 O que foi medido</w:t>
      </w:r>
    </w:p>
    <w:p>
      <w:r>
        <w:t>Entre 2019 e 2024, a mortalidade brasileira por doenças infecciosas intestinais subiu 47%. A alta sobrevive ao exame das quatro explicações alternativas conhecidas, e é acompanhada por uma associação específica com a ausência de vigilância da qualidade da água, medida contra um controle negativo extraído do próprio instrumento oficial de mortalidade evitável.</w:t>
      </w:r>
    </w:p>
    <w:p>
      <w:pPr>
        <w:pStyle w:val="Heading2"/>
      </w:pPr>
      <w:r>
        <w:t>4.2 O que este desenho não autoriza</w:t>
      </w:r>
    </w:p>
    <w:p>
      <w:r>
        <w:t xml:space="preserve">É um estudo </w:t>
      </w:r>
      <w:r>
        <w:rPr>
          <w:b/>
        </w:rPr>
        <w:t>ecológico</w:t>
      </w:r>
      <w:r>
        <w:t xml:space="preserve">. A unidade é o município, e nada aqui autoriza afirmar que a pessoa que morreu consumiu água não vigiada; a falácia ecológica é um risco real e declarado. A exposição é </w:t>
      </w:r>
      <w:r>
        <w:rPr>
          <w:b/>
        </w:rPr>
        <w:t>ausência de registro de vigilância</w:t>
      </w:r>
      <w:r>
        <w:t>, que não é ausência de vigilância — um município pode analisar e não reportar — e muito menos é água contaminada. É ausência da prova.</w:t>
      </w:r>
    </w:p>
    <w:p>
      <w:r>
        <w:t>O desenho não estabelece mecanismo. Ele estabelece que duas causas que o instrumento oficial trata como equivalentes se comportam de modo diferente conforme a vigilância da água, e que essa diferença resiste ao ajuste por acesso e por idade.</w:t>
      </w:r>
    </w:p>
    <w:p>
      <w:r>
        <w:t>Há ainda um confundidor que o desenho não elimina: municípios que não reportam ao SISAGUA podem ter sistemas de vigilância em saúde mais frágeis em geral, o que afetaria a detecção e a codificação de causas específicas. O controle negativo protege parcialmente contra isso — fragilidade geral de registro deprimiria as duas causas —, mas não protege contra fragilidade que atinja diferencialmente o diagnóstico de doença entérica.</w:t>
      </w:r>
    </w:p>
    <w:p>
      <w:pPr>
        <w:pStyle w:val="Heading2"/>
      </w:pPr>
      <w:r>
        <w:t>4.3 A lacuna no instrumento</w:t>
      </w:r>
    </w:p>
    <w:p>
      <w:r>
        <w:t xml:space="preserve">O achado secundário é sobre a Lista Brasileira. Ela classifica as doenças infecciosas intestinais como evitáveis e as agrupa sob "promoção à saúde, prevenção, controle e atenção às doenças de causas infecciosas", ao lado de HIV, tuberculose e infecção urinária. O mecanismo pelo qual a morte por diarreia é evitada — água tratada e vigiada — </w:t>
      </w:r>
      <w:r>
        <w:rPr>
          <w:b/>
        </w:rPr>
        <w:t>não aparece em nenhum subgrupo da lista</w:t>
      </w:r>
      <w:r>
        <w:t>.</w:t>
      </w:r>
    </w:p>
    <w:p>
      <w:r>
        <w:t>Isso importa além da nomenclatura. Um instrumento de mortalidade evitável é lido como agenda: ele diz ao gestor onde a morte pode ser impedida e por qual via. Ao não nomear o saneamento, a Lista deixa a resposta à morte por diarreia dentro do vocabulário da atenção à saúde — promoção, prevenção, controle — quando o determinante é de infraestrutura e de vigilância ambiental, exercido por outro setor e com outro orçamento.</w:t>
      </w:r>
    </w:p>
    <w:p>
      <w:r>
        <w:t>Esta observação é irmã de outra, já reportada em trabalho anterior dos mesmos autores sobre o subgrupo 1.1 da mesma Lista: o subgrupo de imunoprevenção descreve o calendário vacinal de 2010 e identifica 4,03 óbitos por 10 mil, número que não se move há uma década. Os dois achados apontam para o mesmo lugar por caminhos diferentes — um instrumento que envelheceu no conteúdo, e outro que é cego ao mecanismo.</w:t>
      </w:r>
    </w:p>
    <w:p>
      <w:pPr>
        <w:pStyle w:val="Heading2"/>
      </w:pPr>
      <w:r>
        <w:t>4.4 Relação com a literatura</w:t>
      </w:r>
    </w:p>
    <w:p>
      <w:r>
        <w:t xml:space="preserve">A literatura brasileira que relaciona saneamento e mortalidade por diarreia usa, como exposição, o </w:t>
      </w:r>
      <w:r>
        <w:rPr>
          <w:b/>
        </w:rPr>
        <w:t>acesso</w:t>
      </w:r>
      <w:r>
        <w:t xml:space="preserve"> à infraestrutura. O trabalho mais próximo em desenho — ecológico, com 3.467 municípios e binomial negativa — mede acesso à água, esgoto e coleta de resíduos combinados a transferência condicionada de renda, restringe o desfecho a menores de 5 anos e termina a série em 2016. Outro estudo relaciona investimento em saneamento a internações por doenças de veiculação hídrica em nível estadual. Uma avaliação da vigilância na região metropolitana do Rio de Janeiro correlacionou achados microbiológicos do SISAGUA com prevalência de protozoose intestinal, sem desfecho de mortalidade.</w:t>
      </w:r>
    </w:p>
    <w:p>
      <w:r>
        <w:t>O uso do SISAGUA é raro. Uma busca no PubMed recupera doze artigos que o mencionam; deles, dois ligam o sistema a um desfecho de saúde — cárie dentária por cobertura de fluoretação, e mortalidade por câncer em 203 municípios da bacia do Rio Doce após o rompimento da barragem de Fundão. Os demais descrevem o sistema, avaliam completude de dados ou reportam contaminação química.</w:t>
      </w:r>
    </w:p>
    <w:p>
      <w:r>
        <w:t xml:space="preserve">Vários desses trabalhos registram o não-reporte como </w:t>
      </w:r>
      <w:r>
        <w:rPr>
          <w:b/>
        </w:rPr>
        <w:t>limitação</w:t>
      </w:r>
      <w:r>
        <w:t xml:space="preserve">. Este artigo o trata como </w:t>
      </w:r>
      <w:r>
        <w:rPr>
          <w:b/>
        </w:rPr>
        <w:t>exposição</w:t>
      </w:r>
      <w:r>
        <w:t>. É a mesma observação lida ao contrário, e é a contribuição metodológica que ele pretende oferecer.</w:t>
      </w:r>
    </w:p>
    <w:p>
      <w:pPr>
        <w:pStyle w:val="Heading2"/>
      </w:pPr>
      <w:r>
        <w:t>4.5 Implicações</w:t>
      </w:r>
    </w:p>
    <w:p>
      <w:r>
        <w:t>Se a associação medida refletir mecanismo, a implicação é direta: os 384 municípios sem qualquer registro de vigilância no período constituem um alvo identificável e nominal, e a Tabela S10 os distribui por unidade da federação. Se ela refletir apenas marcador, o valor do achado passa a ser diagnóstico: a ausência de reporte ao SISAGUA identifica municípios em que a mortalidade por causa evitável se comporta de modo anômalo, e isso é informação de vigilância mesmo sem relação causal.</w:t>
      </w:r>
    </w:p>
    <w:p>
      <w:r>
        <w:t xml:space="preserve">Nos dois casos, a recomendação operacional é a mesma e é modesta: </w:t>
      </w:r>
      <w:r>
        <w:rPr>
          <w:b/>
        </w:rPr>
        <w:t>medir</w:t>
      </w:r>
      <w:r>
        <w:t>. Um município que não reporta não é um município sobre o qual nada se sabe — é um município sobre o qual o sistema nacional escolheu não saber.</w:t>
      </w:r>
    </w:p>
    <w:p>
      <w:pPr>
        <w:pStyle w:val="Heading1"/>
      </w:pPr>
      <w:r>
        <w:t>5. Material suplementar</w:t>
      </w:r>
    </w:p>
    <w:p>
      <w:r>
        <w:t xml:space="preserve">As onze tabelas que sustentam cada número deste manuscrito estão publicadas como material suplementar, em CSV, e são regeradas por </w:t>
      </w:r>
      <w:r>
        <w:rPr>
          <w:rFonts w:ascii="Consolas" w:hAnsi="Consolas"/>
          <w:sz w:val="19"/>
        </w:rPr>
        <w:t>artigo-agua/gerar_tabelas.py</w:t>
      </w:r>
      <w:r>
        <w:t xml:space="preserve">, que </w:t>
      </w:r>
      <w:r>
        <w:rPr>
          <w:b/>
        </w:rPr>
        <w:t>reexecuta a análise</w:t>
      </w:r>
      <w:r>
        <w:t xml:space="preserve"> antes de formatar. As cinco figuras são geradas por </w:t>
      </w:r>
      <w:r>
        <w:rPr>
          <w:rFonts w:ascii="Consolas" w:hAnsi="Consolas"/>
          <w:sz w:val="19"/>
        </w:rPr>
        <w:t>artigo-agua/gerar_figuras.py</w:t>
      </w:r>
      <w:r>
        <w:t xml:space="preserve"> a partir das mesmas tabelas, sem nenhum cálculo próprio.</w:t>
      </w:r>
    </w:p>
    <w:p>
      <w:r>
        <w:t xml:space="preserve">Os dados primários — o mart municipal do SISAGUA (397.380 linhas) e a sua tabela de cobertura (5.571 linhas, uma por município do país) — estão publicados com SHA-256 e são citáveis. A nota técnica da Lista Brasileira usada para transcrever o subgrupo 1.2 está arquivada em </w:t>
      </w:r>
      <w:r>
        <w:rPr>
          <w:rFonts w:ascii="Consolas" w:hAnsi="Consolas"/>
          <w:sz w:val="19"/>
        </w:rPr>
        <w:t>data/refs/Obitos_Evitaveis_5_a_74_anos.pdf</w:t>
      </w:r>
      <w:r>
        <w:t>.</w:t>
      </w:r>
    </w:p>
    <w:p>
      <w:pPr>
        <w:pStyle w:val="Heading2"/>
      </w:pPr>
      <w:r>
        <w:t>Figuras</w:t>
      </w:r>
    </w:p>
    <w:p>
      <w:r>
        <w:rPr>
          <w:b/>
        </w:rPr>
        <w:t>Figura 1.</w:t>
      </w:r>
      <w:r>
        <w:t xml:space="preserve"> Óbitos por doenças infecciosas intestinais, Brasil, 2015–2025, em contagem absoluta e por 10 mil óbitos do ano. O ano preliminar aparece com marcador vazado e linha pontilhada. </w:t>
      </w:r>
      <w:r>
        <w:rPr>
          <w:i/>
        </w:rPr>
        <w:t>Fonte: Tabela S2.</w:t>
      </w:r>
    </w:p>
    <w:p>
      <w:r>
        <w:rPr>
          <w:b/>
        </w:rPr>
        <w:t>Figura 2.</w:t>
      </w:r>
      <w:r>
        <w:t xml:space="preserve"> Variação dos óbitos por A00–A09 entre 2019 e 2024, por faixa etária. </w:t>
      </w:r>
      <w:r>
        <w:rPr>
          <w:i/>
        </w:rPr>
        <w:t>Fonte: Tabela S3.</w:t>
      </w:r>
    </w:p>
    <w:p>
      <w:r>
        <w:rPr>
          <w:b/>
        </w:rPr>
        <w:t>Figura 3.</w:t>
      </w:r>
      <w:r>
        <w:t xml:space="preserve"> Razão de mortalidade contra a classe de vigilância regular, para as duas entradas do subgrupo 1.2 da Lista Brasileira. </w:t>
      </w:r>
      <w:r>
        <w:rPr>
          <w:i/>
        </w:rPr>
        <w:t>Fonte: Tabela S7.</w:t>
      </w:r>
    </w:p>
    <w:p>
      <w:r>
        <w:rPr>
          <w:b/>
        </w:rPr>
        <w:t>Figura 4.</w:t>
      </w:r>
      <w:r>
        <w:t xml:space="preserve"> Razão de razões e IC95% para os quatro critérios. Marcador cheio indica critério declarado antes da análise; marcador vazado indica teste post-hoc. </w:t>
      </w:r>
      <w:r>
        <w:rPr>
          <w:i/>
        </w:rPr>
        <w:t>Fonte: Tabela S8.</w:t>
      </w:r>
    </w:p>
    <w:p>
      <w:r>
        <w:rPr>
          <w:b/>
        </w:rPr>
        <w:t>Figura 5.</w:t>
      </w:r>
      <w:r>
        <w:t xml:space="preserve"> Razão de razões dentro de cada faixa etária. </w:t>
      </w:r>
      <w:r>
        <w:rPr>
          <w:i/>
        </w:rPr>
        <w:t>Fonte: Tabela S9.</w:t>
      </w:r>
    </w:p>
    <w:p>
      <w:pPr>
        <w:pStyle w:val="Heading2"/>
      </w:pPr>
      <w:r>
        <w:t>Tabelas</w:t>
      </w:r>
    </w:p>
    <w:p>
      <w:pPr>
        <w:sectPr>
          <w:pgSz w:w="12240" w:h="15840"/>
          <w:pgMar w:top="1417" w:right="1417" w:bottom="1417" w:left="1417" w:header="720" w:footer="720" w:gutter="0"/>
          <w:cols w:space="720"/>
          <w:docGrid w:linePitch="360"/>
        </w:sectPr>
      </w:pPr>
    </w:p>
    <w:p>
      <w:pPr>
        <w:pStyle w:val="Heading1"/>
      </w:pPr>
      <w:r>
        <w:t>Material suplementar</w:t>
      </w:r>
    </w:p>
    <w:p>
      <w:r>
        <w:t>As tabelas a seguir são as citadas no corpo do artigo, na mesma ordem e com a mesma numeração. Cada uma é gerada por script a partir dos microdados; nenhum valor foi transcrito à mão.</w:t>
      </w:r>
    </w:p>
    <w:p>
      <w:pPr>
        <w:spacing w:before="240" w:after="80"/>
      </w:pPr>
      <w:r>
        <w:rPr>
          <w:b/>
          <w:sz w:val="20"/>
        </w:rPr>
        <w:t>Tabela S1. O recorte: municípios, óbitos e pessoas-ano, 2015–2024</w:t>
      </w:r>
    </w:p>
    <w:tbl>
      <w:tblPr>
        <w:tblStyle w:val="LightGrid-Accent1"/>
        <w:tblW w:type="auto" w:w="0"/>
        <w:jc w:val="center"/>
        <w:tblLayout w:type="fixed"/>
        <w:tblLook w:firstColumn="1" w:firstRow="1" w:lastColumn="0" w:lastRow="0" w:noHBand="0" w:noVBand="1" w:val="04A0"/>
      </w:tblPr>
      <w:tblGrid>
        <w:gridCol w:w="4703"/>
        <w:gridCol w:w="4703"/>
      </w:tblGrid>
      <w:tr>
        <w:tc>
          <w:tcPr>
            <w:tcW w:type="dxa" w:w="4536"/>
          </w:tcPr>
          <w:p>
            <w:r/>
            <w:r>
              <w:rPr>
                <w:b/>
                <w:sz w:val="16"/>
              </w:rPr>
              <w:t>Recorte</w:t>
            </w:r>
          </w:p>
        </w:tc>
        <w:tc>
          <w:tcPr>
            <w:tcW w:type="dxa" w:w="4536"/>
          </w:tcPr>
          <w:p>
            <w:r/>
            <w:r>
              <w:rPr>
                <w:b/>
                <w:sz w:val="16"/>
              </w:rPr>
              <w:t>Valor</w:t>
            </w:r>
          </w:p>
        </w:tc>
      </w:tr>
      <w:tr>
        <w:tc>
          <w:tcPr>
            <w:tcW w:type="dxa" w:w="4536"/>
          </w:tcPr>
          <w:p>
            <w:r/>
            <w:r>
              <w:rPr>
                <w:sz w:val="16"/>
              </w:rPr>
              <w:t>Municípios do país</w:t>
            </w:r>
          </w:p>
        </w:tc>
        <w:tc>
          <w:tcPr>
            <w:tcW w:type="dxa" w:w="4536"/>
          </w:tcPr>
          <w:p>
            <w:r/>
            <w:r>
              <w:rPr>
                <w:sz w:val="16"/>
              </w:rPr>
              <w:t>5571</w:t>
            </w:r>
          </w:p>
        </w:tc>
      </w:tr>
      <w:tr>
        <w:tc>
          <w:tcPr>
            <w:tcW w:type="dxa" w:w="4536"/>
          </w:tcPr>
          <w:p>
            <w:r/>
            <w:r>
              <w:rPr>
                <w:sz w:val="16"/>
              </w:rPr>
              <w:t>Coletados pelo SISAGUA</w:t>
            </w:r>
          </w:p>
        </w:tc>
        <w:tc>
          <w:tcPr>
            <w:tcW w:type="dxa" w:w="4536"/>
          </w:tcPr>
          <w:p>
            <w:r/>
            <w:r>
              <w:rPr>
                <w:sz w:val="16"/>
              </w:rPr>
              <w:t>5570</w:t>
            </w:r>
          </w:p>
        </w:tc>
      </w:tr>
      <w:tr>
        <w:tc>
          <w:tcPr>
            <w:tcW w:type="dxa" w:w="4536"/>
          </w:tcPr>
          <w:p>
            <w:r/>
            <w:r>
              <w:rPr>
                <w:sz w:val="16"/>
              </w:rPr>
              <w:t>Analisáveis (com denominador)</w:t>
            </w:r>
          </w:p>
        </w:tc>
        <w:tc>
          <w:tcPr>
            <w:tcW w:type="dxa" w:w="4536"/>
          </w:tcPr>
          <w:p>
            <w:r/>
            <w:r>
              <w:rPr>
                <w:sz w:val="16"/>
              </w:rPr>
              <w:t>5570</w:t>
            </w:r>
          </w:p>
        </w:tc>
      </w:tr>
      <w:tr>
        <w:tc>
          <w:tcPr>
            <w:tcW w:type="dxa" w:w="4536"/>
          </w:tcPr>
          <w:p>
            <w:r/>
            <w:r>
              <w:rPr>
                <w:sz w:val="16"/>
              </w:rPr>
              <w:t>Óbitos totais 2015–2024</w:t>
            </w:r>
          </w:p>
        </w:tc>
        <w:tc>
          <w:tcPr>
            <w:tcW w:type="dxa" w:w="4536"/>
          </w:tcPr>
          <w:p>
            <w:r/>
            <w:r>
              <w:rPr>
                <w:sz w:val="16"/>
              </w:rPr>
              <w:t>14457218</w:t>
            </w:r>
          </w:p>
        </w:tc>
      </w:tr>
      <w:tr>
        <w:tc>
          <w:tcPr>
            <w:tcW w:type="dxa" w:w="4536"/>
          </w:tcPr>
          <w:p>
            <w:r/>
            <w:r>
              <w:rPr>
                <w:sz w:val="16"/>
              </w:rPr>
              <w:t>Óbitos por A00–A09 (subgrupo 1.2)</w:t>
            </w:r>
          </w:p>
        </w:tc>
        <w:tc>
          <w:tcPr>
            <w:tcW w:type="dxa" w:w="4536"/>
          </w:tcPr>
          <w:p>
            <w:r/>
            <w:r>
              <w:rPr>
                <w:sz w:val="16"/>
              </w:rPr>
              <w:t>49429</w:t>
            </w:r>
          </w:p>
        </w:tc>
      </w:tr>
      <w:tr>
        <w:tc>
          <w:tcPr>
            <w:tcW w:type="dxa" w:w="4536"/>
          </w:tcPr>
          <w:p>
            <w:r/>
            <w:r>
              <w:rPr>
                <w:sz w:val="16"/>
              </w:rPr>
              <w:t>Óbitos por infecção respiratória (subgrupo 1.2)</w:t>
            </w:r>
          </w:p>
        </w:tc>
        <w:tc>
          <w:tcPr>
            <w:tcW w:type="dxa" w:w="4536"/>
          </w:tcPr>
          <w:p>
            <w:r/>
            <w:r>
              <w:rPr>
                <w:sz w:val="16"/>
              </w:rPr>
              <w:t>831816</w:t>
            </w:r>
          </w:p>
        </w:tc>
      </w:tr>
      <w:tr>
        <w:tc>
          <w:tcPr>
            <w:tcW w:type="dxa" w:w="4536"/>
          </w:tcPr>
          <w:p>
            <w:r/>
            <w:r>
              <w:rPr>
                <w:sz w:val="16"/>
              </w:rPr>
              <w:t>Pessoas-ano</w:t>
            </w:r>
          </w:p>
        </w:tc>
        <w:tc>
          <w:tcPr>
            <w:tcW w:type="dxa" w:w="4536"/>
          </w:tcPr>
          <w:p>
            <w:r/>
            <w:r>
              <w:rPr>
                <w:sz w:val="16"/>
              </w:rPr>
              <w:t>2085404546</w:t>
            </w:r>
          </w:p>
        </w:tc>
      </w:tr>
    </w:tbl>
    <w:p>
      <w:pPr>
        <w:spacing w:before="240" w:after="80"/>
      </w:pPr>
      <w:r>
        <w:rPr>
          <w:b/>
          <w:sz w:val="20"/>
        </w:rPr>
        <w:t>Tabela S2. Óbitos por A00–A09, controle respiratório e causas mal definidas, Brasil, 2015–2025</w:t>
      </w:r>
    </w:p>
    <w:tbl>
      <w:tblPr>
        <w:tblStyle w:val="LightGrid-Accent1"/>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1134"/>
          </w:tcPr>
          <w:p>
            <w:r/>
            <w:r>
              <w:rPr>
                <w:b/>
                <w:sz w:val="16"/>
              </w:rPr>
              <w:t>Ano</w:t>
            </w:r>
          </w:p>
        </w:tc>
        <w:tc>
          <w:tcPr>
            <w:tcW w:type="dxa" w:w="1134"/>
          </w:tcPr>
          <w:p>
            <w:r/>
            <w:r>
              <w:rPr>
                <w:b/>
                <w:sz w:val="16"/>
              </w:rPr>
              <w:t>Óbitos totais</w:t>
            </w:r>
          </w:p>
        </w:tc>
        <w:tc>
          <w:tcPr>
            <w:tcW w:type="dxa" w:w="1134"/>
          </w:tcPr>
          <w:p>
            <w:r/>
            <w:r>
              <w:rPr>
                <w:b/>
                <w:sz w:val="16"/>
              </w:rPr>
              <w:t>Ano preliminar</w:t>
            </w:r>
          </w:p>
        </w:tc>
        <w:tc>
          <w:tcPr>
            <w:tcW w:type="dxa" w:w="1134"/>
          </w:tcPr>
          <w:p>
            <w:r/>
            <w:r>
              <w:rPr>
                <w:b/>
                <w:sz w:val="16"/>
              </w:rPr>
              <w:t>A00-A09</w:t>
            </w:r>
          </w:p>
        </w:tc>
        <w:tc>
          <w:tcPr>
            <w:tcW w:type="dxa" w:w="1134"/>
          </w:tcPr>
          <w:p>
            <w:r/>
            <w:r>
              <w:rPr>
                <w:b/>
                <w:sz w:val="16"/>
              </w:rPr>
              <w:t>Infecção respiratória</w:t>
            </w:r>
          </w:p>
        </w:tc>
        <w:tc>
          <w:tcPr>
            <w:tcW w:type="dxa" w:w="1134"/>
          </w:tcPr>
          <w:p>
            <w:r/>
            <w:r>
              <w:rPr>
                <w:b/>
                <w:sz w:val="16"/>
              </w:rPr>
              <w:t>Mal definidas</w:t>
            </w:r>
          </w:p>
        </w:tc>
        <w:tc>
          <w:tcPr>
            <w:tcW w:type="dxa" w:w="1134"/>
          </w:tcPr>
          <w:p>
            <w:r/>
            <w:r>
              <w:rPr>
                <w:b/>
                <w:sz w:val="16"/>
              </w:rPr>
              <w:t>A00-A09 por 10 mil óbitos</w:t>
            </w:r>
          </w:p>
        </w:tc>
        <w:tc>
          <w:tcPr>
            <w:tcW w:type="dxa" w:w="1134"/>
          </w:tcPr>
          <w:p>
            <w:r/>
            <w:r>
              <w:rPr>
                <w:b/>
                <w:sz w:val="16"/>
              </w:rPr>
              <w:t>% mal definidas</w:t>
            </w:r>
          </w:p>
        </w:tc>
      </w:tr>
      <w:tr>
        <w:tc>
          <w:tcPr>
            <w:tcW w:type="dxa" w:w="1134"/>
          </w:tcPr>
          <w:p>
            <w:r/>
            <w:r>
              <w:rPr>
                <w:sz w:val="16"/>
              </w:rPr>
              <w:t>2015</w:t>
            </w:r>
          </w:p>
        </w:tc>
        <w:tc>
          <w:tcPr>
            <w:tcW w:type="dxa" w:w="1134"/>
          </w:tcPr>
          <w:p>
            <w:r/>
            <w:r>
              <w:rPr>
                <w:sz w:val="16"/>
              </w:rPr>
              <w:t>1264175</w:t>
            </w:r>
          </w:p>
        </w:tc>
        <w:tc>
          <w:tcPr>
            <w:tcW w:type="dxa" w:w="1134"/>
          </w:tcPr>
          <w:p>
            <w:r/>
            <w:r>
              <w:rPr>
                <w:sz w:val="16"/>
              </w:rPr>
              <w:t>False</w:t>
            </w:r>
          </w:p>
        </w:tc>
        <w:tc>
          <w:tcPr>
            <w:tcW w:type="dxa" w:w="1134"/>
          </w:tcPr>
          <w:p>
            <w:r/>
            <w:r>
              <w:rPr>
                <w:sz w:val="16"/>
              </w:rPr>
              <w:t>4372</w:t>
            </w:r>
          </w:p>
        </w:tc>
        <w:tc>
          <w:tcPr>
            <w:tcW w:type="dxa" w:w="1134"/>
          </w:tcPr>
          <w:p>
            <w:r/>
            <w:r>
              <w:rPr>
                <w:sz w:val="16"/>
              </w:rPr>
              <w:t>78450</w:t>
            </w:r>
          </w:p>
        </w:tc>
        <w:tc>
          <w:tcPr>
            <w:tcW w:type="dxa" w:w="1134"/>
          </w:tcPr>
          <w:p>
            <w:r/>
            <w:r>
              <w:rPr>
                <w:sz w:val="16"/>
              </w:rPr>
              <w:t>71713</w:t>
            </w:r>
          </w:p>
        </w:tc>
        <w:tc>
          <w:tcPr>
            <w:tcW w:type="dxa" w:w="1134"/>
          </w:tcPr>
          <w:p>
            <w:r/>
            <w:r>
              <w:rPr>
                <w:sz w:val="16"/>
              </w:rPr>
              <w:t>34.58</w:t>
            </w:r>
          </w:p>
        </w:tc>
        <w:tc>
          <w:tcPr>
            <w:tcW w:type="dxa" w:w="1134"/>
          </w:tcPr>
          <w:p>
            <w:r/>
            <w:r>
              <w:rPr>
                <w:sz w:val="16"/>
              </w:rPr>
              <w:t>5.67</w:t>
            </w:r>
          </w:p>
        </w:tc>
      </w:tr>
      <w:tr>
        <w:tc>
          <w:tcPr>
            <w:tcW w:type="dxa" w:w="1134"/>
          </w:tcPr>
          <w:p>
            <w:r/>
            <w:r>
              <w:rPr>
                <w:sz w:val="16"/>
              </w:rPr>
              <w:t>2016</w:t>
            </w:r>
          </w:p>
        </w:tc>
        <w:tc>
          <w:tcPr>
            <w:tcW w:type="dxa" w:w="1134"/>
          </w:tcPr>
          <w:p>
            <w:r/>
            <w:r>
              <w:rPr>
                <w:sz w:val="16"/>
              </w:rPr>
              <w:t>1309774</w:t>
            </w:r>
          </w:p>
        </w:tc>
        <w:tc>
          <w:tcPr>
            <w:tcW w:type="dxa" w:w="1134"/>
          </w:tcPr>
          <w:p>
            <w:r/>
            <w:r>
              <w:rPr>
                <w:sz w:val="16"/>
              </w:rPr>
              <w:t>False</w:t>
            </w:r>
          </w:p>
        </w:tc>
        <w:tc>
          <w:tcPr>
            <w:tcW w:type="dxa" w:w="1134"/>
          </w:tcPr>
          <w:p>
            <w:r/>
            <w:r>
              <w:rPr>
                <w:sz w:val="16"/>
              </w:rPr>
              <w:t>4793</w:t>
            </w:r>
          </w:p>
        </w:tc>
        <w:tc>
          <w:tcPr>
            <w:tcW w:type="dxa" w:w="1134"/>
          </w:tcPr>
          <w:p>
            <w:r/>
            <w:r>
              <w:rPr>
                <w:sz w:val="16"/>
              </w:rPr>
              <w:t>84068</w:t>
            </w:r>
          </w:p>
        </w:tc>
        <w:tc>
          <w:tcPr>
            <w:tcW w:type="dxa" w:w="1134"/>
          </w:tcPr>
          <w:p>
            <w:r/>
            <w:r>
              <w:rPr>
                <w:sz w:val="16"/>
              </w:rPr>
              <w:t>75869</w:t>
            </w:r>
          </w:p>
        </w:tc>
        <w:tc>
          <w:tcPr>
            <w:tcW w:type="dxa" w:w="1134"/>
          </w:tcPr>
          <w:p>
            <w:r/>
            <w:r>
              <w:rPr>
                <w:sz w:val="16"/>
              </w:rPr>
              <w:t>36.59</w:t>
            </w:r>
          </w:p>
        </w:tc>
        <w:tc>
          <w:tcPr>
            <w:tcW w:type="dxa" w:w="1134"/>
          </w:tcPr>
          <w:p>
            <w:r/>
            <w:r>
              <w:rPr>
                <w:sz w:val="16"/>
              </w:rPr>
              <w:t>5.79</w:t>
            </w:r>
          </w:p>
        </w:tc>
      </w:tr>
      <w:tr>
        <w:tc>
          <w:tcPr>
            <w:tcW w:type="dxa" w:w="1134"/>
          </w:tcPr>
          <w:p>
            <w:r/>
            <w:r>
              <w:rPr>
                <w:sz w:val="16"/>
              </w:rPr>
              <w:t>2017</w:t>
            </w:r>
          </w:p>
        </w:tc>
        <w:tc>
          <w:tcPr>
            <w:tcW w:type="dxa" w:w="1134"/>
          </w:tcPr>
          <w:p>
            <w:r/>
            <w:r>
              <w:rPr>
                <w:sz w:val="16"/>
              </w:rPr>
              <w:t>1312663</w:t>
            </w:r>
          </w:p>
        </w:tc>
        <w:tc>
          <w:tcPr>
            <w:tcW w:type="dxa" w:w="1134"/>
          </w:tcPr>
          <w:p>
            <w:r/>
            <w:r>
              <w:rPr>
                <w:sz w:val="16"/>
              </w:rPr>
              <w:t>False</w:t>
            </w:r>
          </w:p>
        </w:tc>
        <w:tc>
          <w:tcPr>
            <w:tcW w:type="dxa" w:w="1134"/>
          </w:tcPr>
          <w:p>
            <w:r/>
            <w:r>
              <w:rPr>
                <w:sz w:val="16"/>
              </w:rPr>
              <w:t>4795</w:t>
            </w:r>
          </w:p>
        </w:tc>
        <w:tc>
          <w:tcPr>
            <w:tcW w:type="dxa" w:w="1134"/>
          </w:tcPr>
          <w:p>
            <w:r/>
            <w:r>
              <w:rPr>
                <w:sz w:val="16"/>
              </w:rPr>
              <w:t>80946</w:t>
            </w:r>
          </w:p>
        </w:tc>
        <w:tc>
          <w:tcPr>
            <w:tcW w:type="dxa" w:w="1134"/>
          </w:tcPr>
          <w:p>
            <w:r/>
            <w:r>
              <w:rPr>
                <w:sz w:val="16"/>
              </w:rPr>
              <w:t>71822</w:t>
            </w:r>
          </w:p>
        </w:tc>
        <w:tc>
          <w:tcPr>
            <w:tcW w:type="dxa" w:w="1134"/>
          </w:tcPr>
          <w:p>
            <w:r/>
            <w:r>
              <w:rPr>
                <w:sz w:val="16"/>
              </w:rPr>
              <w:t>36.53</w:t>
            </w:r>
          </w:p>
        </w:tc>
        <w:tc>
          <w:tcPr>
            <w:tcW w:type="dxa" w:w="1134"/>
          </w:tcPr>
          <w:p>
            <w:r/>
            <w:r>
              <w:rPr>
                <w:sz w:val="16"/>
              </w:rPr>
              <w:t>5.47</w:t>
            </w:r>
          </w:p>
        </w:tc>
      </w:tr>
      <w:tr>
        <w:tc>
          <w:tcPr>
            <w:tcW w:type="dxa" w:w="1134"/>
          </w:tcPr>
          <w:p>
            <w:r/>
            <w:r>
              <w:rPr>
                <w:sz w:val="16"/>
              </w:rPr>
              <w:t>2018</w:t>
            </w:r>
          </w:p>
        </w:tc>
        <w:tc>
          <w:tcPr>
            <w:tcW w:type="dxa" w:w="1134"/>
          </w:tcPr>
          <w:p>
            <w:r/>
            <w:r>
              <w:rPr>
                <w:sz w:val="16"/>
              </w:rPr>
              <w:t>1316719</w:t>
            </w:r>
          </w:p>
        </w:tc>
        <w:tc>
          <w:tcPr>
            <w:tcW w:type="dxa" w:w="1134"/>
          </w:tcPr>
          <w:p>
            <w:r/>
            <w:r>
              <w:rPr>
                <w:sz w:val="16"/>
              </w:rPr>
              <w:t>False</w:t>
            </w:r>
          </w:p>
        </w:tc>
        <w:tc>
          <w:tcPr>
            <w:tcW w:type="dxa" w:w="1134"/>
          </w:tcPr>
          <w:p>
            <w:r/>
            <w:r>
              <w:rPr>
                <w:sz w:val="16"/>
              </w:rPr>
              <w:t>4633</w:t>
            </w:r>
          </w:p>
        </w:tc>
        <w:tc>
          <w:tcPr>
            <w:tcW w:type="dxa" w:w="1134"/>
          </w:tcPr>
          <w:p>
            <w:r/>
            <w:r>
              <w:rPr>
                <w:sz w:val="16"/>
              </w:rPr>
              <w:t>81200</w:t>
            </w:r>
          </w:p>
        </w:tc>
        <w:tc>
          <w:tcPr>
            <w:tcW w:type="dxa" w:w="1134"/>
          </w:tcPr>
          <w:p>
            <w:r/>
            <w:r>
              <w:rPr>
                <w:sz w:val="16"/>
              </w:rPr>
              <w:t>70505</w:t>
            </w:r>
          </w:p>
        </w:tc>
        <w:tc>
          <w:tcPr>
            <w:tcW w:type="dxa" w:w="1134"/>
          </w:tcPr>
          <w:p>
            <w:r/>
            <w:r>
              <w:rPr>
                <w:sz w:val="16"/>
              </w:rPr>
              <w:t>35.19</w:t>
            </w:r>
          </w:p>
        </w:tc>
        <w:tc>
          <w:tcPr>
            <w:tcW w:type="dxa" w:w="1134"/>
          </w:tcPr>
          <w:p>
            <w:r/>
            <w:r>
              <w:rPr>
                <w:sz w:val="16"/>
              </w:rPr>
              <w:t>5.35</w:t>
            </w:r>
          </w:p>
        </w:tc>
      </w:tr>
      <w:tr>
        <w:tc>
          <w:tcPr>
            <w:tcW w:type="dxa" w:w="1134"/>
          </w:tcPr>
          <w:p>
            <w:r/>
            <w:r>
              <w:rPr>
                <w:sz w:val="16"/>
              </w:rPr>
              <w:t>2019</w:t>
            </w:r>
          </w:p>
        </w:tc>
        <w:tc>
          <w:tcPr>
            <w:tcW w:type="dxa" w:w="1134"/>
          </w:tcPr>
          <w:p>
            <w:r/>
            <w:r>
              <w:rPr>
                <w:sz w:val="16"/>
              </w:rPr>
              <w:t>1349801</w:t>
            </w:r>
          </w:p>
        </w:tc>
        <w:tc>
          <w:tcPr>
            <w:tcW w:type="dxa" w:w="1134"/>
          </w:tcPr>
          <w:p>
            <w:r/>
            <w:r>
              <w:rPr>
                <w:sz w:val="16"/>
              </w:rPr>
              <w:t>False</w:t>
            </w:r>
          </w:p>
        </w:tc>
        <w:tc>
          <w:tcPr>
            <w:tcW w:type="dxa" w:w="1134"/>
          </w:tcPr>
          <w:p>
            <w:r/>
            <w:r>
              <w:rPr>
                <w:sz w:val="16"/>
              </w:rPr>
              <w:t>4875</w:t>
            </w:r>
          </w:p>
        </w:tc>
        <w:tc>
          <w:tcPr>
            <w:tcW w:type="dxa" w:w="1134"/>
          </w:tcPr>
          <w:p>
            <w:r/>
            <w:r>
              <w:rPr>
                <w:sz w:val="16"/>
              </w:rPr>
              <w:t>85095</w:t>
            </w:r>
          </w:p>
        </w:tc>
        <w:tc>
          <w:tcPr>
            <w:tcW w:type="dxa" w:w="1134"/>
          </w:tcPr>
          <w:p>
            <w:r/>
            <w:r>
              <w:rPr>
                <w:sz w:val="16"/>
              </w:rPr>
              <w:t>74972</w:t>
            </w:r>
          </w:p>
        </w:tc>
        <w:tc>
          <w:tcPr>
            <w:tcW w:type="dxa" w:w="1134"/>
          </w:tcPr>
          <w:p>
            <w:r/>
            <w:r>
              <w:rPr>
                <w:sz w:val="16"/>
              </w:rPr>
              <w:t>36.12</w:t>
            </w:r>
          </w:p>
        </w:tc>
        <w:tc>
          <w:tcPr>
            <w:tcW w:type="dxa" w:w="1134"/>
          </w:tcPr>
          <w:p>
            <w:r/>
            <w:r>
              <w:rPr>
                <w:sz w:val="16"/>
              </w:rPr>
              <w:t>5.55</w:t>
            </w:r>
          </w:p>
        </w:tc>
      </w:tr>
      <w:tr>
        <w:tc>
          <w:tcPr>
            <w:tcW w:type="dxa" w:w="1134"/>
          </w:tcPr>
          <w:p>
            <w:r/>
            <w:r>
              <w:rPr>
                <w:sz w:val="16"/>
              </w:rPr>
              <w:t>2020</w:t>
            </w:r>
          </w:p>
        </w:tc>
        <w:tc>
          <w:tcPr>
            <w:tcW w:type="dxa" w:w="1134"/>
          </w:tcPr>
          <w:p>
            <w:r/>
            <w:r>
              <w:rPr>
                <w:sz w:val="16"/>
              </w:rPr>
              <w:t>1556824</w:t>
            </w:r>
          </w:p>
        </w:tc>
        <w:tc>
          <w:tcPr>
            <w:tcW w:type="dxa" w:w="1134"/>
          </w:tcPr>
          <w:p>
            <w:r/>
            <w:r>
              <w:rPr>
                <w:sz w:val="16"/>
              </w:rPr>
              <w:t>False</w:t>
            </w:r>
          </w:p>
        </w:tc>
        <w:tc>
          <w:tcPr>
            <w:tcW w:type="dxa" w:w="1134"/>
          </w:tcPr>
          <w:p>
            <w:r/>
            <w:r>
              <w:rPr>
                <w:sz w:val="16"/>
              </w:rPr>
              <w:t>4126</w:t>
            </w:r>
          </w:p>
        </w:tc>
        <w:tc>
          <w:tcPr>
            <w:tcW w:type="dxa" w:w="1134"/>
          </w:tcPr>
          <w:p>
            <w:r/>
            <w:r>
              <w:rPr>
                <w:sz w:val="16"/>
              </w:rPr>
              <w:t>69509</w:t>
            </w:r>
          </w:p>
        </w:tc>
        <w:tc>
          <w:tcPr>
            <w:tcW w:type="dxa" w:w="1134"/>
          </w:tcPr>
          <w:p>
            <w:r/>
            <w:r>
              <w:rPr>
                <w:sz w:val="16"/>
              </w:rPr>
              <w:t>90345</w:t>
            </w:r>
          </w:p>
        </w:tc>
        <w:tc>
          <w:tcPr>
            <w:tcW w:type="dxa" w:w="1134"/>
          </w:tcPr>
          <w:p>
            <w:r/>
            <w:r>
              <w:rPr>
                <w:sz w:val="16"/>
              </w:rPr>
              <w:t>26.5</w:t>
            </w:r>
          </w:p>
        </w:tc>
        <w:tc>
          <w:tcPr>
            <w:tcW w:type="dxa" w:w="1134"/>
          </w:tcPr>
          <w:p>
            <w:r/>
            <w:r>
              <w:rPr>
                <w:sz w:val="16"/>
              </w:rPr>
              <w:t>5.8</w:t>
            </w:r>
          </w:p>
        </w:tc>
      </w:tr>
      <w:tr>
        <w:tc>
          <w:tcPr>
            <w:tcW w:type="dxa" w:w="1134"/>
          </w:tcPr>
          <w:p>
            <w:r/>
            <w:r>
              <w:rPr>
                <w:sz w:val="16"/>
              </w:rPr>
              <w:t>2021</w:t>
            </w:r>
          </w:p>
        </w:tc>
        <w:tc>
          <w:tcPr>
            <w:tcW w:type="dxa" w:w="1134"/>
          </w:tcPr>
          <w:p>
            <w:r/>
            <w:r>
              <w:rPr>
                <w:sz w:val="16"/>
              </w:rPr>
              <w:t>1832649</w:t>
            </w:r>
          </w:p>
        </w:tc>
        <w:tc>
          <w:tcPr>
            <w:tcW w:type="dxa" w:w="1134"/>
          </w:tcPr>
          <w:p>
            <w:r/>
            <w:r>
              <w:rPr>
                <w:sz w:val="16"/>
              </w:rPr>
              <w:t>False</w:t>
            </w:r>
          </w:p>
        </w:tc>
        <w:tc>
          <w:tcPr>
            <w:tcW w:type="dxa" w:w="1134"/>
          </w:tcPr>
          <w:p>
            <w:r/>
            <w:r>
              <w:rPr>
                <w:sz w:val="16"/>
              </w:rPr>
              <w:t>4005</w:t>
            </w:r>
          </w:p>
        </w:tc>
        <w:tc>
          <w:tcPr>
            <w:tcW w:type="dxa" w:w="1134"/>
          </w:tcPr>
          <w:p>
            <w:r/>
            <w:r>
              <w:rPr>
                <w:sz w:val="16"/>
              </w:rPr>
              <w:t>69683</w:t>
            </w:r>
          </w:p>
        </w:tc>
        <w:tc>
          <w:tcPr>
            <w:tcW w:type="dxa" w:w="1134"/>
          </w:tcPr>
          <w:p>
            <w:r/>
            <w:r>
              <w:rPr>
                <w:sz w:val="16"/>
              </w:rPr>
              <w:t>94134</w:t>
            </w:r>
          </w:p>
        </w:tc>
        <w:tc>
          <w:tcPr>
            <w:tcW w:type="dxa" w:w="1134"/>
          </w:tcPr>
          <w:p>
            <w:r/>
            <w:r>
              <w:rPr>
                <w:sz w:val="16"/>
              </w:rPr>
              <w:t>21.85</w:t>
            </w:r>
          </w:p>
        </w:tc>
        <w:tc>
          <w:tcPr>
            <w:tcW w:type="dxa" w:w="1134"/>
          </w:tcPr>
          <w:p>
            <w:r/>
            <w:r>
              <w:rPr>
                <w:sz w:val="16"/>
              </w:rPr>
              <w:t>5.14</w:t>
            </w:r>
          </w:p>
        </w:tc>
      </w:tr>
      <w:tr>
        <w:tc>
          <w:tcPr>
            <w:tcW w:type="dxa" w:w="1134"/>
          </w:tcPr>
          <w:p>
            <w:r/>
            <w:r>
              <w:rPr>
                <w:sz w:val="16"/>
              </w:rPr>
              <w:t>2022</w:t>
            </w:r>
          </w:p>
        </w:tc>
        <w:tc>
          <w:tcPr>
            <w:tcW w:type="dxa" w:w="1134"/>
          </w:tcPr>
          <w:p>
            <w:r/>
            <w:r>
              <w:rPr>
                <w:sz w:val="16"/>
              </w:rPr>
              <w:t>1544266</w:t>
            </w:r>
          </w:p>
        </w:tc>
        <w:tc>
          <w:tcPr>
            <w:tcW w:type="dxa" w:w="1134"/>
          </w:tcPr>
          <w:p>
            <w:r/>
            <w:r>
              <w:rPr>
                <w:sz w:val="16"/>
              </w:rPr>
              <w:t>False</w:t>
            </w:r>
          </w:p>
        </w:tc>
        <w:tc>
          <w:tcPr>
            <w:tcW w:type="dxa" w:w="1134"/>
          </w:tcPr>
          <w:p>
            <w:r/>
            <w:r>
              <w:rPr>
                <w:sz w:val="16"/>
              </w:rPr>
              <w:t>5003</w:t>
            </w:r>
          </w:p>
        </w:tc>
        <w:tc>
          <w:tcPr>
            <w:tcW w:type="dxa" w:w="1134"/>
          </w:tcPr>
          <w:p>
            <w:r/>
            <w:r>
              <w:rPr>
                <w:sz w:val="16"/>
              </w:rPr>
              <w:t>91377</w:t>
            </w:r>
          </w:p>
        </w:tc>
        <w:tc>
          <w:tcPr>
            <w:tcW w:type="dxa" w:w="1134"/>
          </w:tcPr>
          <w:p>
            <w:r/>
            <w:r>
              <w:rPr>
                <w:sz w:val="16"/>
              </w:rPr>
              <w:t>82597</w:t>
            </w:r>
          </w:p>
        </w:tc>
        <w:tc>
          <w:tcPr>
            <w:tcW w:type="dxa" w:w="1134"/>
          </w:tcPr>
          <w:p>
            <w:r/>
            <w:r>
              <w:rPr>
                <w:sz w:val="16"/>
              </w:rPr>
              <w:t>32.4</w:t>
            </w:r>
          </w:p>
        </w:tc>
        <w:tc>
          <w:tcPr>
            <w:tcW w:type="dxa" w:w="1134"/>
          </w:tcPr>
          <w:p>
            <w:r/>
            <w:r>
              <w:rPr>
                <w:sz w:val="16"/>
              </w:rPr>
              <w:t>5.35</w:t>
            </w:r>
          </w:p>
        </w:tc>
      </w:tr>
      <w:tr>
        <w:tc>
          <w:tcPr>
            <w:tcW w:type="dxa" w:w="1134"/>
          </w:tcPr>
          <w:p>
            <w:r/>
            <w:r>
              <w:rPr>
                <w:sz w:val="16"/>
              </w:rPr>
              <w:t>2023</w:t>
            </w:r>
          </w:p>
        </w:tc>
        <w:tc>
          <w:tcPr>
            <w:tcW w:type="dxa" w:w="1134"/>
          </w:tcPr>
          <w:p>
            <w:r/>
            <w:r>
              <w:rPr>
                <w:sz w:val="16"/>
              </w:rPr>
              <w:t>1465610</w:t>
            </w:r>
          </w:p>
        </w:tc>
        <w:tc>
          <w:tcPr>
            <w:tcW w:type="dxa" w:w="1134"/>
          </w:tcPr>
          <w:p>
            <w:r/>
            <w:r>
              <w:rPr>
                <w:sz w:val="16"/>
              </w:rPr>
              <w:t>False</w:t>
            </w:r>
          </w:p>
        </w:tc>
        <w:tc>
          <w:tcPr>
            <w:tcW w:type="dxa" w:w="1134"/>
          </w:tcPr>
          <w:p>
            <w:r/>
            <w:r>
              <w:rPr>
                <w:sz w:val="16"/>
              </w:rPr>
              <w:t>5671</w:t>
            </w:r>
          </w:p>
        </w:tc>
        <w:tc>
          <w:tcPr>
            <w:tcW w:type="dxa" w:w="1134"/>
          </w:tcPr>
          <w:p>
            <w:r/>
            <w:r>
              <w:rPr>
                <w:sz w:val="16"/>
              </w:rPr>
              <w:t>88756</w:t>
            </w:r>
          </w:p>
        </w:tc>
        <w:tc>
          <w:tcPr>
            <w:tcW w:type="dxa" w:w="1134"/>
          </w:tcPr>
          <w:p>
            <w:r/>
            <w:r>
              <w:rPr>
                <w:sz w:val="16"/>
              </w:rPr>
              <w:t>71128</w:t>
            </w:r>
          </w:p>
        </w:tc>
        <w:tc>
          <w:tcPr>
            <w:tcW w:type="dxa" w:w="1134"/>
          </w:tcPr>
          <w:p>
            <w:r/>
            <w:r>
              <w:rPr>
                <w:sz w:val="16"/>
              </w:rPr>
              <w:t>38.69</w:t>
            </w:r>
          </w:p>
        </w:tc>
        <w:tc>
          <w:tcPr>
            <w:tcW w:type="dxa" w:w="1134"/>
          </w:tcPr>
          <w:p>
            <w:r/>
            <w:r>
              <w:rPr>
                <w:sz w:val="16"/>
              </w:rPr>
              <w:t>4.85</w:t>
            </w:r>
          </w:p>
        </w:tc>
      </w:tr>
      <w:tr>
        <w:tc>
          <w:tcPr>
            <w:tcW w:type="dxa" w:w="1134"/>
          </w:tcPr>
          <w:p>
            <w:r/>
            <w:r>
              <w:rPr>
                <w:sz w:val="16"/>
              </w:rPr>
              <w:t>2024</w:t>
            </w:r>
          </w:p>
        </w:tc>
        <w:tc>
          <w:tcPr>
            <w:tcW w:type="dxa" w:w="1134"/>
          </w:tcPr>
          <w:p>
            <w:r/>
            <w:r>
              <w:rPr>
                <w:sz w:val="16"/>
              </w:rPr>
              <w:t>1532015</w:t>
            </w:r>
          </w:p>
        </w:tc>
        <w:tc>
          <w:tcPr>
            <w:tcW w:type="dxa" w:w="1134"/>
          </w:tcPr>
          <w:p>
            <w:r/>
            <w:r>
              <w:rPr>
                <w:sz w:val="16"/>
              </w:rPr>
              <w:t>False</w:t>
            </w:r>
          </w:p>
        </w:tc>
        <w:tc>
          <w:tcPr>
            <w:tcW w:type="dxa" w:w="1134"/>
          </w:tcPr>
          <w:p>
            <w:r/>
            <w:r>
              <w:rPr>
                <w:sz w:val="16"/>
              </w:rPr>
              <w:t>7177</w:t>
            </w:r>
          </w:p>
        </w:tc>
        <w:tc>
          <w:tcPr>
            <w:tcW w:type="dxa" w:w="1134"/>
          </w:tcPr>
          <w:p>
            <w:r/>
            <w:r>
              <w:rPr>
                <w:sz w:val="16"/>
              </w:rPr>
              <w:t>103726</w:t>
            </w:r>
          </w:p>
        </w:tc>
        <w:tc>
          <w:tcPr>
            <w:tcW w:type="dxa" w:w="1134"/>
          </w:tcPr>
          <w:p>
            <w:r/>
            <w:r>
              <w:rPr>
                <w:sz w:val="16"/>
              </w:rPr>
              <w:t>69088</w:t>
            </w:r>
          </w:p>
        </w:tc>
        <w:tc>
          <w:tcPr>
            <w:tcW w:type="dxa" w:w="1134"/>
          </w:tcPr>
          <w:p>
            <w:r/>
            <w:r>
              <w:rPr>
                <w:sz w:val="16"/>
              </w:rPr>
              <w:t>46.85</w:t>
            </w:r>
          </w:p>
        </w:tc>
        <w:tc>
          <w:tcPr>
            <w:tcW w:type="dxa" w:w="1134"/>
          </w:tcPr>
          <w:p>
            <w:r/>
            <w:r>
              <w:rPr>
                <w:sz w:val="16"/>
              </w:rPr>
              <w:t>4.51</w:t>
            </w:r>
          </w:p>
        </w:tc>
      </w:tr>
      <w:tr>
        <w:tc>
          <w:tcPr>
            <w:tcW w:type="dxa" w:w="1134"/>
          </w:tcPr>
          <w:p>
            <w:r/>
            <w:r>
              <w:rPr>
                <w:sz w:val="16"/>
              </w:rPr>
              <w:t>2025</w:t>
            </w:r>
          </w:p>
        </w:tc>
        <w:tc>
          <w:tcPr>
            <w:tcW w:type="dxa" w:w="1134"/>
          </w:tcPr>
          <w:p>
            <w:r/>
            <w:r>
              <w:rPr>
                <w:sz w:val="16"/>
              </w:rPr>
              <w:t>1534588</w:t>
            </w:r>
          </w:p>
        </w:tc>
        <w:tc>
          <w:tcPr>
            <w:tcW w:type="dxa" w:w="1134"/>
          </w:tcPr>
          <w:p>
            <w:r/>
            <w:r>
              <w:rPr>
                <w:sz w:val="16"/>
              </w:rPr>
              <w:t>True</w:t>
            </w:r>
          </w:p>
        </w:tc>
        <w:tc>
          <w:tcPr>
            <w:tcW w:type="dxa" w:w="1134"/>
          </w:tcPr>
          <w:p>
            <w:r/>
            <w:r>
              <w:rPr>
                <w:sz w:val="16"/>
              </w:rPr>
              <w:t>6885</w:t>
            </w:r>
          </w:p>
        </w:tc>
        <w:tc>
          <w:tcPr>
            <w:tcW w:type="dxa" w:w="1134"/>
          </w:tcPr>
          <w:p>
            <w:r/>
            <w:r>
              <w:rPr>
                <w:sz w:val="16"/>
              </w:rPr>
              <w:t>106372</w:t>
            </w:r>
          </w:p>
        </w:tc>
        <w:tc>
          <w:tcPr>
            <w:tcW w:type="dxa" w:w="1134"/>
          </w:tcPr>
          <w:p>
            <w:r/>
            <w:r>
              <w:rPr>
                <w:sz w:val="16"/>
              </w:rPr>
              <w:t>69172</w:t>
            </w:r>
          </w:p>
        </w:tc>
        <w:tc>
          <w:tcPr>
            <w:tcW w:type="dxa" w:w="1134"/>
          </w:tcPr>
          <w:p>
            <w:r/>
            <w:r>
              <w:rPr>
                <w:sz w:val="16"/>
              </w:rPr>
              <w:t>44.87</w:t>
            </w:r>
          </w:p>
        </w:tc>
        <w:tc>
          <w:tcPr>
            <w:tcW w:type="dxa" w:w="1134"/>
          </w:tcPr>
          <w:p>
            <w:r/>
            <w:r>
              <w:rPr>
                <w:sz w:val="16"/>
              </w:rPr>
              <w:t>4.51</w:t>
            </w:r>
          </w:p>
        </w:tc>
      </w:tr>
    </w:tbl>
    <w:p>
      <w:pPr>
        <w:spacing w:before="240" w:after="80"/>
      </w:pPr>
      <w:r>
        <w:rPr>
          <w:b/>
          <w:sz w:val="20"/>
        </w:rPr>
        <w:t>Tabela S3. Variação dos óbitos por A00–A09 entre 2019 e 2024, por faixa etária</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Faixa etária</w:t>
            </w:r>
          </w:p>
        </w:tc>
        <w:tc>
          <w:tcPr>
            <w:tcW w:type="dxa" w:w="2268"/>
          </w:tcPr>
          <w:p>
            <w:r/>
            <w:r>
              <w:rPr>
                <w:b/>
                <w:sz w:val="16"/>
              </w:rPr>
              <w:t>2019</w:t>
            </w:r>
          </w:p>
        </w:tc>
        <w:tc>
          <w:tcPr>
            <w:tcW w:type="dxa" w:w="2268"/>
          </w:tcPr>
          <w:p>
            <w:r/>
            <w:r>
              <w:rPr>
                <w:b/>
                <w:sz w:val="16"/>
              </w:rPr>
              <w:t>2024</w:t>
            </w:r>
          </w:p>
        </w:tc>
        <w:tc>
          <w:tcPr>
            <w:tcW w:type="dxa" w:w="2268"/>
          </w:tcPr>
          <w:p>
            <w:r/>
            <w:r>
              <w:rPr>
                <w:b/>
                <w:sz w:val="16"/>
              </w:rPr>
              <w:t>Variação %</w:t>
            </w:r>
          </w:p>
        </w:tc>
      </w:tr>
      <w:tr>
        <w:tc>
          <w:tcPr>
            <w:tcW w:type="dxa" w:w="2268"/>
          </w:tcPr>
          <w:p>
            <w:r/>
            <w:r>
              <w:rPr>
                <w:sz w:val="16"/>
              </w:rPr>
              <w:t>&lt;1</w:t>
            </w:r>
          </w:p>
        </w:tc>
        <w:tc>
          <w:tcPr>
            <w:tcW w:type="dxa" w:w="2268"/>
          </w:tcPr>
          <w:p>
            <w:r/>
            <w:r>
              <w:rPr>
                <w:sz w:val="16"/>
              </w:rPr>
              <w:t>355</w:t>
            </w:r>
          </w:p>
        </w:tc>
        <w:tc>
          <w:tcPr>
            <w:tcW w:type="dxa" w:w="2268"/>
          </w:tcPr>
          <w:p>
            <w:r/>
            <w:r>
              <w:rPr>
                <w:sz w:val="16"/>
              </w:rPr>
              <w:t>381</w:t>
            </w:r>
          </w:p>
        </w:tc>
        <w:tc>
          <w:tcPr>
            <w:tcW w:type="dxa" w:w="2268"/>
          </w:tcPr>
          <w:p>
            <w:r/>
            <w:r>
              <w:rPr>
                <w:sz w:val="16"/>
              </w:rPr>
              <w:t>7.3</w:t>
            </w:r>
          </w:p>
        </w:tc>
      </w:tr>
      <w:tr>
        <w:tc>
          <w:tcPr>
            <w:tcW w:type="dxa" w:w="2268"/>
          </w:tcPr>
          <w:p>
            <w:r/>
            <w:r>
              <w:rPr>
                <w:sz w:val="16"/>
              </w:rPr>
              <w:t>1-4</w:t>
            </w:r>
          </w:p>
        </w:tc>
        <w:tc>
          <w:tcPr>
            <w:tcW w:type="dxa" w:w="2268"/>
          </w:tcPr>
          <w:p>
            <w:r/>
            <w:r>
              <w:rPr>
                <w:sz w:val="16"/>
              </w:rPr>
              <w:t>150</w:t>
            </w:r>
          </w:p>
        </w:tc>
        <w:tc>
          <w:tcPr>
            <w:tcW w:type="dxa" w:w="2268"/>
          </w:tcPr>
          <w:p>
            <w:r/>
            <w:r>
              <w:rPr>
                <w:sz w:val="16"/>
              </w:rPr>
              <w:t>186</w:t>
            </w:r>
          </w:p>
        </w:tc>
        <w:tc>
          <w:tcPr>
            <w:tcW w:type="dxa" w:w="2268"/>
          </w:tcPr>
          <w:p>
            <w:r/>
            <w:r>
              <w:rPr>
                <w:sz w:val="16"/>
              </w:rPr>
              <w:t>24.0</w:t>
            </w:r>
          </w:p>
        </w:tc>
      </w:tr>
      <w:tr>
        <w:tc>
          <w:tcPr>
            <w:tcW w:type="dxa" w:w="2268"/>
          </w:tcPr>
          <w:p>
            <w:r/>
            <w:r>
              <w:rPr>
                <w:sz w:val="16"/>
              </w:rPr>
              <w:t>5-14</w:t>
            </w:r>
          </w:p>
        </w:tc>
        <w:tc>
          <w:tcPr>
            <w:tcW w:type="dxa" w:w="2268"/>
          </w:tcPr>
          <w:p>
            <w:r/>
            <w:r>
              <w:rPr>
                <w:sz w:val="16"/>
              </w:rPr>
              <w:t>62</w:t>
            </w:r>
          </w:p>
        </w:tc>
        <w:tc>
          <w:tcPr>
            <w:tcW w:type="dxa" w:w="2268"/>
          </w:tcPr>
          <w:p>
            <w:r/>
            <w:r>
              <w:rPr>
                <w:sz w:val="16"/>
              </w:rPr>
              <w:t>97</w:t>
            </w:r>
          </w:p>
        </w:tc>
        <w:tc>
          <w:tcPr>
            <w:tcW w:type="dxa" w:w="2268"/>
          </w:tcPr>
          <w:p>
            <w:r/>
            <w:r>
              <w:rPr>
                <w:sz w:val="16"/>
              </w:rPr>
              <w:t>56.5</w:t>
            </w:r>
          </w:p>
        </w:tc>
      </w:tr>
      <w:tr>
        <w:tc>
          <w:tcPr>
            <w:tcW w:type="dxa" w:w="2268"/>
          </w:tcPr>
          <w:p>
            <w:r/>
            <w:r>
              <w:rPr>
                <w:sz w:val="16"/>
              </w:rPr>
              <w:t>15-29</w:t>
            </w:r>
          </w:p>
        </w:tc>
        <w:tc>
          <w:tcPr>
            <w:tcW w:type="dxa" w:w="2268"/>
          </w:tcPr>
          <w:p>
            <w:r/>
            <w:r>
              <w:rPr>
                <w:sz w:val="16"/>
              </w:rPr>
              <w:t>73</w:t>
            </w:r>
          </w:p>
        </w:tc>
        <w:tc>
          <w:tcPr>
            <w:tcW w:type="dxa" w:w="2268"/>
          </w:tcPr>
          <w:p>
            <w:r/>
            <w:r>
              <w:rPr>
                <w:sz w:val="16"/>
              </w:rPr>
              <w:t>113</w:t>
            </w:r>
          </w:p>
        </w:tc>
        <w:tc>
          <w:tcPr>
            <w:tcW w:type="dxa" w:w="2268"/>
          </w:tcPr>
          <w:p>
            <w:r/>
            <w:r>
              <w:rPr>
                <w:sz w:val="16"/>
              </w:rPr>
              <w:t>54.8</w:t>
            </w:r>
          </w:p>
        </w:tc>
      </w:tr>
      <w:tr>
        <w:tc>
          <w:tcPr>
            <w:tcW w:type="dxa" w:w="2268"/>
          </w:tcPr>
          <w:p>
            <w:r/>
            <w:r>
              <w:rPr>
                <w:sz w:val="16"/>
              </w:rPr>
              <w:t>30-44</w:t>
            </w:r>
          </w:p>
        </w:tc>
        <w:tc>
          <w:tcPr>
            <w:tcW w:type="dxa" w:w="2268"/>
          </w:tcPr>
          <w:p>
            <w:r/>
            <w:r>
              <w:rPr>
                <w:sz w:val="16"/>
              </w:rPr>
              <w:t>157</w:t>
            </w:r>
          </w:p>
        </w:tc>
        <w:tc>
          <w:tcPr>
            <w:tcW w:type="dxa" w:w="2268"/>
          </w:tcPr>
          <w:p>
            <w:r/>
            <w:r>
              <w:rPr>
                <w:sz w:val="16"/>
              </w:rPr>
              <w:t>217</w:t>
            </w:r>
          </w:p>
        </w:tc>
        <w:tc>
          <w:tcPr>
            <w:tcW w:type="dxa" w:w="2268"/>
          </w:tcPr>
          <w:p>
            <w:r/>
            <w:r>
              <w:rPr>
                <w:sz w:val="16"/>
              </w:rPr>
              <w:t>38.2</w:t>
            </w:r>
          </w:p>
        </w:tc>
      </w:tr>
      <w:tr>
        <w:tc>
          <w:tcPr>
            <w:tcW w:type="dxa" w:w="2268"/>
          </w:tcPr>
          <w:p>
            <w:r/>
            <w:r>
              <w:rPr>
                <w:sz w:val="16"/>
              </w:rPr>
              <w:t>45-59</w:t>
            </w:r>
          </w:p>
        </w:tc>
        <w:tc>
          <w:tcPr>
            <w:tcW w:type="dxa" w:w="2268"/>
          </w:tcPr>
          <w:p>
            <w:r/>
            <w:r>
              <w:rPr>
                <w:sz w:val="16"/>
              </w:rPr>
              <w:t>381</w:t>
            </w:r>
          </w:p>
        </w:tc>
        <w:tc>
          <w:tcPr>
            <w:tcW w:type="dxa" w:w="2268"/>
          </w:tcPr>
          <w:p>
            <w:r/>
            <w:r>
              <w:rPr>
                <w:sz w:val="16"/>
              </w:rPr>
              <w:t>568</w:t>
            </w:r>
          </w:p>
        </w:tc>
        <w:tc>
          <w:tcPr>
            <w:tcW w:type="dxa" w:w="2268"/>
          </w:tcPr>
          <w:p>
            <w:r/>
            <w:r>
              <w:rPr>
                <w:sz w:val="16"/>
              </w:rPr>
              <w:t>49.1</w:t>
            </w:r>
          </w:p>
        </w:tc>
      </w:tr>
      <w:tr>
        <w:tc>
          <w:tcPr>
            <w:tcW w:type="dxa" w:w="2268"/>
          </w:tcPr>
          <w:p>
            <w:r/>
            <w:r>
              <w:rPr>
                <w:sz w:val="16"/>
              </w:rPr>
              <w:t>60-74</w:t>
            </w:r>
          </w:p>
        </w:tc>
        <w:tc>
          <w:tcPr>
            <w:tcW w:type="dxa" w:w="2268"/>
          </w:tcPr>
          <w:p>
            <w:r/>
            <w:r>
              <w:rPr>
                <w:sz w:val="16"/>
              </w:rPr>
              <w:t>1031</w:t>
            </w:r>
          </w:p>
        </w:tc>
        <w:tc>
          <w:tcPr>
            <w:tcW w:type="dxa" w:w="2268"/>
          </w:tcPr>
          <w:p>
            <w:r/>
            <w:r>
              <w:rPr>
                <w:sz w:val="16"/>
              </w:rPr>
              <w:t>1564</w:t>
            </w:r>
          </w:p>
        </w:tc>
        <w:tc>
          <w:tcPr>
            <w:tcW w:type="dxa" w:w="2268"/>
          </w:tcPr>
          <w:p>
            <w:r/>
            <w:r>
              <w:rPr>
                <w:sz w:val="16"/>
              </w:rPr>
              <w:t>51.7</w:t>
            </w:r>
          </w:p>
        </w:tc>
      </w:tr>
      <w:tr>
        <w:tc>
          <w:tcPr>
            <w:tcW w:type="dxa" w:w="2268"/>
          </w:tcPr>
          <w:p>
            <w:r/>
            <w:r>
              <w:rPr>
                <w:sz w:val="16"/>
              </w:rPr>
              <w:t>75+</w:t>
            </w:r>
          </w:p>
        </w:tc>
        <w:tc>
          <w:tcPr>
            <w:tcW w:type="dxa" w:w="2268"/>
          </w:tcPr>
          <w:p>
            <w:r/>
            <w:r>
              <w:rPr>
                <w:sz w:val="16"/>
              </w:rPr>
              <w:t>2665</w:t>
            </w:r>
          </w:p>
        </w:tc>
        <w:tc>
          <w:tcPr>
            <w:tcW w:type="dxa" w:w="2268"/>
          </w:tcPr>
          <w:p>
            <w:r/>
            <w:r>
              <w:rPr>
                <w:sz w:val="16"/>
              </w:rPr>
              <w:t>4051</w:t>
            </w:r>
          </w:p>
        </w:tc>
        <w:tc>
          <w:tcPr>
            <w:tcW w:type="dxa" w:w="2268"/>
          </w:tcPr>
          <w:p>
            <w:r/>
            <w:r>
              <w:rPr>
                <w:sz w:val="16"/>
              </w:rPr>
              <w:t>52.0</w:t>
            </w:r>
          </w:p>
        </w:tc>
      </w:tr>
    </w:tbl>
    <w:p>
      <w:pPr>
        <w:spacing w:before="240" w:after="80"/>
      </w:pPr>
      <w:r>
        <w:rPr>
          <w:b/>
          <w:sz w:val="20"/>
        </w:rPr>
        <w:t>Tabela S4. Variação dos óbitos por A00–A09 entre 2019 e 2024, por código da CID-10</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CID-10</w:t>
            </w:r>
          </w:p>
        </w:tc>
        <w:tc>
          <w:tcPr>
            <w:tcW w:type="dxa" w:w="1814"/>
          </w:tcPr>
          <w:p>
            <w:r/>
            <w:r>
              <w:rPr>
                <w:b/>
                <w:sz w:val="16"/>
              </w:rPr>
              <w:t>Descrição</w:t>
            </w:r>
          </w:p>
        </w:tc>
        <w:tc>
          <w:tcPr>
            <w:tcW w:type="dxa" w:w="1814"/>
          </w:tcPr>
          <w:p>
            <w:r/>
            <w:r>
              <w:rPr>
                <w:b/>
                <w:sz w:val="16"/>
              </w:rPr>
              <w:t>2019</w:t>
            </w:r>
          </w:p>
        </w:tc>
        <w:tc>
          <w:tcPr>
            <w:tcW w:type="dxa" w:w="1814"/>
          </w:tcPr>
          <w:p>
            <w:r/>
            <w:r>
              <w:rPr>
                <w:b/>
                <w:sz w:val="16"/>
              </w:rPr>
              <w:t>2024</w:t>
            </w:r>
          </w:p>
        </w:tc>
        <w:tc>
          <w:tcPr>
            <w:tcW w:type="dxa" w:w="1814"/>
          </w:tcPr>
          <w:p>
            <w:r/>
            <w:r>
              <w:rPr>
                <w:b/>
                <w:sz w:val="16"/>
              </w:rPr>
              <w:t>Variação %</w:t>
            </w:r>
          </w:p>
        </w:tc>
      </w:tr>
      <w:tr>
        <w:tc>
          <w:tcPr>
            <w:tcW w:type="dxa" w:w="1814"/>
          </w:tcPr>
          <w:p>
            <w:r/>
            <w:r>
              <w:rPr>
                <w:sz w:val="16"/>
              </w:rPr>
              <w:t>A01</w:t>
            </w:r>
          </w:p>
        </w:tc>
        <w:tc>
          <w:tcPr>
            <w:tcW w:type="dxa" w:w="1814"/>
          </w:tcPr>
          <w:p>
            <w:r/>
            <w:r>
              <w:rPr>
                <w:sz w:val="16"/>
              </w:rPr>
              <w:t>Febres tifoide e paratifoide</w:t>
            </w:r>
          </w:p>
        </w:tc>
        <w:tc>
          <w:tcPr>
            <w:tcW w:type="dxa" w:w="1814"/>
          </w:tcPr>
          <w:p>
            <w:r/>
            <w:r>
              <w:rPr>
                <w:sz w:val="16"/>
              </w:rPr>
              <w:t>1</w:t>
            </w:r>
          </w:p>
        </w:tc>
        <w:tc>
          <w:tcPr>
            <w:tcW w:type="dxa" w:w="1814"/>
          </w:tcPr>
          <w:p>
            <w:r/>
            <w:r>
              <w:rPr>
                <w:sz w:val="16"/>
              </w:rPr>
              <w:t>1</w:t>
            </w:r>
          </w:p>
        </w:tc>
        <w:tc>
          <w:tcPr>
            <w:tcW w:type="dxa" w:w="1814"/>
          </w:tcPr>
          <w:p>
            <w:r/>
            <w:r>
              <w:rPr>
                <w:sz w:val="16"/>
              </w:rPr>
              <w:t>0.0</w:t>
            </w:r>
          </w:p>
        </w:tc>
      </w:tr>
      <w:tr>
        <w:tc>
          <w:tcPr>
            <w:tcW w:type="dxa" w:w="1814"/>
          </w:tcPr>
          <w:p>
            <w:r/>
            <w:r>
              <w:rPr>
                <w:sz w:val="16"/>
              </w:rPr>
              <w:t>A02</w:t>
            </w:r>
          </w:p>
        </w:tc>
        <w:tc>
          <w:tcPr>
            <w:tcW w:type="dxa" w:w="1814"/>
          </w:tcPr>
          <w:p>
            <w:r/>
            <w:r>
              <w:rPr>
                <w:sz w:val="16"/>
              </w:rPr>
              <w:t>Outras infecções por Salmonella</w:t>
            </w:r>
          </w:p>
        </w:tc>
        <w:tc>
          <w:tcPr>
            <w:tcW w:type="dxa" w:w="1814"/>
          </w:tcPr>
          <w:p>
            <w:r/>
            <w:r>
              <w:rPr>
                <w:sz w:val="16"/>
              </w:rPr>
              <w:t>16</w:t>
            </w:r>
          </w:p>
        </w:tc>
        <w:tc>
          <w:tcPr>
            <w:tcW w:type="dxa" w:w="1814"/>
          </w:tcPr>
          <w:p>
            <w:r/>
            <w:r>
              <w:rPr>
                <w:sz w:val="16"/>
              </w:rPr>
              <w:t>40</w:t>
            </w:r>
          </w:p>
        </w:tc>
        <w:tc>
          <w:tcPr>
            <w:tcW w:type="dxa" w:w="1814"/>
          </w:tcPr>
          <w:p>
            <w:r/>
            <w:r>
              <w:rPr>
                <w:sz w:val="16"/>
              </w:rPr>
              <w:t>150.0</w:t>
            </w:r>
          </w:p>
        </w:tc>
      </w:tr>
      <w:tr>
        <w:tc>
          <w:tcPr>
            <w:tcW w:type="dxa" w:w="1814"/>
          </w:tcPr>
          <w:p>
            <w:r/>
            <w:r>
              <w:rPr>
                <w:sz w:val="16"/>
              </w:rPr>
              <w:t>A03</w:t>
            </w:r>
          </w:p>
        </w:tc>
        <w:tc>
          <w:tcPr>
            <w:tcW w:type="dxa" w:w="1814"/>
          </w:tcPr>
          <w:p>
            <w:r/>
            <w:r>
              <w:rPr>
                <w:sz w:val="16"/>
              </w:rPr>
              <w:t>Shiguelose</w:t>
            </w:r>
          </w:p>
        </w:tc>
        <w:tc>
          <w:tcPr>
            <w:tcW w:type="dxa" w:w="1814"/>
          </w:tcPr>
          <w:p>
            <w:r/>
            <w:r>
              <w:rPr>
                <w:sz w:val="16"/>
              </w:rPr>
              <w:t>1</w:t>
            </w:r>
          </w:p>
        </w:tc>
        <w:tc>
          <w:tcPr>
            <w:tcW w:type="dxa" w:w="1814"/>
          </w:tcPr>
          <w:p>
            <w:r/>
            <w:r>
              <w:rPr>
                <w:sz w:val="16"/>
              </w:rPr>
              <w:t>2</w:t>
            </w:r>
          </w:p>
        </w:tc>
        <w:tc>
          <w:tcPr>
            <w:tcW w:type="dxa" w:w="1814"/>
          </w:tcPr>
          <w:p>
            <w:r/>
            <w:r>
              <w:rPr>
                <w:sz w:val="16"/>
              </w:rPr>
              <w:t>100.0</w:t>
            </w:r>
          </w:p>
        </w:tc>
      </w:tr>
      <w:tr>
        <w:tc>
          <w:tcPr>
            <w:tcW w:type="dxa" w:w="1814"/>
          </w:tcPr>
          <w:p>
            <w:r/>
            <w:r>
              <w:rPr>
                <w:sz w:val="16"/>
              </w:rPr>
              <w:t>A04</w:t>
            </w:r>
          </w:p>
        </w:tc>
        <w:tc>
          <w:tcPr>
            <w:tcW w:type="dxa" w:w="1814"/>
          </w:tcPr>
          <w:p>
            <w:r/>
            <w:r>
              <w:rPr>
                <w:sz w:val="16"/>
              </w:rPr>
              <w:t>Outras infecções intestinais bacterianas</w:t>
            </w:r>
          </w:p>
        </w:tc>
        <w:tc>
          <w:tcPr>
            <w:tcW w:type="dxa" w:w="1814"/>
          </w:tcPr>
          <w:p>
            <w:r/>
            <w:r>
              <w:rPr>
                <w:sz w:val="16"/>
              </w:rPr>
              <w:t>807</w:t>
            </w:r>
          </w:p>
        </w:tc>
        <w:tc>
          <w:tcPr>
            <w:tcW w:type="dxa" w:w="1814"/>
          </w:tcPr>
          <w:p>
            <w:r/>
            <w:r>
              <w:rPr>
                <w:sz w:val="16"/>
              </w:rPr>
              <w:t>1388</w:t>
            </w:r>
          </w:p>
        </w:tc>
        <w:tc>
          <w:tcPr>
            <w:tcW w:type="dxa" w:w="1814"/>
          </w:tcPr>
          <w:p>
            <w:r/>
            <w:r>
              <w:rPr>
                <w:sz w:val="16"/>
              </w:rPr>
              <w:t>72.0</w:t>
            </w:r>
          </w:p>
        </w:tc>
      </w:tr>
      <w:tr>
        <w:tc>
          <w:tcPr>
            <w:tcW w:type="dxa" w:w="1814"/>
          </w:tcPr>
          <w:p>
            <w:r/>
            <w:r>
              <w:rPr>
                <w:sz w:val="16"/>
              </w:rPr>
              <w:t>A05</w:t>
            </w:r>
          </w:p>
        </w:tc>
        <w:tc>
          <w:tcPr>
            <w:tcW w:type="dxa" w:w="1814"/>
          </w:tcPr>
          <w:p>
            <w:r/>
            <w:r>
              <w:rPr>
                <w:sz w:val="16"/>
              </w:rPr>
              <w:t>Intoxicações alimentares bacterianas</w:t>
            </w:r>
          </w:p>
        </w:tc>
        <w:tc>
          <w:tcPr>
            <w:tcW w:type="dxa" w:w="1814"/>
          </w:tcPr>
          <w:p>
            <w:r/>
            <w:r>
              <w:rPr>
                <w:sz w:val="16"/>
              </w:rPr>
              <w:t>23</w:t>
            </w:r>
          </w:p>
        </w:tc>
        <w:tc>
          <w:tcPr>
            <w:tcW w:type="dxa" w:w="1814"/>
          </w:tcPr>
          <w:p>
            <w:r/>
            <w:r>
              <w:rPr>
                <w:sz w:val="16"/>
              </w:rPr>
              <w:t>22</w:t>
            </w:r>
          </w:p>
        </w:tc>
        <w:tc>
          <w:tcPr>
            <w:tcW w:type="dxa" w:w="1814"/>
          </w:tcPr>
          <w:p>
            <w:r/>
            <w:r>
              <w:rPr>
                <w:sz w:val="16"/>
              </w:rPr>
              <w:t>-4.3</w:t>
            </w:r>
          </w:p>
        </w:tc>
      </w:tr>
      <w:tr>
        <w:tc>
          <w:tcPr>
            <w:tcW w:type="dxa" w:w="1814"/>
          </w:tcPr>
          <w:p>
            <w:r/>
            <w:r>
              <w:rPr>
                <w:sz w:val="16"/>
              </w:rPr>
              <w:t>A06</w:t>
            </w:r>
          </w:p>
        </w:tc>
        <w:tc>
          <w:tcPr>
            <w:tcW w:type="dxa" w:w="1814"/>
          </w:tcPr>
          <w:p>
            <w:r/>
            <w:r>
              <w:rPr>
                <w:sz w:val="16"/>
              </w:rPr>
              <w:t>Amebíase</w:t>
            </w:r>
          </w:p>
        </w:tc>
        <w:tc>
          <w:tcPr>
            <w:tcW w:type="dxa" w:w="1814"/>
          </w:tcPr>
          <w:p>
            <w:r/>
            <w:r>
              <w:rPr>
                <w:sz w:val="16"/>
              </w:rPr>
              <w:t>52</w:t>
            </w:r>
          </w:p>
        </w:tc>
        <w:tc>
          <w:tcPr>
            <w:tcW w:type="dxa" w:w="1814"/>
          </w:tcPr>
          <w:p>
            <w:r/>
            <w:r>
              <w:rPr>
                <w:sz w:val="16"/>
              </w:rPr>
              <w:t>33</w:t>
            </w:r>
          </w:p>
        </w:tc>
        <w:tc>
          <w:tcPr>
            <w:tcW w:type="dxa" w:w="1814"/>
          </w:tcPr>
          <w:p>
            <w:r/>
            <w:r>
              <w:rPr>
                <w:sz w:val="16"/>
              </w:rPr>
              <w:t>-36.5</w:t>
            </w:r>
          </w:p>
        </w:tc>
      </w:tr>
      <w:tr>
        <w:tc>
          <w:tcPr>
            <w:tcW w:type="dxa" w:w="1814"/>
          </w:tcPr>
          <w:p>
            <w:r/>
            <w:r>
              <w:rPr>
                <w:sz w:val="16"/>
              </w:rPr>
              <w:t>A07</w:t>
            </w:r>
          </w:p>
        </w:tc>
        <w:tc>
          <w:tcPr>
            <w:tcW w:type="dxa" w:w="1814"/>
          </w:tcPr>
          <w:p>
            <w:r/>
            <w:r>
              <w:rPr>
                <w:sz w:val="16"/>
              </w:rPr>
              <w:t>Outras doenças intestinais por protozoários</w:t>
            </w:r>
          </w:p>
        </w:tc>
        <w:tc>
          <w:tcPr>
            <w:tcW w:type="dxa" w:w="1814"/>
          </w:tcPr>
          <w:p>
            <w:r/>
            <w:r>
              <w:rPr>
                <w:sz w:val="16"/>
              </w:rPr>
              <w:t>4</w:t>
            </w:r>
          </w:p>
        </w:tc>
        <w:tc>
          <w:tcPr>
            <w:tcW w:type="dxa" w:w="1814"/>
          </w:tcPr>
          <w:p>
            <w:r/>
            <w:r>
              <w:rPr>
                <w:sz w:val="16"/>
              </w:rPr>
              <w:t>6</w:t>
            </w:r>
          </w:p>
        </w:tc>
        <w:tc>
          <w:tcPr>
            <w:tcW w:type="dxa" w:w="1814"/>
          </w:tcPr>
          <w:p>
            <w:r/>
            <w:r>
              <w:rPr>
                <w:sz w:val="16"/>
              </w:rPr>
              <w:t>50.0</w:t>
            </w:r>
          </w:p>
        </w:tc>
      </w:tr>
      <w:tr>
        <w:tc>
          <w:tcPr>
            <w:tcW w:type="dxa" w:w="1814"/>
          </w:tcPr>
          <w:p>
            <w:r/>
            <w:r>
              <w:rPr>
                <w:sz w:val="16"/>
              </w:rPr>
              <w:t>A08</w:t>
            </w:r>
          </w:p>
        </w:tc>
        <w:tc>
          <w:tcPr>
            <w:tcW w:type="dxa" w:w="1814"/>
          </w:tcPr>
          <w:p>
            <w:r/>
            <w:r>
              <w:rPr>
                <w:sz w:val="16"/>
              </w:rPr>
              <w:t>Infecções intestinais virais</w:t>
            </w:r>
          </w:p>
        </w:tc>
        <w:tc>
          <w:tcPr>
            <w:tcW w:type="dxa" w:w="1814"/>
          </w:tcPr>
          <w:p>
            <w:r/>
            <w:r>
              <w:rPr>
                <w:sz w:val="16"/>
              </w:rPr>
              <w:t>115</w:t>
            </w:r>
          </w:p>
        </w:tc>
        <w:tc>
          <w:tcPr>
            <w:tcW w:type="dxa" w:w="1814"/>
          </w:tcPr>
          <w:p>
            <w:r/>
            <w:r>
              <w:rPr>
                <w:sz w:val="16"/>
              </w:rPr>
              <w:t>253</w:t>
            </w:r>
          </w:p>
        </w:tc>
        <w:tc>
          <w:tcPr>
            <w:tcW w:type="dxa" w:w="1814"/>
          </w:tcPr>
          <w:p>
            <w:r/>
            <w:r>
              <w:rPr>
                <w:sz w:val="16"/>
              </w:rPr>
              <w:t>120.0</w:t>
            </w:r>
          </w:p>
        </w:tc>
      </w:tr>
      <w:tr>
        <w:tc>
          <w:tcPr>
            <w:tcW w:type="dxa" w:w="1814"/>
          </w:tcPr>
          <w:p>
            <w:r/>
            <w:r>
              <w:rPr>
                <w:sz w:val="16"/>
              </w:rPr>
              <w:t>A09</w:t>
            </w:r>
          </w:p>
        </w:tc>
        <w:tc>
          <w:tcPr>
            <w:tcW w:type="dxa" w:w="1814"/>
          </w:tcPr>
          <w:p>
            <w:r/>
            <w:r>
              <w:rPr>
                <w:sz w:val="16"/>
              </w:rPr>
              <w:t>Diarreia e gastroenterite de origem infecciosa presumível</w:t>
            </w:r>
          </w:p>
        </w:tc>
        <w:tc>
          <w:tcPr>
            <w:tcW w:type="dxa" w:w="1814"/>
          </w:tcPr>
          <w:p>
            <w:r/>
            <w:r>
              <w:rPr>
                <w:sz w:val="16"/>
              </w:rPr>
              <w:t>3856</w:t>
            </w:r>
          </w:p>
        </w:tc>
        <w:tc>
          <w:tcPr>
            <w:tcW w:type="dxa" w:w="1814"/>
          </w:tcPr>
          <w:p>
            <w:r/>
            <w:r>
              <w:rPr>
                <w:sz w:val="16"/>
              </w:rPr>
              <w:t>5432</w:t>
            </w:r>
          </w:p>
        </w:tc>
        <w:tc>
          <w:tcPr>
            <w:tcW w:type="dxa" w:w="1814"/>
          </w:tcPr>
          <w:p>
            <w:r/>
            <w:r>
              <w:rPr>
                <w:sz w:val="16"/>
              </w:rPr>
              <w:t>40.9</w:t>
            </w:r>
          </w:p>
        </w:tc>
      </w:tr>
    </w:tbl>
    <w:p>
      <w:pPr>
        <w:spacing w:before="240" w:after="80"/>
      </w:pPr>
      <w:r>
        <w:rPr>
          <w:b/>
          <w:sz w:val="20"/>
        </w:rPr>
        <w:t>Tabela S5. Teste de redistribuição de causas mal definidas, municípios com ao menos 100 óbitos em 2019 e 2024</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Recorte</w:t>
            </w:r>
          </w:p>
        </w:tc>
        <w:tc>
          <w:tcPr>
            <w:tcW w:type="dxa" w:w="1814"/>
          </w:tcPr>
          <w:p>
            <w:r/>
            <w:r>
              <w:rPr>
                <w:b/>
                <w:sz w:val="16"/>
              </w:rPr>
              <w:t>Municípios</w:t>
            </w:r>
          </w:p>
        </w:tc>
        <w:tc>
          <w:tcPr>
            <w:tcW w:type="dxa" w:w="1814"/>
          </w:tcPr>
          <w:p>
            <w:r/>
            <w:r>
              <w:rPr>
                <w:b/>
                <w:sz w:val="16"/>
              </w:rPr>
              <w:t>A00-A09 2019</w:t>
            </w:r>
          </w:p>
        </w:tc>
        <w:tc>
          <w:tcPr>
            <w:tcW w:type="dxa" w:w="1814"/>
          </w:tcPr>
          <w:p>
            <w:r/>
            <w:r>
              <w:rPr>
                <w:b/>
                <w:sz w:val="16"/>
              </w:rPr>
              <w:t>A00-A09 2024</w:t>
            </w:r>
          </w:p>
        </w:tc>
        <w:tc>
          <w:tcPr>
            <w:tcW w:type="dxa" w:w="1814"/>
          </w:tcPr>
          <w:p>
            <w:r/>
            <w:r>
              <w:rPr>
                <w:b/>
                <w:sz w:val="16"/>
              </w:rPr>
              <w:t>Variação %</w:t>
            </w:r>
          </w:p>
        </w:tc>
      </w:tr>
      <w:tr>
        <w:tc>
          <w:tcPr>
            <w:tcW w:type="dxa" w:w="1814"/>
          </w:tcPr>
          <w:p>
            <w:r/>
            <w:r>
              <w:rPr>
                <w:sz w:val="16"/>
              </w:rPr>
              <w:t>Todos os municípios com base suficiente</w:t>
            </w:r>
          </w:p>
        </w:tc>
        <w:tc>
          <w:tcPr>
            <w:tcW w:type="dxa" w:w="1814"/>
          </w:tcPr>
          <w:p>
            <w:r/>
            <w:r>
              <w:rPr>
                <w:sz w:val="16"/>
              </w:rPr>
              <w:t>2176</w:t>
            </w:r>
          </w:p>
        </w:tc>
        <w:tc>
          <w:tcPr>
            <w:tcW w:type="dxa" w:w="1814"/>
          </w:tcPr>
          <w:p>
            <w:r/>
            <w:r>
              <w:rPr>
                <w:sz w:val="16"/>
              </w:rPr>
              <w:t>4275</w:t>
            </w:r>
          </w:p>
        </w:tc>
        <w:tc>
          <w:tcPr>
            <w:tcW w:type="dxa" w:w="1814"/>
          </w:tcPr>
          <w:p>
            <w:r/>
            <w:r>
              <w:rPr>
                <w:sz w:val="16"/>
              </w:rPr>
              <w:t>6304</w:t>
            </w:r>
          </w:p>
        </w:tc>
        <w:tc>
          <w:tcPr>
            <w:tcW w:type="dxa" w:w="1814"/>
          </w:tcPr>
          <w:p>
            <w:r/>
            <w:r>
              <w:rPr>
                <w:sz w:val="16"/>
              </w:rPr>
              <w:t>47.5</w:t>
            </w:r>
          </w:p>
        </w:tc>
      </w:tr>
      <w:tr>
        <w:tc>
          <w:tcPr>
            <w:tcW w:type="dxa" w:w="1814"/>
          </w:tcPr>
          <w:p>
            <w:r/>
            <w:r>
              <w:rPr>
                <w:sz w:val="16"/>
              </w:rPr>
              <w:t>Onde as mal definidas NÃO caíram</w:t>
            </w:r>
          </w:p>
        </w:tc>
        <w:tc>
          <w:tcPr>
            <w:tcW w:type="dxa" w:w="1814"/>
          </w:tcPr>
          <w:p>
            <w:r/>
            <w:r>
              <w:rPr>
                <w:sz w:val="16"/>
              </w:rPr>
              <w:t>946</w:t>
            </w:r>
          </w:p>
        </w:tc>
        <w:tc>
          <w:tcPr>
            <w:tcW w:type="dxa" w:w="1814"/>
          </w:tcPr>
          <w:p>
            <w:r/>
            <w:r>
              <w:rPr>
                <w:sz w:val="16"/>
              </w:rPr>
              <w:t>1378</w:t>
            </w:r>
          </w:p>
        </w:tc>
        <w:tc>
          <w:tcPr>
            <w:tcW w:type="dxa" w:w="1814"/>
          </w:tcPr>
          <w:p>
            <w:r/>
            <w:r>
              <w:rPr>
                <w:sz w:val="16"/>
              </w:rPr>
              <w:t>1977</w:t>
            </w:r>
          </w:p>
        </w:tc>
        <w:tc>
          <w:tcPr>
            <w:tcW w:type="dxa" w:w="1814"/>
          </w:tcPr>
          <w:p>
            <w:r/>
            <w:r>
              <w:rPr>
                <w:sz w:val="16"/>
              </w:rPr>
              <w:t>43.5</w:t>
            </w:r>
          </w:p>
        </w:tc>
      </w:tr>
      <w:tr>
        <w:tc>
          <w:tcPr>
            <w:tcW w:type="dxa" w:w="1814"/>
          </w:tcPr>
          <w:p>
            <w:r/>
            <w:r>
              <w:rPr>
                <w:sz w:val="16"/>
              </w:rPr>
              <w:t>Onde as mal definidas caíram</w:t>
            </w:r>
          </w:p>
        </w:tc>
        <w:tc>
          <w:tcPr>
            <w:tcW w:type="dxa" w:w="1814"/>
          </w:tcPr>
          <w:p>
            <w:r/>
            <w:r>
              <w:rPr>
                <w:sz w:val="16"/>
              </w:rPr>
              <w:t>1230</w:t>
            </w:r>
          </w:p>
        </w:tc>
        <w:tc>
          <w:tcPr>
            <w:tcW w:type="dxa" w:w="1814"/>
          </w:tcPr>
          <w:p>
            <w:r/>
            <w:r>
              <w:rPr>
                <w:sz w:val="16"/>
              </w:rPr>
              <w:t>2897</w:t>
            </w:r>
          </w:p>
        </w:tc>
        <w:tc>
          <w:tcPr>
            <w:tcW w:type="dxa" w:w="1814"/>
          </w:tcPr>
          <w:p>
            <w:r/>
            <w:r>
              <w:rPr>
                <w:sz w:val="16"/>
              </w:rPr>
              <w:t>4327</w:t>
            </w:r>
          </w:p>
        </w:tc>
        <w:tc>
          <w:tcPr>
            <w:tcW w:type="dxa" w:w="1814"/>
          </w:tcPr>
          <w:p>
            <w:r/>
            <w:r>
              <w:rPr>
                <w:sz w:val="16"/>
              </w:rPr>
              <w:t>49.4</w:t>
            </w:r>
          </w:p>
        </w:tc>
      </w:tr>
    </w:tbl>
    <w:p>
      <w:pPr>
        <w:spacing w:before="240" w:after="80"/>
      </w:pPr>
      <w:r>
        <w:rPr>
          <w:b/>
          <w:sz w:val="20"/>
        </w:rPr>
        <w:t>Tabela S6. As quatro classes de vigilância do SISAGUA: perfil social e mortalidade</w:t>
      </w:r>
    </w:p>
    <w:tbl>
      <w:tblPr>
        <w:tblStyle w:val="LightGrid-Accent1"/>
        <w:tblW w:type="auto" w:w="0"/>
        <w:jc w:val="center"/>
        <w:tblLayout w:type="fixed"/>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tblGrid>
      <w:tr>
        <w:tc>
          <w:tcPr>
            <w:tcW w:type="dxa" w:w="756"/>
          </w:tcPr>
          <w:p>
            <w:r/>
            <w:r>
              <w:rPr>
                <w:b/>
                <w:sz w:val="16"/>
              </w:rPr>
              <w:t>Classe de vigilância</w:t>
            </w:r>
          </w:p>
        </w:tc>
        <w:tc>
          <w:tcPr>
            <w:tcW w:type="dxa" w:w="756"/>
          </w:tcPr>
          <w:p>
            <w:r/>
            <w:r>
              <w:rPr>
                <w:b/>
                <w:sz w:val="16"/>
              </w:rPr>
              <w:t>Municípios</w:t>
            </w:r>
          </w:p>
        </w:tc>
        <w:tc>
          <w:tcPr>
            <w:tcW w:type="dxa" w:w="756"/>
          </w:tcPr>
          <w:p>
            <w:r/>
            <w:r>
              <w:rPr>
                <w:b/>
                <w:sz w:val="16"/>
              </w:rPr>
              <w:t>Pessoas-ano</w:t>
            </w:r>
          </w:p>
        </w:tc>
        <w:tc>
          <w:tcPr>
            <w:tcW w:type="dxa" w:w="756"/>
          </w:tcPr>
          <w:p>
            <w:r/>
            <w:r>
              <w:rPr>
                <w:b/>
                <w:sz w:val="16"/>
              </w:rPr>
              <w:t>Óbitos A00–A09</w:t>
            </w:r>
          </w:p>
        </w:tc>
        <w:tc>
          <w:tcPr>
            <w:tcW w:type="dxa" w:w="756"/>
          </w:tcPr>
          <w:p>
            <w:r/>
            <w:r>
              <w:rPr>
                <w:b/>
                <w:sz w:val="16"/>
              </w:rPr>
              <w:t>Óbitos respiratórios</w:t>
            </w:r>
          </w:p>
        </w:tc>
        <w:tc>
          <w:tcPr>
            <w:tcW w:type="dxa" w:w="756"/>
          </w:tcPr>
          <w:p>
            <w:r/>
            <w:r>
              <w:rPr>
                <w:b/>
                <w:sz w:val="16"/>
              </w:rPr>
              <w:t>Óbitos totais</w:t>
            </w:r>
          </w:p>
        </w:tc>
        <w:tc>
          <w:tcPr>
            <w:tcW w:type="dxa" w:w="756"/>
          </w:tcPr>
          <w:p>
            <w:r/>
            <w:r>
              <w:rPr>
                <w:b/>
                <w:sz w:val="16"/>
              </w:rPr>
              <w:t>% sem água (mediana)</w:t>
            </w:r>
          </w:p>
        </w:tc>
        <w:tc>
          <w:tcPr>
            <w:tcW w:type="dxa" w:w="756"/>
          </w:tcPr>
          <w:p>
            <w:r/>
            <w:r>
              <w:rPr>
                <w:b/>
                <w:sz w:val="16"/>
              </w:rPr>
              <w:t>Analfabetismo % (mediana)</w:t>
            </w:r>
          </w:p>
        </w:tc>
        <w:tc>
          <w:tcPr>
            <w:tcW w:type="dxa" w:w="756"/>
          </w:tcPr>
          <w:p>
            <w:r/>
            <w:r>
              <w:rPr>
                <w:b/>
                <w:sz w:val="16"/>
              </w:rPr>
              <w:t>Taxa A00-A09 por 100 mil</w:t>
            </w:r>
          </w:p>
        </w:tc>
        <w:tc>
          <w:tcPr>
            <w:tcW w:type="dxa" w:w="756"/>
          </w:tcPr>
          <w:p>
            <w:r/>
            <w:r>
              <w:rPr>
                <w:b/>
                <w:sz w:val="16"/>
              </w:rPr>
              <w:t>Taxa respiratória por 100 mil</w:t>
            </w:r>
          </w:p>
        </w:tc>
        <w:tc>
          <w:tcPr>
            <w:tcW w:type="dxa" w:w="756"/>
          </w:tcPr>
          <w:p>
            <w:r/>
            <w:r>
              <w:rPr>
                <w:b/>
                <w:sz w:val="16"/>
              </w:rPr>
              <w:t>Mortalidade geral por 100 mil</w:t>
            </w:r>
          </w:p>
        </w:tc>
        <w:tc>
          <w:tcPr>
            <w:tcW w:type="dxa" w:w="756"/>
          </w:tcPr>
          <w:p>
            <w:r/>
            <w:r>
              <w:rPr>
                <w:b/>
                <w:sz w:val="16"/>
              </w:rPr>
              <w:t>A00-A09 por 10 mil óbitos</w:t>
            </w:r>
          </w:p>
        </w:tc>
      </w:tr>
      <w:tr>
        <w:tc>
          <w:tcPr>
            <w:tcW w:type="dxa" w:w="756"/>
          </w:tcPr>
          <w:p>
            <w:r/>
            <w:r>
              <w:rPr>
                <w:sz w:val="16"/>
              </w:rPr>
              <w:t>sem vigilância</w:t>
            </w:r>
          </w:p>
        </w:tc>
        <w:tc>
          <w:tcPr>
            <w:tcW w:type="dxa" w:w="756"/>
          </w:tcPr>
          <w:p>
            <w:r/>
            <w:r>
              <w:rPr>
                <w:sz w:val="16"/>
              </w:rPr>
              <w:t>384</w:t>
            </w:r>
          </w:p>
        </w:tc>
        <w:tc>
          <w:tcPr>
            <w:tcW w:type="dxa" w:w="756"/>
          </w:tcPr>
          <w:p>
            <w:r/>
            <w:r>
              <w:rPr>
                <w:sz w:val="16"/>
              </w:rPr>
              <w:t>86450766.0</w:t>
            </w:r>
          </w:p>
        </w:tc>
        <w:tc>
          <w:tcPr>
            <w:tcW w:type="dxa" w:w="756"/>
          </w:tcPr>
          <w:p>
            <w:r/>
            <w:r>
              <w:rPr>
                <w:sz w:val="16"/>
              </w:rPr>
              <w:t>2285.0</w:t>
            </w:r>
          </w:p>
        </w:tc>
        <w:tc>
          <w:tcPr>
            <w:tcW w:type="dxa" w:w="756"/>
          </w:tcPr>
          <w:p>
            <w:r/>
            <w:r>
              <w:rPr>
                <w:sz w:val="16"/>
              </w:rPr>
              <w:t>19986.0</w:t>
            </w:r>
          </w:p>
        </w:tc>
        <w:tc>
          <w:tcPr>
            <w:tcW w:type="dxa" w:w="756"/>
          </w:tcPr>
          <w:p>
            <w:r/>
            <w:r>
              <w:rPr>
                <w:sz w:val="16"/>
              </w:rPr>
              <w:t>425694.0</w:t>
            </w:r>
          </w:p>
        </w:tc>
        <w:tc>
          <w:tcPr>
            <w:tcW w:type="dxa" w:w="756"/>
          </w:tcPr>
          <w:p>
            <w:r/>
            <w:r>
              <w:rPr>
                <w:sz w:val="16"/>
              </w:rPr>
              <w:t>29.265</w:t>
            </w:r>
          </w:p>
        </w:tc>
        <w:tc>
          <w:tcPr>
            <w:tcW w:type="dxa" w:w="756"/>
          </w:tcPr>
          <w:p>
            <w:r/>
            <w:r>
              <w:rPr>
                <w:sz w:val="16"/>
              </w:rPr>
              <w:t>18.415</w:t>
            </w:r>
          </w:p>
        </w:tc>
        <w:tc>
          <w:tcPr>
            <w:tcW w:type="dxa" w:w="756"/>
          </w:tcPr>
          <w:p>
            <w:r/>
            <w:r>
              <w:rPr>
                <w:sz w:val="16"/>
              </w:rPr>
              <w:t>2.64</w:t>
            </w:r>
          </w:p>
        </w:tc>
        <w:tc>
          <w:tcPr>
            <w:tcW w:type="dxa" w:w="756"/>
          </w:tcPr>
          <w:p>
            <w:r/>
            <w:r>
              <w:rPr>
                <w:sz w:val="16"/>
              </w:rPr>
              <w:t>23.1</w:t>
            </w:r>
          </w:p>
        </w:tc>
        <w:tc>
          <w:tcPr>
            <w:tcW w:type="dxa" w:w="756"/>
          </w:tcPr>
          <w:p>
            <w:r/>
            <w:r>
              <w:rPr>
                <w:sz w:val="16"/>
              </w:rPr>
              <w:t>492.0</w:t>
            </w:r>
          </w:p>
        </w:tc>
        <w:tc>
          <w:tcPr>
            <w:tcW w:type="dxa" w:w="756"/>
          </w:tcPr>
          <w:p>
            <w:r/>
            <w:r>
              <w:rPr>
                <w:sz w:val="16"/>
              </w:rPr>
              <w:t>53.7</w:t>
            </w:r>
          </w:p>
        </w:tc>
      </w:tr>
      <w:tr>
        <w:tc>
          <w:tcPr>
            <w:tcW w:type="dxa" w:w="756"/>
          </w:tcPr>
          <w:p>
            <w:r/>
            <w:r>
              <w:rPr>
                <w:sz w:val="16"/>
              </w:rPr>
              <w:t>vigilância rara (até 6 meses)</w:t>
            </w:r>
          </w:p>
        </w:tc>
        <w:tc>
          <w:tcPr>
            <w:tcW w:type="dxa" w:w="756"/>
          </w:tcPr>
          <w:p>
            <w:r/>
            <w:r>
              <w:rPr>
                <w:sz w:val="16"/>
              </w:rPr>
              <w:t>511</w:t>
            </w:r>
          </w:p>
        </w:tc>
        <w:tc>
          <w:tcPr>
            <w:tcW w:type="dxa" w:w="756"/>
          </w:tcPr>
          <w:p>
            <w:r/>
            <w:r>
              <w:rPr>
                <w:sz w:val="16"/>
              </w:rPr>
              <w:t>139489204.0</w:t>
            </w:r>
          </w:p>
        </w:tc>
        <w:tc>
          <w:tcPr>
            <w:tcW w:type="dxa" w:w="756"/>
          </w:tcPr>
          <w:p>
            <w:r/>
            <w:r>
              <w:rPr>
                <w:sz w:val="16"/>
              </w:rPr>
              <w:t>4303.0</w:t>
            </w:r>
          </w:p>
        </w:tc>
        <w:tc>
          <w:tcPr>
            <w:tcW w:type="dxa" w:w="756"/>
          </w:tcPr>
          <w:p>
            <w:r/>
            <w:r>
              <w:rPr>
                <w:sz w:val="16"/>
              </w:rPr>
              <w:t>51229.0</w:t>
            </w:r>
          </w:p>
        </w:tc>
        <w:tc>
          <w:tcPr>
            <w:tcW w:type="dxa" w:w="756"/>
          </w:tcPr>
          <w:p>
            <w:r/>
            <w:r>
              <w:rPr>
                <w:sz w:val="16"/>
              </w:rPr>
              <w:t>880758.0</w:t>
            </w:r>
          </w:p>
        </w:tc>
        <w:tc>
          <w:tcPr>
            <w:tcW w:type="dxa" w:w="756"/>
          </w:tcPr>
          <w:p>
            <w:r/>
            <w:r>
              <w:rPr>
                <w:sz w:val="16"/>
              </w:rPr>
              <w:t>22.5</w:t>
            </w:r>
          </w:p>
        </w:tc>
        <w:tc>
          <w:tcPr>
            <w:tcW w:type="dxa" w:w="756"/>
          </w:tcPr>
          <w:p>
            <w:r/>
            <w:r>
              <w:rPr>
                <w:sz w:val="16"/>
              </w:rPr>
              <w:t>17.38</w:t>
            </w:r>
          </w:p>
        </w:tc>
        <w:tc>
          <w:tcPr>
            <w:tcW w:type="dxa" w:w="756"/>
          </w:tcPr>
          <w:p>
            <w:r/>
            <w:r>
              <w:rPr>
                <w:sz w:val="16"/>
              </w:rPr>
              <w:t>3.08</w:t>
            </w:r>
          </w:p>
        </w:tc>
        <w:tc>
          <w:tcPr>
            <w:tcW w:type="dxa" w:w="756"/>
          </w:tcPr>
          <w:p>
            <w:r/>
            <w:r>
              <w:rPr>
                <w:sz w:val="16"/>
              </w:rPr>
              <w:t>36.7</w:t>
            </w:r>
          </w:p>
        </w:tc>
        <w:tc>
          <w:tcPr>
            <w:tcW w:type="dxa" w:w="756"/>
          </w:tcPr>
          <w:p>
            <w:r/>
            <w:r>
              <w:rPr>
                <w:sz w:val="16"/>
              </w:rPr>
              <w:t>631.0</w:t>
            </w:r>
          </w:p>
        </w:tc>
        <w:tc>
          <w:tcPr>
            <w:tcW w:type="dxa" w:w="756"/>
          </w:tcPr>
          <w:p>
            <w:r/>
            <w:r>
              <w:rPr>
                <w:sz w:val="16"/>
              </w:rPr>
              <w:t>48.9</w:t>
            </w:r>
          </w:p>
        </w:tc>
      </w:tr>
      <w:tr>
        <w:tc>
          <w:tcPr>
            <w:tcW w:type="dxa" w:w="756"/>
          </w:tcPr>
          <w:p>
            <w:r/>
            <w:r>
              <w:rPr>
                <w:sz w:val="16"/>
              </w:rPr>
              <w:t>vigilância parcial (7 a 11 meses)</w:t>
            </w:r>
          </w:p>
        </w:tc>
        <w:tc>
          <w:tcPr>
            <w:tcW w:type="dxa" w:w="756"/>
          </w:tcPr>
          <w:p>
            <w:r/>
            <w:r>
              <w:rPr>
                <w:sz w:val="16"/>
              </w:rPr>
              <w:t>1048</w:t>
            </w:r>
          </w:p>
        </w:tc>
        <w:tc>
          <w:tcPr>
            <w:tcW w:type="dxa" w:w="756"/>
          </w:tcPr>
          <w:p>
            <w:r/>
            <w:r>
              <w:rPr>
                <w:sz w:val="16"/>
              </w:rPr>
              <w:t>249935248.0</w:t>
            </w:r>
          </w:p>
        </w:tc>
        <w:tc>
          <w:tcPr>
            <w:tcW w:type="dxa" w:w="756"/>
          </w:tcPr>
          <w:p>
            <w:r/>
            <w:r>
              <w:rPr>
                <w:sz w:val="16"/>
              </w:rPr>
              <w:t>6095.0</w:t>
            </w:r>
          </w:p>
        </w:tc>
        <w:tc>
          <w:tcPr>
            <w:tcW w:type="dxa" w:w="756"/>
          </w:tcPr>
          <w:p>
            <w:r/>
            <w:r>
              <w:rPr>
                <w:sz w:val="16"/>
              </w:rPr>
              <w:t>93566.0</w:t>
            </w:r>
          </w:p>
        </w:tc>
        <w:tc>
          <w:tcPr>
            <w:tcW w:type="dxa" w:w="756"/>
          </w:tcPr>
          <w:p>
            <w:r/>
            <w:r>
              <w:rPr>
                <w:sz w:val="16"/>
              </w:rPr>
              <w:t>1746593.0</w:t>
            </w:r>
          </w:p>
        </w:tc>
        <w:tc>
          <w:tcPr>
            <w:tcW w:type="dxa" w:w="756"/>
          </w:tcPr>
          <w:p>
            <w:r/>
            <w:r>
              <w:rPr>
                <w:sz w:val="16"/>
              </w:rPr>
              <w:t>24.24</w:t>
            </w:r>
          </w:p>
        </w:tc>
        <w:tc>
          <w:tcPr>
            <w:tcW w:type="dxa" w:w="756"/>
          </w:tcPr>
          <w:p>
            <w:r/>
            <w:r>
              <w:rPr>
                <w:sz w:val="16"/>
              </w:rPr>
              <w:t>12.64</w:t>
            </w:r>
          </w:p>
        </w:tc>
        <w:tc>
          <w:tcPr>
            <w:tcW w:type="dxa" w:w="756"/>
          </w:tcPr>
          <w:p>
            <w:r/>
            <w:r>
              <w:rPr>
                <w:sz w:val="16"/>
              </w:rPr>
              <w:t>2.44</w:t>
            </w:r>
          </w:p>
        </w:tc>
        <w:tc>
          <w:tcPr>
            <w:tcW w:type="dxa" w:w="756"/>
          </w:tcPr>
          <w:p>
            <w:r/>
            <w:r>
              <w:rPr>
                <w:sz w:val="16"/>
              </w:rPr>
              <w:t>37.4</w:t>
            </w:r>
          </w:p>
        </w:tc>
        <w:tc>
          <w:tcPr>
            <w:tcW w:type="dxa" w:w="756"/>
          </w:tcPr>
          <w:p>
            <w:r/>
            <w:r>
              <w:rPr>
                <w:sz w:val="16"/>
              </w:rPr>
              <w:t>699.0</w:t>
            </w:r>
          </w:p>
        </w:tc>
        <w:tc>
          <w:tcPr>
            <w:tcW w:type="dxa" w:w="756"/>
          </w:tcPr>
          <w:p>
            <w:r/>
            <w:r>
              <w:rPr>
                <w:sz w:val="16"/>
              </w:rPr>
              <w:t>34.9</w:t>
            </w:r>
          </w:p>
        </w:tc>
      </w:tr>
      <w:tr>
        <w:tc>
          <w:tcPr>
            <w:tcW w:type="dxa" w:w="756"/>
          </w:tcPr>
          <w:p>
            <w:r/>
            <w:r>
              <w:rPr>
                <w:sz w:val="16"/>
              </w:rPr>
              <w:t>vigilância regular (12 meses)</w:t>
            </w:r>
          </w:p>
        </w:tc>
        <w:tc>
          <w:tcPr>
            <w:tcW w:type="dxa" w:w="756"/>
          </w:tcPr>
          <w:p>
            <w:r/>
            <w:r>
              <w:rPr>
                <w:sz w:val="16"/>
              </w:rPr>
              <w:t>3627</w:t>
            </w:r>
          </w:p>
        </w:tc>
        <w:tc>
          <w:tcPr>
            <w:tcW w:type="dxa" w:w="756"/>
          </w:tcPr>
          <w:p>
            <w:r/>
            <w:r>
              <w:rPr>
                <w:sz w:val="16"/>
              </w:rPr>
              <w:t>1609529328.0</w:t>
            </w:r>
          </w:p>
        </w:tc>
        <w:tc>
          <w:tcPr>
            <w:tcW w:type="dxa" w:w="756"/>
          </w:tcPr>
          <w:p>
            <w:r/>
            <w:r>
              <w:rPr>
                <w:sz w:val="16"/>
              </w:rPr>
              <w:t>36746.0</w:t>
            </w:r>
          </w:p>
        </w:tc>
        <w:tc>
          <w:tcPr>
            <w:tcW w:type="dxa" w:w="756"/>
          </w:tcPr>
          <w:p>
            <w:r/>
            <w:r>
              <w:rPr>
                <w:sz w:val="16"/>
              </w:rPr>
              <w:t>667035.0</w:t>
            </w:r>
          </w:p>
        </w:tc>
        <w:tc>
          <w:tcPr>
            <w:tcW w:type="dxa" w:w="756"/>
          </w:tcPr>
          <w:p>
            <w:r/>
            <w:r>
              <w:rPr>
                <w:sz w:val="16"/>
              </w:rPr>
              <w:t>11404173.0</w:t>
            </w:r>
          </w:p>
        </w:tc>
        <w:tc>
          <w:tcPr>
            <w:tcW w:type="dxa" w:w="756"/>
          </w:tcPr>
          <w:p>
            <w:r/>
            <w:r>
              <w:rPr>
                <w:sz w:val="16"/>
              </w:rPr>
              <w:t>15.67</w:t>
            </w:r>
          </w:p>
        </w:tc>
        <w:tc>
          <w:tcPr>
            <w:tcW w:type="dxa" w:w="756"/>
          </w:tcPr>
          <w:p>
            <w:r/>
            <w:r>
              <w:rPr>
                <w:sz w:val="16"/>
              </w:rPr>
              <w:t>7.34</w:t>
            </w:r>
          </w:p>
        </w:tc>
        <w:tc>
          <w:tcPr>
            <w:tcW w:type="dxa" w:w="756"/>
          </w:tcPr>
          <w:p>
            <w:r/>
            <w:r>
              <w:rPr>
                <w:sz w:val="16"/>
              </w:rPr>
              <w:t>2.28</w:t>
            </w:r>
          </w:p>
        </w:tc>
        <w:tc>
          <w:tcPr>
            <w:tcW w:type="dxa" w:w="756"/>
          </w:tcPr>
          <w:p>
            <w:r/>
            <w:r>
              <w:rPr>
                <w:sz w:val="16"/>
              </w:rPr>
              <w:t>41.4</w:t>
            </w:r>
          </w:p>
        </w:tc>
        <w:tc>
          <w:tcPr>
            <w:tcW w:type="dxa" w:w="756"/>
          </w:tcPr>
          <w:p>
            <w:r/>
            <w:r>
              <w:rPr>
                <w:sz w:val="16"/>
              </w:rPr>
              <w:t>709.0</w:t>
            </w:r>
          </w:p>
        </w:tc>
        <w:tc>
          <w:tcPr>
            <w:tcW w:type="dxa" w:w="756"/>
          </w:tcPr>
          <w:p>
            <w:r/>
            <w:r>
              <w:rPr>
                <w:sz w:val="16"/>
              </w:rPr>
              <w:t>32.2</w:t>
            </w:r>
          </w:p>
        </w:tc>
      </w:tr>
    </w:tbl>
    <w:p>
      <w:pPr>
        <w:spacing w:before="240" w:after="80"/>
      </w:pPr>
      <w:r>
        <w:rPr>
          <w:b/>
          <w:sz w:val="20"/>
        </w:rPr>
        <w:t>Tabela S7. Razão de mortalidade contra a vigilância regular, para as duas entradas do subgrupo 1.2</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Classe de vigilância</w:t>
            </w:r>
          </w:p>
        </w:tc>
        <w:tc>
          <w:tcPr>
            <w:tcW w:type="dxa" w:w="2268"/>
          </w:tcPr>
          <w:p>
            <w:r/>
            <w:r>
              <w:rPr>
                <w:b/>
                <w:sz w:val="16"/>
              </w:rPr>
              <w:t>RR A00-A09</w:t>
            </w:r>
          </w:p>
        </w:tc>
        <w:tc>
          <w:tcPr>
            <w:tcW w:type="dxa" w:w="2268"/>
          </w:tcPr>
          <w:p>
            <w:r/>
            <w:r>
              <w:rPr>
                <w:b/>
                <w:sz w:val="16"/>
              </w:rPr>
              <w:t>RR respiratória</w:t>
            </w:r>
          </w:p>
        </w:tc>
        <w:tc>
          <w:tcPr>
            <w:tcW w:type="dxa" w:w="2268"/>
          </w:tcPr>
          <w:p>
            <w:r/>
            <w:r>
              <w:rPr>
                <w:b/>
                <w:sz w:val="16"/>
              </w:rPr>
              <w:t>RRR</w:t>
            </w:r>
          </w:p>
        </w:tc>
      </w:tr>
      <w:tr>
        <w:tc>
          <w:tcPr>
            <w:tcW w:type="dxa" w:w="2268"/>
          </w:tcPr>
          <w:p>
            <w:r/>
            <w:r>
              <w:rPr>
                <w:sz w:val="16"/>
              </w:rPr>
              <w:t>sem vigilância</w:t>
            </w:r>
          </w:p>
        </w:tc>
        <w:tc>
          <w:tcPr>
            <w:tcW w:type="dxa" w:w="2268"/>
          </w:tcPr>
          <w:p>
            <w:r/>
            <w:r>
              <w:rPr>
                <w:sz w:val="16"/>
              </w:rPr>
              <w:t>1.158</w:t>
            </w:r>
          </w:p>
        </w:tc>
        <w:tc>
          <w:tcPr>
            <w:tcW w:type="dxa" w:w="2268"/>
          </w:tcPr>
          <w:p>
            <w:r/>
            <w:r>
              <w:rPr>
                <w:sz w:val="16"/>
              </w:rPr>
              <w:t>0.558</w:t>
            </w:r>
          </w:p>
        </w:tc>
        <w:tc>
          <w:tcPr>
            <w:tcW w:type="dxa" w:w="2268"/>
          </w:tcPr>
          <w:p>
            <w:r/>
            <w:r>
              <w:rPr>
                <w:sz w:val="16"/>
              </w:rPr>
              <w:t>2.075</w:t>
            </w:r>
          </w:p>
        </w:tc>
      </w:tr>
      <w:tr>
        <w:tc>
          <w:tcPr>
            <w:tcW w:type="dxa" w:w="2268"/>
          </w:tcPr>
          <w:p>
            <w:r/>
            <w:r>
              <w:rPr>
                <w:sz w:val="16"/>
              </w:rPr>
              <w:t>vigilância rara (até 6 meses)</w:t>
            </w:r>
          </w:p>
        </w:tc>
        <w:tc>
          <w:tcPr>
            <w:tcW w:type="dxa" w:w="2268"/>
          </w:tcPr>
          <w:p>
            <w:r/>
            <w:r>
              <w:rPr>
                <w:sz w:val="16"/>
              </w:rPr>
              <w:t>1.351</w:t>
            </w:r>
          </w:p>
        </w:tc>
        <w:tc>
          <w:tcPr>
            <w:tcW w:type="dxa" w:w="2268"/>
          </w:tcPr>
          <w:p>
            <w:r/>
            <w:r>
              <w:rPr>
                <w:sz w:val="16"/>
              </w:rPr>
              <w:t>0.886</w:t>
            </w:r>
          </w:p>
        </w:tc>
        <w:tc>
          <w:tcPr>
            <w:tcW w:type="dxa" w:w="2268"/>
          </w:tcPr>
          <w:p>
            <w:r/>
            <w:r>
              <w:rPr>
                <w:sz w:val="16"/>
              </w:rPr>
              <w:t>1.525</w:t>
            </w:r>
          </w:p>
        </w:tc>
      </w:tr>
      <w:tr>
        <w:tc>
          <w:tcPr>
            <w:tcW w:type="dxa" w:w="2268"/>
          </w:tcPr>
          <w:p>
            <w:r/>
            <w:r>
              <w:rPr>
                <w:sz w:val="16"/>
              </w:rPr>
              <w:t>vigilância parcial (7 a 11 meses)</w:t>
            </w:r>
          </w:p>
        </w:tc>
        <w:tc>
          <w:tcPr>
            <w:tcW w:type="dxa" w:w="2268"/>
          </w:tcPr>
          <w:p>
            <w:r/>
            <w:r>
              <w:rPr>
                <w:sz w:val="16"/>
              </w:rPr>
              <w:t>1.068</w:t>
            </w:r>
          </w:p>
        </w:tc>
        <w:tc>
          <w:tcPr>
            <w:tcW w:type="dxa" w:w="2268"/>
          </w:tcPr>
          <w:p>
            <w:r/>
            <w:r>
              <w:rPr>
                <w:sz w:val="16"/>
              </w:rPr>
              <w:t>0.903</w:t>
            </w:r>
          </w:p>
        </w:tc>
        <w:tc>
          <w:tcPr>
            <w:tcW w:type="dxa" w:w="2268"/>
          </w:tcPr>
          <w:p>
            <w:r/>
            <w:r>
              <w:rPr>
                <w:sz w:val="16"/>
              </w:rPr>
              <w:t>1.182</w:t>
            </w:r>
          </w:p>
        </w:tc>
      </w:tr>
      <w:tr>
        <w:tc>
          <w:tcPr>
            <w:tcW w:type="dxa" w:w="2268"/>
          </w:tcPr>
          <w:p>
            <w:r/>
            <w:r>
              <w:rPr>
                <w:sz w:val="16"/>
              </w:rPr>
              <w:t>vigilância regular (12 meses)</w:t>
            </w:r>
          </w:p>
        </w:tc>
        <w:tc>
          <w:tcPr>
            <w:tcW w:type="dxa" w:w="2268"/>
          </w:tcPr>
          <w:p>
            <w:r/>
            <w:r>
              <w:rPr>
                <w:sz w:val="16"/>
              </w:rPr>
              <w:t>1.0</w:t>
            </w:r>
          </w:p>
        </w:tc>
        <w:tc>
          <w:tcPr>
            <w:tcW w:type="dxa" w:w="2268"/>
          </w:tcPr>
          <w:p>
            <w:r/>
            <w:r>
              <w:rPr>
                <w:sz w:val="16"/>
              </w:rPr>
              <w:t>1.0</w:t>
            </w:r>
          </w:p>
        </w:tc>
        <w:tc>
          <w:tcPr>
            <w:tcW w:type="dxa" w:w="2268"/>
          </w:tcPr>
          <w:p>
            <w:r/>
            <w:r>
              <w:rPr>
                <w:sz w:val="16"/>
              </w:rPr>
              <w:t>1.0</w:t>
            </w:r>
          </w:p>
        </w:tc>
      </w:tr>
    </w:tbl>
    <w:p>
      <w:pPr>
        <w:spacing w:before="240" w:after="80"/>
      </w:pPr>
      <w:r>
        <w:rPr>
          <w:b/>
          <w:sz w:val="20"/>
        </w:rPr>
        <w:t>Tabela S8. Os quatro critérios, com IC95% por bootstrap de município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Critério</w:t>
            </w:r>
          </w:p>
        </w:tc>
        <w:tc>
          <w:tcPr>
            <w:tcW w:type="dxa" w:w="1512"/>
          </w:tcPr>
          <w:p>
            <w:r/>
            <w:r>
              <w:rPr>
                <w:b/>
                <w:sz w:val="16"/>
              </w:rPr>
              <w:t>Pré-declarado</w:t>
            </w:r>
          </w:p>
        </w:tc>
        <w:tc>
          <w:tcPr>
            <w:tcW w:type="dxa" w:w="1512"/>
          </w:tcPr>
          <w:p>
            <w:r/>
            <w:r>
              <w:rPr>
                <w:b/>
                <w:sz w:val="16"/>
              </w:rPr>
              <w:t>RRR</w:t>
            </w:r>
          </w:p>
        </w:tc>
        <w:tc>
          <w:tcPr>
            <w:tcW w:type="dxa" w:w="1512"/>
          </w:tcPr>
          <w:p>
            <w:r/>
            <w:r>
              <w:rPr>
                <w:b/>
                <w:sz w:val="16"/>
              </w:rPr>
              <w:t>IC95% inferior</w:t>
            </w:r>
          </w:p>
        </w:tc>
        <w:tc>
          <w:tcPr>
            <w:tcW w:type="dxa" w:w="1512"/>
          </w:tcPr>
          <w:p>
            <w:r/>
            <w:r>
              <w:rPr>
                <w:b/>
                <w:sz w:val="16"/>
              </w:rPr>
              <w:t>IC95% superior</w:t>
            </w:r>
          </w:p>
        </w:tc>
        <w:tc>
          <w:tcPr>
            <w:tcW w:type="dxa" w:w="1512"/>
          </w:tcPr>
          <w:p>
            <w:r/>
            <w:r>
              <w:rPr>
                <w:b/>
                <w:sz w:val="16"/>
              </w:rPr>
              <w:t>Exclui 1</w:t>
            </w:r>
          </w:p>
        </w:tc>
      </w:tr>
      <w:tr>
        <w:tc>
          <w:tcPr>
            <w:tcW w:type="dxa" w:w="1512"/>
          </w:tcPr>
          <w:p>
            <w:r/>
            <w:r>
              <w:rPr>
                <w:sz w:val="16"/>
              </w:rPr>
              <w:t>1. Especificidade (bruto)</w:t>
            </w:r>
          </w:p>
        </w:tc>
        <w:tc>
          <w:tcPr>
            <w:tcW w:type="dxa" w:w="1512"/>
          </w:tcPr>
          <w:p>
            <w:r/>
            <w:r>
              <w:rPr>
                <w:sz w:val="16"/>
              </w:rPr>
              <w:t>sim</w:t>
            </w:r>
          </w:p>
        </w:tc>
        <w:tc>
          <w:tcPr>
            <w:tcW w:type="dxa" w:w="1512"/>
          </w:tcPr>
          <w:p>
            <w:r/>
            <w:r>
              <w:rPr>
                <w:sz w:val="16"/>
              </w:rPr>
              <w:t>2.075</w:t>
            </w:r>
          </w:p>
        </w:tc>
        <w:tc>
          <w:tcPr>
            <w:tcW w:type="dxa" w:w="1512"/>
          </w:tcPr>
          <w:p>
            <w:r/>
            <w:r>
              <w:rPr>
                <w:sz w:val="16"/>
              </w:rPr>
              <w:t>1.776</w:t>
            </w:r>
          </w:p>
        </w:tc>
        <w:tc>
          <w:tcPr>
            <w:tcW w:type="dxa" w:w="1512"/>
          </w:tcPr>
          <w:p>
            <w:r/>
            <w:r>
              <w:rPr>
                <w:sz w:val="16"/>
              </w:rPr>
              <w:t>2.518</w:t>
            </w:r>
          </w:p>
        </w:tc>
        <w:tc>
          <w:tcPr>
            <w:tcW w:type="dxa" w:w="1512"/>
          </w:tcPr>
          <w:p>
            <w:r/>
            <w:r>
              <w:rPr>
                <w:sz w:val="16"/>
              </w:rPr>
              <w:t>sim</w:t>
            </w:r>
          </w:p>
        </w:tc>
      </w:tr>
      <w:tr>
        <w:tc>
          <w:tcPr>
            <w:tcW w:type="dxa" w:w="1512"/>
          </w:tcPr>
          <w:p>
            <w:r/>
            <w:r>
              <w:rPr>
                <w:sz w:val="16"/>
              </w:rPr>
              <w:t>2. Ajustado por acesso à água (MH)</w:t>
            </w:r>
          </w:p>
        </w:tc>
        <w:tc>
          <w:tcPr>
            <w:tcW w:type="dxa" w:w="1512"/>
          </w:tcPr>
          <w:p>
            <w:r/>
            <w:r>
              <w:rPr>
                <w:sz w:val="16"/>
              </w:rPr>
              <w:t>sim</w:t>
            </w:r>
          </w:p>
        </w:tc>
        <w:tc>
          <w:tcPr>
            <w:tcW w:type="dxa" w:w="1512"/>
          </w:tcPr>
          <w:p>
            <w:r/>
            <w:r>
              <w:rPr>
                <w:sz w:val="16"/>
              </w:rPr>
              <w:t>1.926</w:t>
            </w:r>
          </w:p>
        </w:tc>
        <w:tc>
          <w:tcPr>
            <w:tcW w:type="dxa" w:w="1512"/>
          </w:tcPr>
          <w:p>
            <w:r/>
            <w:r>
              <w:rPr>
                <w:sz w:val="16"/>
              </w:rPr>
              <w:t>1.618</w:t>
            </w:r>
          </w:p>
        </w:tc>
        <w:tc>
          <w:tcPr>
            <w:tcW w:type="dxa" w:w="1512"/>
          </w:tcPr>
          <w:p>
            <w:r/>
            <w:r>
              <w:rPr>
                <w:sz w:val="16"/>
              </w:rPr>
              <w:t>2.225</w:t>
            </w:r>
          </w:p>
        </w:tc>
        <w:tc>
          <w:tcPr>
            <w:tcW w:type="dxa" w:w="1512"/>
          </w:tcPr>
          <w:p>
            <w:r/>
            <w:r>
              <w:rPr>
                <w:sz w:val="16"/>
              </w:rPr>
              <w:t>sim</w:t>
            </w:r>
          </w:p>
        </w:tc>
      </w:tr>
      <w:tr>
        <w:tc>
          <w:tcPr>
            <w:tcW w:type="dxa" w:w="1512"/>
          </w:tcPr>
          <w:p>
            <w:r/>
            <w:r>
              <w:rPr>
                <w:sz w:val="16"/>
              </w:rPr>
              <w:t>Sensibilidade: controle só pneumonia/influenza</w:t>
            </w:r>
          </w:p>
        </w:tc>
        <w:tc>
          <w:tcPr>
            <w:tcW w:type="dxa" w:w="1512"/>
          </w:tcPr>
          <w:p>
            <w:r/>
            <w:r>
              <w:rPr>
                <w:sz w:val="16"/>
              </w:rPr>
              <w:t>sim</w:t>
            </w:r>
          </w:p>
        </w:tc>
        <w:tc>
          <w:tcPr>
            <w:tcW w:type="dxa" w:w="1512"/>
          </w:tcPr>
          <w:p>
            <w:r/>
            <w:r>
              <w:rPr>
                <w:sz w:val="16"/>
              </w:rPr>
              <w:t>2.087</w:t>
            </w:r>
          </w:p>
        </w:tc>
        <w:tc>
          <w:tcPr>
            <w:tcW w:type="dxa" w:w="1512"/>
          </w:tcPr>
          <w:p>
            <w:r/>
            <w:r>
              <w:rPr>
                <w:sz w:val="16"/>
              </w:rPr>
              <w:t>1.785</w:t>
            </w:r>
          </w:p>
        </w:tc>
        <w:tc>
          <w:tcPr>
            <w:tcW w:type="dxa" w:w="1512"/>
          </w:tcPr>
          <w:p>
            <w:r/>
            <w:r>
              <w:rPr>
                <w:sz w:val="16"/>
              </w:rPr>
              <w:t>2.535</w:t>
            </w:r>
          </w:p>
        </w:tc>
        <w:tc>
          <w:tcPr>
            <w:tcW w:type="dxa" w:w="1512"/>
          </w:tcPr>
          <w:p>
            <w:r/>
            <w:r>
              <w:rPr>
                <w:sz w:val="16"/>
              </w:rPr>
              <w:t>sim</w:t>
            </w:r>
          </w:p>
        </w:tc>
      </w:tr>
      <w:tr>
        <w:tc>
          <w:tcPr>
            <w:tcW w:type="dxa" w:w="1512"/>
          </w:tcPr>
          <w:p>
            <w:r/>
            <w:r>
              <w:rPr>
                <w:sz w:val="16"/>
              </w:rPr>
              <w:t>4. Padronizado por idade (POST-HOC)</w:t>
            </w:r>
          </w:p>
        </w:tc>
        <w:tc>
          <w:tcPr>
            <w:tcW w:type="dxa" w:w="1512"/>
          </w:tcPr>
          <w:p>
            <w:r/>
            <w:r>
              <w:rPr>
                <w:sz w:val="16"/>
              </w:rPr>
              <w:t>nao</w:t>
            </w:r>
          </w:p>
        </w:tc>
        <w:tc>
          <w:tcPr>
            <w:tcW w:type="dxa" w:w="1512"/>
          </w:tcPr>
          <w:p>
            <w:r/>
            <w:r>
              <w:rPr>
                <w:sz w:val="16"/>
              </w:rPr>
              <w:t>1.767</w:t>
            </w:r>
          </w:p>
        </w:tc>
        <w:tc>
          <w:tcPr>
            <w:tcW w:type="dxa" w:w="1512"/>
          </w:tcPr>
          <w:p>
            <w:r/>
            <w:r>
              <w:rPr>
                <w:sz w:val="16"/>
              </w:rPr>
              <w:t>1.518</w:t>
            </w:r>
          </w:p>
        </w:tc>
        <w:tc>
          <w:tcPr>
            <w:tcW w:type="dxa" w:w="1512"/>
          </w:tcPr>
          <w:p>
            <w:r/>
            <w:r>
              <w:rPr>
                <w:sz w:val="16"/>
              </w:rPr>
              <w:t>2.021</w:t>
            </w:r>
          </w:p>
        </w:tc>
        <w:tc>
          <w:tcPr>
            <w:tcW w:type="dxa" w:w="1512"/>
          </w:tcPr>
          <w:p>
            <w:r/>
            <w:r>
              <w:rPr>
                <w:sz w:val="16"/>
              </w:rPr>
              <w:t>sim</w:t>
            </w:r>
          </w:p>
        </w:tc>
      </w:tr>
    </w:tbl>
    <w:p>
      <w:pPr>
        <w:spacing w:before="240" w:after="80"/>
      </w:pPr>
      <w:r>
        <w:rPr>
          <w:b/>
          <w:sz w:val="20"/>
        </w:rPr>
        <w:t>Tabela S9. Razão de razões dentro de cada faixa etária</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Faixa etária</w:t>
            </w:r>
          </w:p>
        </w:tc>
        <w:tc>
          <w:tcPr>
            <w:tcW w:type="dxa" w:w="1512"/>
          </w:tcPr>
          <w:p>
            <w:r/>
            <w:r>
              <w:rPr>
                <w:b/>
                <w:sz w:val="16"/>
              </w:rPr>
              <w:t>A00–A09 sem vigilância</w:t>
            </w:r>
          </w:p>
        </w:tc>
        <w:tc>
          <w:tcPr>
            <w:tcW w:type="dxa" w:w="1512"/>
          </w:tcPr>
          <w:p>
            <w:r/>
            <w:r>
              <w:rPr>
                <w:b/>
                <w:sz w:val="16"/>
              </w:rPr>
              <w:t>A00–A09 vigilância regular</w:t>
            </w:r>
          </w:p>
        </w:tc>
        <w:tc>
          <w:tcPr>
            <w:tcW w:type="dxa" w:w="1512"/>
          </w:tcPr>
          <w:p>
            <w:r/>
            <w:r>
              <w:rPr>
                <w:b/>
                <w:sz w:val="16"/>
              </w:rPr>
              <w:t>RR A00-A09</w:t>
            </w:r>
          </w:p>
        </w:tc>
        <w:tc>
          <w:tcPr>
            <w:tcW w:type="dxa" w:w="1512"/>
          </w:tcPr>
          <w:p>
            <w:r/>
            <w:r>
              <w:rPr>
                <w:b/>
                <w:sz w:val="16"/>
              </w:rPr>
              <w:t>RR respiratória</w:t>
            </w:r>
          </w:p>
        </w:tc>
        <w:tc>
          <w:tcPr>
            <w:tcW w:type="dxa" w:w="1512"/>
          </w:tcPr>
          <w:p>
            <w:r/>
            <w:r>
              <w:rPr>
                <w:b/>
                <w:sz w:val="16"/>
              </w:rPr>
              <w:t>RRR</w:t>
            </w:r>
          </w:p>
        </w:tc>
      </w:tr>
      <w:tr>
        <w:tc>
          <w:tcPr>
            <w:tcW w:type="dxa" w:w="1512"/>
          </w:tcPr>
          <w:p>
            <w:r/>
            <w:r>
              <w:rPr>
                <w:sz w:val="16"/>
              </w:rPr>
              <w:t>&lt;1</w:t>
            </w:r>
          </w:p>
        </w:tc>
        <w:tc>
          <w:tcPr>
            <w:tcW w:type="dxa" w:w="1512"/>
          </w:tcPr>
          <w:p>
            <w:r/>
            <w:r>
              <w:rPr>
                <w:sz w:val="16"/>
              </w:rPr>
              <w:t>366</w:t>
            </w:r>
          </w:p>
        </w:tc>
        <w:tc>
          <w:tcPr>
            <w:tcW w:type="dxa" w:w="1512"/>
          </w:tcPr>
          <w:p>
            <w:r/>
            <w:r>
              <w:rPr>
                <w:sz w:val="16"/>
              </w:rPr>
              <w:t>2336</w:t>
            </w:r>
          </w:p>
        </w:tc>
        <w:tc>
          <w:tcPr>
            <w:tcW w:type="dxa" w:w="1512"/>
          </w:tcPr>
          <w:p>
            <w:r/>
            <w:r>
              <w:rPr>
                <w:sz w:val="16"/>
              </w:rPr>
              <w:t>2.187</w:t>
            </w:r>
          </w:p>
        </w:tc>
        <w:tc>
          <w:tcPr>
            <w:tcW w:type="dxa" w:w="1512"/>
          </w:tcPr>
          <w:p>
            <w:r/>
            <w:r>
              <w:rPr>
                <w:sz w:val="16"/>
              </w:rPr>
              <w:t>1.43</w:t>
            </w:r>
          </w:p>
        </w:tc>
        <w:tc>
          <w:tcPr>
            <w:tcW w:type="dxa" w:w="1512"/>
          </w:tcPr>
          <w:p>
            <w:r/>
            <w:r>
              <w:rPr>
                <w:sz w:val="16"/>
              </w:rPr>
              <w:t>1.529</w:t>
            </w:r>
          </w:p>
        </w:tc>
      </w:tr>
      <w:tr>
        <w:tc>
          <w:tcPr>
            <w:tcW w:type="dxa" w:w="1512"/>
          </w:tcPr>
          <w:p>
            <w:r/>
            <w:r>
              <w:rPr>
                <w:sz w:val="16"/>
              </w:rPr>
              <w:t>1-4</w:t>
            </w:r>
          </w:p>
        </w:tc>
        <w:tc>
          <w:tcPr>
            <w:tcW w:type="dxa" w:w="1512"/>
          </w:tcPr>
          <w:p>
            <w:r/>
            <w:r>
              <w:rPr>
                <w:sz w:val="16"/>
              </w:rPr>
              <w:t>205</w:t>
            </w:r>
          </w:p>
        </w:tc>
        <w:tc>
          <w:tcPr>
            <w:tcW w:type="dxa" w:w="1512"/>
          </w:tcPr>
          <w:p>
            <w:r/>
            <w:r>
              <w:rPr>
                <w:sz w:val="16"/>
              </w:rPr>
              <w:t>918</w:t>
            </w:r>
          </w:p>
        </w:tc>
        <w:tc>
          <w:tcPr>
            <w:tcW w:type="dxa" w:w="1512"/>
          </w:tcPr>
          <w:p>
            <w:r/>
            <w:r>
              <w:rPr>
                <w:sz w:val="16"/>
              </w:rPr>
              <w:t>2.518</w:t>
            </w:r>
          </w:p>
        </w:tc>
        <w:tc>
          <w:tcPr>
            <w:tcW w:type="dxa" w:w="1512"/>
          </w:tcPr>
          <w:p>
            <w:r/>
            <w:r>
              <w:rPr>
                <w:sz w:val="16"/>
              </w:rPr>
              <w:t>1.035</w:t>
            </w:r>
          </w:p>
        </w:tc>
        <w:tc>
          <w:tcPr>
            <w:tcW w:type="dxa" w:w="1512"/>
          </w:tcPr>
          <w:p>
            <w:r/>
            <w:r>
              <w:rPr>
                <w:sz w:val="16"/>
              </w:rPr>
              <w:t>2.432</w:t>
            </w:r>
          </w:p>
        </w:tc>
      </w:tr>
      <w:tr>
        <w:tc>
          <w:tcPr>
            <w:tcW w:type="dxa" w:w="1512"/>
          </w:tcPr>
          <w:p>
            <w:r/>
            <w:r>
              <w:rPr>
                <w:sz w:val="16"/>
              </w:rPr>
              <w:t>5-14</w:t>
            </w:r>
          </w:p>
        </w:tc>
        <w:tc>
          <w:tcPr>
            <w:tcW w:type="dxa" w:w="1512"/>
          </w:tcPr>
          <w:p>
            <w:r/>
            <w:r>
              <w:rPr>
                <w:sz w:val="16"/>
              </w:rPr>
              <w:t>48</w:t>
            </w:r>
          </w:p>
        </w:tc>
        <w:tc>
          <w:tcPr>
            <w:tcW w:type="dxa" w:w="1512"/>
          </w:tcPr>
          <w:p>
            <w:r/>
            <w:r>
              <w:rPr>
                <w:sz w:val="16"/>
              </w:rPr>
              <w:t>374</w:t>
            </w:r>
          </w:p>
        </w:tc>
        <w:tc>
          <w:tcPr>
            <w:tcW w:type="dxa" w:w="1512"/>
          </w:tcPr>
          <w:p>
            <w:r/>
            <w:r>
              <w:rPr>
                <w:sz w:val="16"/>
              </w:rPr>
              <w:t>1.664</w:t>
            </w:r>
          </w:p>
        </w:tc>
        <w:tc>
          <w:tcPr>
            <w:tcW w:type="dxa" w:w="1512"/>
          </w:tcPr>
          <w:p>
            <w:r/>
            <w:r>
              <w:rPr>
                <w:sz w:val="16"/>
              </w:rPr>
              <w:t>1.182</w:t>
            </w:r>
          </w:p>
        </w:tc>
        <w:tc>
          <w:tcPr>
            <w:tcW w:type="dxa" w:w="1512"/>
          </w:tcPr>
          <w:p>
            <w:r/>
            <w:r>
              <w:rPr>
                <w:sz w:val="16"/>
              </w:rPr>
              <w:t>1.407</w:t>
            </w:r>
          </w:p>
        </w:tc>
      </w:tr>
      <w:tr>
        <w:tc>
          <w:tcPr>
            <w:tcW w:type="dxa" w:w="1512"/>
          </w:tcPr>
          <w:p>
            <w:r/>
            <w:r>
              <w:rPr>
                <w:sz w:val="16"/>
              </w:rPr>
              <w:t>15-29</w:t>
            </w:r>
          </w:p>
        </w:tc>
        <w:tc>
          <w:tcPr>
            <w:tcW w:type="dxa" w:w="1512"/>
          </w:tcPr>
          <w:p>
            <w:r/>
            <w:r>
              <w:rPr>
                <w:sz w:val="16"/>
              </w:rPr>
              <w:t>63</w:t>
            </w:r>
          </w:p>
        </w:tc>
        <w:tc>
          <w:tcPr>
            <w:tcW w:type="dxa" w:w="1512"/>
          </w:tcPr>
          <w:p>
            <w:r/>
            <w:r>
              <w:rPr>
                <w:sz w:val="16"/>
              </w:rPr>
              <w:t>513</w:t>
            </w:r>
          </w:p>
        </w:tc>
        <w:tc>
          <w:tcPr>
            <w:tcW w:type="dxa" w:w="1512"/>
          </w:tcPr>
          <w:p>
            <w:r/>
            <w:r>
              <w:rPr>
                <w:sz w:val="16"/>
              </w:rPr>
              <w:t>2.346</w:t>
            </w:r>
          </w:p>
        </w:tc>
        <w:tc>
          <w:tcPr>
            <w:tcW w:type="dxa" w:w="1512"/>
          </w:tcPr>
          <w:p>
            <w:r/>
            <w:r>
              <w:rPr>
                <w:sz w:val="16"/>
              </w:rPr>
              <w:t>1.091</w:t>
            </w:r>
          </w:p>
        </w:tc>
        <w:tc>
          <w:tcPr>
            <w:tcW w:type="dxa" w:w="1512"/>
          </w:tcPr>
          <w:p>
            <w:r/>
            <w:r>
              <w:rPr>
                <w:sz w:val="16"/>
              </w:rPr>
              <w:t>2.151</w:t>
            </w:r>
          </w:p>
        </w:tc>
      </w:tr>
      <w:tr>
        <w:tc>
          <w:tcPr>
            <w:tcW w:type="dxa" w:w="1512"/>
          </w:tcPr>
          <w:p>
            <w:r/>
            <w:r>
              <w:rPr>
                <w:sz w:val="16"/>
              </w:rPr>
              <w:t>30-44</w:t>
            </w:r>
          </w:p>
        </w:tc>
        <w:tc>
          <w:tcPr>
            <w:tcW w:type="dxa" w:w="1512"/>
          </w:tcPr>
          <w:p>
            <w:r/>
            <w:r>
              <w:rPr>
                <w:sz w:val="16"/>
              </w:rPr>
              <w:t>82</w:t>
            </w:r>
          </w:p>
        </w:tc>
        <w:tc>
          <w:tcPr>
            <w:tcW w:type="dxa" w:w="1512"/>
          </w:tcPr>
          <w:p>
            <w:r/>
            <w:r>
              <w:rPr>
                <w:sz w:val="16"/>
              </w:rPr>
              <w:t>1170</w:t>
            </w:r>
          </w:p>
        </w:tc>
        <w:tc>
          <w:tcPr>
            <w:tcW w:type="dxa" w:w="1512"/>
          </w:tcPr>
          <w:p>
            <w:r/>
            <w:r>
              <w:rPr>
                <w:sz w:val="16"/>
              </w:rPr>
              <w:t>1.454</w:t>
            </w:r>
          </w:p>
        </w:tc>
        <w:tc>
          <w:tcPr>
            <w:tcW w:type="dxa" w:w="1512"/>
          </w:tcPr>
          <w:p>
            <w:r/>
            <w:r>
              <w:rPr>
                <w:sz w:val="16"/>
              </w:rPr>
              <w:t>0.739</w:t>
            </w:r>
          </w:p>
        </w:tc>
        <w:tc>
          <w:tcPr>
            <w:tcW w:type="dxa" w:w="1512"/>
          </w:tcPr>
          <w:p>
            <w:r/>
            <w:r>
              <w:rPr>
                <w:sz w:val="16"/>
              </w:rPr>
              <w:t>1.966</w:t>
            </w:r>
          </w:p>
        </w:tc>
      </w:tr>
      <w:tr>
        <w:tc>
          <w:tcPr>
            <w:tcW w:type="dxa" w:w="1512"/>
          </w:tcPr>
          <w:p>
            <w:r/>
            <w:r>
              <w:rPr>
                <w:sz w:val="16"/>
              </w:rPr>
              <w:t>45-59</w:t>
            </w:r>
          </w:p>
        </w:tc>
        <w:tc>
          <w:tcPr>
            <w:tcW w:type="dxa" w:w="1512"/>
          </w:tcPr>
          <w:p>
            <w:r/>
            <w:r>
              <w:rPr>
                <w:sz w:val="16"/>
              </w:rPr>
              <w:t>184</w:t>
            </w:r>
          </w:p>
        </w:tc>
        <w:tc>
          <w:tcPr>
            <w:tcW w:type="dxa" w:w="1512"/>
          </w:tcPr>
          <w:p>
            <w:r/>
            <w:r>
              <w:rPr>
                <w:sz w:val="16"/>
              </w:rPr>
              <w:t>2996</w:t>
            </w:r>
          </w:p>
        </w:tc>
        <w:tc>
          <w:tcPr>
            <w:tcW w:type="dxa" w:w="1512"/>
          </w:tcPr>
          <w:p>
            <w:r/>
            <w:r>
              <w:rPr>
                <w:sz w:val="16"/>
              </w:rPr>
              <w:t>1.688</w:t>
            </w:r>
          </w:p>
        </w:tc>
        <w:tc>
          <w:tcPr>
            <w:tcW w:type="dxa" w:w="1512"/>
          </w:tcPr>
          <w:p>
            <w:r/>
            <w:r>
              <w:rPr>
                <w:sz w:val="16"/>
              </w:rPr>
              <w:t>0.81</w:t>
            </w:r>
          </w:p>
        </w:tc>
        <w:tc>
          <w:tcPr>
            <w:tcW w:type="dxa" w:w="1512"/>
          </w:tcPr>
          <w:p>
            <w:r/>
            <w:r>
              <w:rPr>
                <w:sz w:val="16"/>
              </w:rPr>
              <w:t>2.086</w:t>
            </w:r>
          </w:p>
        </w:tc>
      </w:tr>
      <w:tr>
        <w:tc>
          <w:tcPr>
            <w:tcW w:type="dxa" w:w="1512"/>
          </w:tcPr>
          <w:p>
            <w:r/>
            <w:r>
              <w:rPr>
                <w:sz w:val="16"/>
              </w:rPr>
              <w:t>60-74</w:t>
            </w:r>
          </w:p>
        </w:tc>
        <w:tc>
          <w:tcPr>
            <w:tcW w:type="dxa" w:w="1512"/>
          </w:tcPr>
          <w:p>
            <w:r/>
            <w:r>
              <w:rPr>
                <w:sz w:val="16"/>
              </w:rPr>
              <w:t>372</w:t>
            </w:r>
          </w:p>
        </w:tc>
        <w:tc>
          <w:tcPr>
            <w:tcW w:type="dxa" w:w="1512"/>
          </w:tcPr>
          <w:p>
            <w:r/>
            <w:r>
              <w:rPr>
                <w:sz w:val="16"/>
              </w:rPr>
              <w:t>7790</w:t>
            </w:r>
          </w:p>
        </w:tc>
        <w:tc>
          <w:tcPr>
            <w:tcW w:type="dxa" w:w="1512"/>
          </w:tcPr>
          <w:p>
            <w:r/>
            <w:r>
              <w:rPr>
                <w:sz w:val="16"/>
              </w:rPr>
              <w:t>1.463</w:t>
            </w:r>
          </w:p>
        </w:tc>
        <w:tc>
          <w:tcPr>
            <w:tcW w:type="dxa" w:w="1512"/>
          </w:tcPr>
          <w:p>
            <w:r/>
            <w:r>
              <w:rPr>
                <w:sz w:val="16"/>
              </w:rPr>
              <w:t>0.847</w:t>
            </w:r>
          </w:p>
        </w:tc>
        <w:tc>
          <w:tcPr>
            <w:tcW w:type="dxa" w:w="1512"/>
          </w:tcPr>
          <w:p>
            <w:r/>
            <w:r>
              <w:rPr>
                <w:sz w:val="16"/>
              </w:rPr>
              <w:t>1.727</w:t>
            </w:r>
          </w:p>
        </w:tc>
      </w:tr>
      <w:tr>
        <w:tc>
          <w:tcPr>
            <w:tcW w:type="dxa" w:w="1512"/>
          </w:tcPr>
          <w:p>
            <w:r/>
            <w:r>
              <w:rPr>
                <w:sz w:val="16"/>
              </w:rPr>
              <w:t>75+</w:t>
            </w:r>
          </w:p>
        </w:tc>
        <w:tc>
          <w:tcPr>
            <w:tcW w:type="dxa" w:w="1512"/>
          </w:tcPr>
          <w:p>
            <w:r/>
            <w:r>
              <w:rPr>
                <w:sz w:val="16"/>
              </w:rPr>
              <w:t>965</w:t>
            </w:r>
          </w:p>
        </w:tc>
        <w:tc>
          <w:tcPr>
            <w:tcW w:type="dxa" w:w="1512"/>
          </w:tcPr>
          <w:p>
            <w:r/>
            <w:r>
              <w:rPr>
                <w:sz w:val="16"/>
              </w:rPr>
              <w:t>20643</w:t>
            </w:r>
          </w:p>
        </w:tc>
        <w:tc>
          <w:tcPr>
            <w:tcW w:type="dxa" w:w="1512"/>
          </w:tcPr>
          <w:p>
            <w:r/>
            <w:r>
              <w:rPr>
                <w:sz w:val="16"/>
              </w:rPr>
              <w:t>1.353</w:t>
            </w:r>
          </w:p>
        </w:tc>
        <w:tc>
          <w:tcPr>
            <w:tcW w:type="dxa" w:w="1512"/>
          </w:tcPr>
          <w:p>
            <w:r/>
            <w:r>
              <w:rPr>
                <w:sz w:val="16"/>
              </w:rPr>
              <w:t>0.797</w:t>
            </w:r>
          </w:p>
        </w:tc>
        <w:tc>
          <w:tcPr>
            <w:tcW w:type="dxa" w:w="1512"/>
          </w:tcPr>
          <w:p>
            <w:r/>
            <w:r>
              <w:rPr>
                <w:sz w:val="16"/>
              </w:rPr>
              <w:t>1.698</w:t>
            </w:r>
          </w:p>
        </w:tc>
      </w:tr>
    </w:tbl>
    <w:p>
      <w:pPr>
        <w:spacing w:before="240" w:after="80"/>
      </w:pPr>
      <w:r>
        <w:rPr>
          <w:b/>
          <w:sz w:val="20"/>
        </w:rPr>
        <w:t>Tabela S10. Municípios sem registro de vigilância, por unidade da federação</w:t>
      </w:r>
    </w:p>
    <w:tbl>
      <w:tblPr>
        <w:tblStyle w:val="LightGrid-Accent1"/>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296"/>
          </w:tcPr>
          <w:p>
            <w:r/>
            <w:r>
              <w:rPr>
                <w:b/>
                <w:sz w:val="16"/>
              </w:rPr>
              <w:t>UF</w:t>
            </w:r>
          </w:p>
        </w:tc>
        <w:tc>
          <w:tcPr>
            <w:tcW w:type="dxa" w:w="1296"/>
          </w:tcPr>
          <w:p>
            <w:r/>
            <w:r>
              <w:rPr>
                <w:b/>
                <w:sz w:val="16"/>
              </w:rPr>
              <w:t>Municípios sem vigilância</w:t>
            </w:r>
          </w:p>
        </w:tc>
        <w:tc>
          <w:tcPr>
            <w:tcW w:type="dxa" w:w="1296"/>
          </w:tcPr>
          <w:p>
            <w:r/>
            <w:r>
              <w:rPr>
                <w:b/>
                <w:sz w:val="16"/>
              </w:rPr>
              <w:t>Óbitos A00–A09</w:t>
            </w:r>
          </w:p>
        </w:tc>
        <w:tc>
          <w:tcPr>
            <w:tcW w:type="dxa" w:w="1296"/>
          </w:tcPr>
          <w:p>
            <w:r/>
            <w:r>
              <w:rPr>
                <w:b/>
                <w:sz w:val="16"/>
              </w:rPr>
              <w:t>pessoas_ano</w:t>
            </w:r>
          </w:p>
        </w:tc>
        <w:tc>
          <w:tcPr>
            <w:tcW w:type="dxa" w:w="1296"/>
          </w:tcPr>
          <w:p>
            <w:r/>
            <w:r>
              <w:rPr>
                <w:b/>
                <w:sz w:val="16"/>
              </w:rPr>
              <w:t>Taxa A00-A09 por 100 mil</w:t>
            </w:r>
          </w:p>
        </w:tc>
        <w:tc>
          <w:tcPr>
            <w:tcW w:type="dxa" w:w="1296"/>
          </w:tcPr>
          <w:p>
            <w:r/>
            <w:r>
              <w:rPr>
                <w:b/>
                <w:sz w:val="16"/>
              </w:rPr>
              <w:t>Municípios na UF</w:t>
            </w:r>
          </w:p>
        </w:tc>
        <w:tc>
          <w:tcPr>
            <w:tcW w:type="dxa" w:w="1296"/>
          </w:tcPr>
          <w:p>
            <w:r/>
            <w:r>
              <w:rPr>
                <w:b/>
                <w:sz w:val="16"/>
              </w:rPr>
              <w:t>% da UF sem vigilância</w:t>
            </w:r>
          </w:p>
        </w:tc>
      </w:tr>
      <w:tr>
        <w:tc>
          <w:tcPr>
            <w:tcW w:type="dxa" w:w="1296"/>
          </w:tcPr>
          <w:p>
            <w:r/>
            <w:r>
              <w:rPr>
                <w:sz w:val="16"/>
              </w:rPr>
              <w:t>PI</w:t>
            </w:r>
          </w:p>
        </w:tc>
        <w:tc>
          <w:tcPr>
            <w:tcW w:type="dxa" w:w="1296"/>
          </w:tcPr>
          <w:p>
            <w:r/>
            <w:r>
              <w:rPr>
                <w:sz w:val="16"/>
              </w:rPr>
              <w:t>98</w:t>
            </w:r>
          </w:p>
        </w:tc>
        <w:tc>
          <w:tcPr>
            <w:tcW w:type="dxa" w:w="1296"/>
          </w:tcPr>
          <w:p>
            <w:r/>
            <w:r>
              <w:rPr>
                <w:sz w:val="16"/>
              </w:rPr>
              <w:t>287.0</w:t>
            </w:r>
          </w:p>
        </w:tc>
        <w:tc>
          <w:tcPr>
            <w:tcW w:type="dxa" w:w="1296"/>
          </w:tcPr>
          <w:p>
            <w:r/>
            <w:r>
              <w:rPr>
                <w:sz w:val="16"/>
              </w:rPr>
              <w:t>6888718.0</w:t>
            </w:r>
          </w:p>
        </w:tc>
        <w:tc>
          <w:tcPr>
            <w:tcW w:type="dxa" w:w="1296"/>
          </w:tcPr>
          <w:p>
            <w:r/>
            <w:r>
              <w:rPr>
                <w:sz w:val="16"/>
              </w:rPr>
              <w:t>4.17</w:t>
            </w:r>
          </w:p>
        </w:tc>
        <w:tc>
          <w:tcPr>
            <w:tcW w:type="dxa" w:w="1296"/>
          </w:tcPr>
          <w:p>
            <w:r/>
            <w:r>
              <w:rPr>
                <w:sz w:val="16"/>
              </w:rPr>
              <w:t>224</w:t>
            </w:r>
          </w:p>
        </w:tc>
        <w:tc>
          <w:tcPr>
            <w:tcW w:type="dxa" w:w="1296"/>
          </w:tcPr>
          <w:p>
            <w:r/>
            <w:r>
              <w:rPr>
                <w:sz w:val="16"/>
              </w:rPr>
              <w:t>43.8</w:t>
            </w:r>
          </w:p>
        </w:tc>
      </w:tr>
      <w:tr>
        <w:tc>
          <w:tcPr>
            <w:tcW w:type="dxa" w:w="1296"/>
          </w:tcPr>
          <w:p>
            <w:r/>
            <w:r>
              <w:rPr>
                <w:sz w:val="16"/>
              </w:rPr>
              <w:t>MA</w:t>
            </w:r>
          </w:p>
        </w:tc>
        <w:tc>
          <w:tcPr>
            <w:tcW w:type="dxa" w:w="1296"/>
          </w:tcPr>
          <w:p>
            <w:r/>
            <w:r>
              <w:rPr>
                <w:sz w:val="16"/>
              </w:rPr>
              <w:t>69</w:t>
            </w:r>
          </w:p>
        </w:tc>
        <w:tc>
          <w:tcPr>
            <w:tcW w:type="dxa" w:w="1296"/>
          </w:tcPr>
          <w:p>
            <w:r/>
            <w:r>
              <w:rPr>
                <w:sz w:val="16"/>
              </w:rPr>
              <w:t>277.0</w:t>
            </w:r>
          </w:p>
        </w:tc>
        <w:tc>
          <w:tcPr>
            <w:tcW w:type="dxa" w:w="1296"/>
          </w:tcPr>
          <w:p>
            <w:r/>
            <w:r>
              <w:rPr>
                <w:sz w:val="16"/>
              </w:rPr>
              <w:t>12684671.0</w:t>
            </w:r>
          </w:p>
        </w:tc>
        <w:tc>
          <w:tcPr>
            <w:tcW w:type="dxa" w:w="1296"/>
          </w:tcPr>
          <w:p>
            <w:r/>
            <w:r>
              <w:rPr>
                <w:sz w:val="16"/>
              </w:rPr>
              <w:t>2.18</w:t>
            </w:r>
          </w:p>
        </w:tc>
        <w:tc>
          <w:tcPr>
            <w:tcW w:type="dxa" w:w="1296"/>
          </w:tcPr>
          <w:p>
            <w:r/>
            <w:r>
              <w:rPr>
                <w:sz w:val="16"/>
              </w:rPr>
              <w:t>217</w:t>
            </w:r>
          </w:p>
        </w:tc>
        <w:tc>
          <w:tcPr>
            <w:tcW w:type="dxa" w:w="1296"/>
          </w:tcPr>
          <w:p>
            <w:r/>
            <w:r>
              <w:rPr>
                <w:sz w:val="16"/>
              </w:rPr>
              <w:t>31.8</w:t>
            </w:r>
          </w:p>
        </w:tc>
      </w:tr>
      <w:tr>
        <w:tc>
          <w:tcPr>
            <w:tcW w:type="dxa" w:w="1296"/>
          </w:tcPr>
          <w:p>
            <w:r/>
            <w:r>
              <w:rPr>
                <w:sz w:val="16"/>
              </w:rPr>
              <w:t>PA</w:t>
            </w:r>
          </w:p>
        </w:tc>
        <w:tc>
          <w:tcPr>
            <w:tcW w:type="dxa" w:w="1296"/>
          </w:tcPr>
          <w:p>
            <w:r/>
            <w:r>
              <w:rPr>
                <w:sz w:val="16"/>
              </w:rPr>
              <w:t>56</w:t>
            </w:r>
          </w:p>
        </w:tc>
        <w:tc>
          <w:tcPr>
            <w:tcW w:type="dxa" w:w="1296"/>
          </w:tcPr>
          <w:p>
            <w:r/>
            <w:r>
              <w:rPr>
                <w:sz w:val="16"/>
              </w:rPr>
              <w:t>302.0</w:t>
            </w:r>
          </w:p>
        </w:tc>
        <w:tc>
          <w:tcPr>
            <w:tcW w:type="dxa" w:w="1296"/>
          </w:tcPr>
          <w:p>
            <w:r/>
            <w:r>
              <w:rPr>
                <w:sz w:val="16"/>
              </w:rPr>
              <w:t>16032701.0</w:t>
            </w:r>
          </w:p>
        </w:tc>
        <w:tc>
          <w:tcPr>
            <w:tcW w:type="dxa" w:w="1296"/>
          </w:tcPr>
          <w:p>
            <w:r/>
            <w:r>
              <w:rPr>
                <w:sz w:val="16"/>
              </w:rPr>
              <w:t>1.88</w:t>
            </w:r>
          </w:p>
        </w:tc>
        <w:tc>
          <w:tcPr>
            <w:tcW w:type="dxa" w:w="1296"/>
          </w:tcPr>
          <w:p>
            <w:r/>
            <w:r>
              <w:rPr>
                <w:sz w:val="16"/>
              </w:rPr>
              <w:t>144</w:t>
            </w:r>
          </w:p>
        </w:tc>
        <w:tc>
          <w:tcPr>
            <w:tcW w:type="dxa" w:w="1296"/>
          </w:tcPr>
          <w:p>
            <w:r/>
            <w:r>
              <w:rPr>
                <w:sz w:val="16"/>
              </w:rPr>
              <w:t>38.9</w:t>
            </w:r>
          </w:p>
        </w:tc>
      </w:tr>
      <w:tr>
        <w:tc>
          <w:tcPr>
            <w:tcW w:type="dxa" w:w="1296"/>
          </w:tcPr>
          <w:p>
            <w:r/>
            <w:r>
              <w:rPr>
                <w:sz w:val="16"/>
              </w:rPr>
              <w:t>MG</w:t>
            </w:r>
          </w:p>
        </w:tc>
        <w:tc>
          <w:tcPr>
            <w:tcW w:type="dxa" w:w="1296"/>
          </w:tcPr>
          <w:p>
            <w:r/>
            <w:r>
              <w:rPr>
                <w:sz w:val="16"/>
              </w:rPr>
              <w:t>38</w:t>
            </w:r>
          </w:p>
        </w:tc>
        <w:tc>
          <w:tcPr>
            <w:tcW w:type="dxa" w:w="1296"/>
          </w:tcPr>
          <w:p>
            <w:r/>
            <w:r>
              <w:rPr>
                <w:sz w:val="16"/>
              </w:rPr>
              <w:t>25.0</w:t>
            </w:r>
          </w:p>
        </w:tc>
        <w:tc>
          <w:tcPr>
            <w:tcW w:type="dxa" w:w="1296"/>
          </w:tcPr>
          <w:p>
            <w:r/>
            <w:r>
              <w:rPr>
                <w:sz w:val="16"/>
              </w:rPr>
              <w:t>1472867.0</w:t>
            </w:r>
          </w:p>
        </w:tc>
        <w:tc>
          <w:tcPr>
            <w:tcW w:type="dxa" w:w="1296"/>
          </w:tcPr>
          <w:p>
            <w:r/>
            <w:r>
              <w:rPr>
                <w:sz w:val="16"/>
              </w:rPr>
              <w:t>1.7</w:t>
            </w:r>
          </w:p>
        </w:tc>
        <w:tc>
          <w:tcPr>
            <w:tcW w:type="dxa" w:w="1296"/>
          </w:tcPr>
          <w:p>
            <w:r/>
            <w:r>
              <w:rPr>
                <w:sz w:val="16"/>
              </w:rPr>
              <w:t>853</w:t>
            </w:r>
          </w:p>
        </w:tc>
        <w:tc>
          <w:tcPr>
            <w:tcW w:type="dxa" w:w="1296"/>
          </w:tcPr>
          <w:p>
            <w:r/>
            <w:r>
              <w:rPr>
                <w:sz w:val="16"/>
              </w:rPr>
              <w:t>4.5</w:t>
            </w:r>
          </w:p>
        </w:tc>
      </w:tr>
      <w:tr>
        <w:tc>
          <w:tcPr>
            <w:tcW w:type="dxa" w:w="1296"/>
          </w:tcPr>
          <w:p>
            <w:r/>
            <w:r>
              <w:rPr>
                <w:sz w:val="16"/>
              </w:rPr>
              <w:t>AM</w:t>
            </w:r>
          </w:p>
        </w:tc>
        <w:tc>
          <w:tcPr>
            <w:tcW w:type="dxa" w:w="1296"/>
          </w:tcPr>
          <w:p>
            <w:r/>
            <w:r>
              <w:rPr>
                <w:sz w:val="16"/>
              </w:rPr>
              <w:t>37</w:t>
            </w:r>
          </w:p>
        </w:tc>
        <w:tc>
          <w:tcPr>
            <w:tcW w:type="dxa" w:w="1296"/>
          </w:tcPr>
          <w:p>
            <w:r/>
            <w:r>
              <w:rPr>
                <w:sz w:val="16"/>
              </w:rPr>
              <w:t>466.0</w:t>
            </w:r>
          </w:p>
        </w:tc>
        <w:tc>
          <w:tcPr>
            <w:tcW w:type="dxa" w:w="1296"/>
          </w:tcPr>
          <w:p>
            <w:r/>
            <w:r>
              <w:rPr>
                <w:sz w:val="16"/>
              </w:rPr>
              <w:t>9005555.0</w:t>
            </w:r>
          </w:p>
        </w:tc>
        <w:tc>
          <w:tcPr>
            <w:tcW w:type="dxa" w:w="1296"/>
          </w:tcPr>
          <w:p>
            <w:r/>
            <w:r>
              <w:rPr>
                <w:sz w:val="16"/>
              </w:rPr>
              <w:t>5.17</w:t>
            </w:r>
          </w:p>
        </w:tc>
        <w:tc>
          <w:tcPr>
            <w:tcW w:type="dxa" w:w="1296"/>
          </w:tcPr>
          <w:p>
            <w:r/>
            <w:r>
              <w:rPr>
                <w:sz w:val="16"/>
              </w:rPr>
              <w:t>62</w:t>
            </w:r>
          </w:p>
        </w:tc>
        <w:tc>
          <w:tcPr>
            <w:tcW w:type="dxa" w:w="1296"/>
          </w:tcPr>
          <w:p>
            <w:r/>
            <w:r>
              <w:rPr>
                <w:sz w:val="16"/>
              </w:rPr>
              <w:t>59.7</w:t>
            </w:r>
          </w:p>
        </w:tc>
      </w:tr>
      <w:tr>
        <w:tc>
          <w:tcPr>
            <w:tcW w:type="dxa" w:w="1296"/>
          </w:tcPr>
          <w:p>
            <w:r/>
            <w:r>
              <w:rPr>
                <w:sz w:val="16"/>
              </w:rPr>
              <w:t>RO</w:t>
            </w:r>
          </w:p>
        </w:tc>
        <w:tc>
          <w:tcPr>
            <w:tcW w:type="dxa" w:w="1296"/>
          </w:tcPr>
          <w:p>
            <w:r/>
            <w:r>
              <w:rPr>
                <w:sz w:val="16"/>
              </w:rPr>
              <w:t>14</w:t>
            </w:r>
          </w:p>
        </w:tc>
        <w:tc>
          <w:tcPr>
            <w:tcW w:type="dxa" w:w="1296"/>
          </w:tcPr>
          <w:p>
            <w:r/>
            <w:r>
              <w:rPr>
                <w:sz w:val="16"/>
              </w:rPr>
              <w:t>19.0</w:t>
            </w:r>
          </w:p>
        </w:tc>
        <w:tc>
          <w:tcPr>
            <w:tcW w:type="dxa" w:w="1296"/>
          </w:tcPr>
          <w:p>
            <w:r/>
            <w:r>
              <w:rPr>
                <w:sz w:val="16"/>
              </w:rPr>
              <w:t>1831989.0</w:t>
            </w:r>
          </w:p>
        </w:tc>
        <w:tc>
          <w:tcPr>
            <w:tcW w:type="dxa" w:w="1296"/>
          </w:tcPr>
          <w:p>
            <w:r/>
            <w:r>
              <w:rPr>
                <w:sz w:val="16"/>
              </w:rPr>
              <w:t>1.04</w:t>
            </w:r>
          </w:p>
        </w:tc>
        <w:tc>
          <w:tcPr>
            <w:tcW w:type="dxa" w:w="1296"/>
          </w:tcPr>
          <w:p>
            <w:r/>
            <w:r>
              <w:rPr>
                <w:sz w:val="16"/>
              </w:rPr>
              <w:t>52</w:t>
            </w:r>
          </w:p>
        </w:tc>
        <w:tc>
          <w:tcPr>
            <w:tcW w:type="dxa" w:w="1296"/>
          </w:tcPr>
          <w:p>
            <w:r/>
            <w:r>
              <w:rPr>
                <w:sz w:val="16"/>
              </w:rPr>
              <w:t>26.9</w:t>
            </w:r>
          </w:p>
        </w:tc>
      </w:tr>
      <w:tr>
        <w:tc>
          <w:tcPr>
            <w:tcW w:type="dxa" w:w="1296"/>
          </w:tcPr>
          <w:p>
            <w:r/>
            <w:r>
              <w:rPr>
                <w:sz w:val="16"/>
              </w:rPr>
              <w:t>PB</w:t>
            </w:r>
          </w:p>
        </w:tc>
        <w:tc>
          <w:tcPr>
            <w:tcW w:type="dxa" w:w="1296"/>
          </w:tcPr>
          <w:p>
            <w:r/>
            <w:r>
              <w:rPr>
                <w:sz w:val="16"/>
              </w:rPr>
              <w:t>14</w:t>
            </w:r>
          </w:p>
        </w:tc>
        <w:tc>
          <w:tcPr>
            <w:tcW w:type="dxa" w:w="1296"/>
          </w:tcPr>
          <w:p>
            <w:r/>
            <w:r>
              <w:rPr>
                <w:sz w:val="16"/>
              </w:rPr>
              <w:t>19.0</w:t>
            </w:r>
          </w:p>
        </w:tc>
        <w:tc>
          <w:tcPr>
            <w:tcW w:type="dxa" w:w="1296"/>
          </w:tcPr>
          <w:p>
            <w:r/>
            <w:r>
              <w:rPr>
                <w:sz w:val="16"/>
              </w:rPr>
              <w:t>938357.0</w:t>
            </w:r>
          </w:p>
        </w:tc>
        <w:tc>
          <w:tcPr>
            <w:tcW w:type="dxa" w:w="1296"/>
          </w:tcPr>
          <w:p>
            <w:r/>
            <w:r>
              <w:rPr>
                <w:sz w:val="16"/>
              </w:rPr>
              <w:t>2.02</w:t>
            </w:r>
          </w:p>
        </w:tc>
        <w:tc>
          <w:tcPr>
            <w:tcW w:type="dxa" w:w="1296"/>
          </w:tcPr>
          <w:p>
            <w:r/>
            <w:r>
              <w:rPr>
                <w:sz w:val="16"/>
              </w:rPr>
              <w:t>223</w:t>
            </w:r>
          </w:p>
        </w:tc>
        <w:tc>
          <w:tcPr>
            <w:tcW w:type="dxa" w:w="1296"/>
          </w:tcPr>
          <w:p>
            <w:r/>
            <w:r>
              <w:rPr>
                <w:sz w:val="16"/>
              </w:rPr>
              <w:t>6.3</w:t>
            </w:r>
          </w:p>
        </w:tc>
      </w:tr>
      <w:tr>
        <w:tc>
          <w:tcPr>
            <w:tcW w:type="dxa" w:w="1296"/>
          </w:tcPr>
          <w:p>
            <w:r/>
            <w:r>
              <w:rPr>
                <w:sz w:val="16"/>
              </w:rPr>
              <w:t>GO</w:t>
            </w:r>
          </w:p>
        </w:tc>
        <w:tc>
          <w:tcPr>
            <w:tcW w:type="dxa" w:w="1296"/>
          </w:tcPr>
          <w:p>
            <w:r/>
            <w:r>
              <w:rPr>
                <w:sz w:val="16"/>
              </w:rPr>
              <w:t>9</w:t>
            </w:r>
          </w:p>
        </w:tc>
        <w:tc>
          <w:tcPr>
            <w:tcW w:type="dxa" w:w="1296"/>
          </w:tcPr>
          <w:p>
            <w:r/>
            <w:r>
              <w:rPr>
                <w:sz w:val="16"/>
              </w:rPr>
              <w:t>8.0</w:t>
            </w:r>
          </w:p>
        </w:tc>
        <w:tc>
          <w:tcPr>
            <w:tcW w:type="dxa" w:w="1296"/>
          </w:tcPr>
          <w:p>
            <w:r/>
            <w:r>
              <w:rPr>
                <w:sz w:val="16"/>
              </w:rPr>
              <w:t>420622.0</w:t>
            </w:r>
          </w:p>
        </w:tc>
        <w:tc>
          <w:tcPr>
            <w:tcW w:type="dxa" w:w="1296"/>
          </w:tcPr>
          <w:p>
            <w:r/>
            <w:r>
              <w:rPr>
                <w:sz w:val="16"/>
              </w:rPr>
              <w:t>1.9</w:t>
            </w:r>
          </w:p>
        </w:tc>
        <w:tc>
          <w:tcPr>
            <w:tcW w:type="dxa" w:w="1296"/>
          </w:tcPr>
          <w:p>
            <w:r/>
            <w:r>
              <w:rPr>
                <w:sz w:val="16"/>
              </w:rPr>
              <w:t>246</w:t>
            </w:r>
          </w:p>
        </w:tc>
        <w:tc>
          <w:tcPr>
            <w:tcW w:type="dxa" w:w="1296"/>
          </w:tcPr>
          <w:p>
            <w:r/>
            <w:r>
              <w:rPr>
                <w:sz w:val="16"/>
              </w:rPr>
              <w:t>3.7</w:t>
            </w:r>
          </w:p>
        </w:tc>
      </w:tr>
      <w:tr>
        <w:tc>
          <w:tcPr>
            <w:tcW w:type="dxa" w:w="1296"/>
          </w:tcPr>
          <w:p>
            <w:r/>
            <w:r>
              <w:rPr>
                <w:sz w:val="16"/>
              </w:rPr>
              <w:t>PE</w:t>
            </w:r>
          </w:p>
        </w:tc>
        <w:tc>
          <w:tcPr>
            <w:tcW w:type="dxa" w:w="1296"/>
          </w:tcPr>
          <w:p>
            <w:r/>
            <w:r>
              <w:rPr>
                <w:sz w:val="16"/>
              </w:rPr>
              <w:t>8</w:t>
            </w:r>
          </w:p>
        </w:tc>
        <w:tc>
          <w:tcPr>
            <w:tcW w:type="dxa" w:w="1296"/>
          </w:tcPr>
          <w:p>
            <w:r/>
            <w:r>
              <w:rPr>
                <w:sz w:val="16"/>
              </w:rPr>
              <w:t>53.0</w:t>
            </w:r>
          </w:p>
        </w:tc>
        <w:tc>
          <w:tcPr>
            <w:tcW w:type="dxa" w:w="1296"/>
          </w:tcPr>
          <w:p>
            <w:r/>
            <w:r>
              <w:rPr>
                <w:sz w:val="16"/>
              </w:rPr>
              <w:t>1287074.0</w:t>
            </w:r>
          </w:p>
        </w:tc>
        <w:tc>
          <w:tcPr>
            <w:tcW w:type="dxa" w:w="1296"/>
          </w:tcPr>
          <w:p>
            <w:r/>
            <w:r>
              <w:rPr>
                <w:sz w:val="16"/>
              </w:rPr>
              <w:t>4.12</w:t>
            </w:r>
          </w:p>
        </w:tc>
        <w:tc>
          <w:tcPr>
            <w:tcW w:type="dxa" w:w="1296"/>
          </w:tcPr>
          <w:p>
            <w:r/>
            <w:r>
              <w:rPr>
                <w:sz w:val="16"/>
              </w:rPr>
              <w:t>185</w:t>
            </w:r>
          </w:p>
        </w:tc>
        <w:tc>
          <w:tcPr>
            <w:tcW w:type="dxa" w:w="1296"/>
          </w:tcPr>
          <w:p>
            <w:r/>
            <w:r>
              <w:rPr>
                <w:sz w:val="16"/>
              </w:rPr>
              <w:t>4.3</w:t>
            </w:r>
          </w:p>
        </w:tc>
      </w:tr>
      <w:tr>
        <w:tc>
          <w:tcPr>
            <w:tcW w:type="dxa" w:w="1296"/>
          </w:tcPr>
          <w:p>
            <w:r/>
            <w:r>
              <w:rPr>
                <w:sz w:val="16"/>
              </w:rPr>
              <w:t>MT</w:t>
            </w:r>
          </w:p>
        </w:tc>
        <w:tc>
          <w:tcPr>
            <w:tcW w:type="dxa" w:w="1296"/>
          </w:tcPr>
          <w:p>
            <w:r/>
            <w:r>
              <w:rPr>
                <w:sz w:val="16"/>
              </w:rPr>
              <w:t>7</w:t>
            </w:r>
          </w:p>
        </w:tc>
        <w:tc>
          <w:tcPr>
            <w:tcW w:type="dxa" w:w="1296"/>
          </w:tcPr>
          <w:p>
            <w:r/>
            <w:r>
              <w:rPr>
                <w:sz w:val="16"/>
              </w:rPr>
              <w:t>23.0</w:t>
            </w:r>
          </w:p>
        </w:tc>
        <w:tc>
          <w:tcPr>
            <w:tcW w:type="dxa" w:w="1296"/>
          </w:tcPr>
          <w:p>
            <w:r/>
            <w:r>
              <w:rPr>
                <w:sz w:val="16"/>
              </w:rPr>
              <w:t>537404.0</w:t>
            </w:r>
          </w:p>
        </w:tc>
        <w:tc>
          <w:tcPr>
            <w:tcW w:type="dxa" w:w="1296"/>
          </w:tcPr>
          <w:p>
            <w:r/>
            <w:r>
              <w:rPr>
                <w:sz w:val="16"/>
              </w:rPr>
              <w:t>4.28</w:t>
            </w:r>
          </w:p>
        </w:tc>
        <w:tc>
          <w:tcPr>
            <w:tcW w:type="dxa" w:w="1296"/>
          </w:tcPr>
          <w:p>
            <w:r/>
            <w:r>
              <w:rPr>
                <w:sz w:val="16"/>
              </w:rPr>
              <w:t>141</w:t>
            </w:r>
          </w:p>
        </w:tc>
        <w:tc>
          <w:tcPr>
            <w:tcW w:type="dxa" w:w="1296"/>
          </w:tcPr>
          <w:p>
            <w:r/>
            <w:r>
              <w:rPr>
                <w:sz w:val="16"/>
              </w:rPr>
              <w:t>5.0</w:t>
            </w:r>
          </w:p>
        </w:tc>
      </w:tr>
      <w:tr>
        <w:tc>
          <w:tcPr>
            <w:tcW w:type="dxa" w:w="1296"/>
          </w:tcPr>
          <w:p>
            <w:r/>
            <w:r>
              <w:rPr>
                <w:sz w:val="16"/>
              </w:rPr>
              <w:t>RN</w:t>
            </w:r>
          </w:p>
        </w:tc>
        <w:tc>
          <w:tcPr>
            <w:tcW w:type="dxa" w:w="1296"/>
          </w:tcPr>
          <w:p>
            <w:r/>
            <w:r>
              <w:rPr>
                <w:sz w:val="16"/>
              </w:rPr>
              <w:t>7</w:t>
            </w:r>
          </w:p>
        </w:tc>
        <w:tc>
          <w:tcPr>
            <w:tcW w:type="dxa" w:w="1296"/>
          </w:tcPr>
          <w:p>
            <w:r/>
            <w:r>
              <w:rPr>
                <w:sz w:val="16"/>
              </w:rPr>
              <w:t>30.0</w:t>
            </w:r>
          </w:p>
        </w:tc>
        <w:tc>
          <w:tcPr>
            <w:tcW w:type="dxa" w:w="1296"/>
          </w:tcPr>
          <w:p>
            <w:r/>
            <w:r>
              <w:rPr>
                <w:sz w:val="16"/>
              </w:rPr>
              <w:t>820055.0</w:t>
            </w:r>
          </w:p>
        </w:tc>
        <w:tc>
          <w:tcPr>
            <w:tcW w:type="dxa" w:w="1296"/>
          </w:tcPr>
          <w:p>
            <w:r/>
            <w:r>
              <w:rPr>
                <w:sz w:val="16"/>
              </w:rPr>
              <w:t>3.66</w:t>
            </w:r>
          </w:p>
        </w:tc>
        <w:tc>
          <w:tcPr>
            <w:tcW w:type="dxa" w:w="1296"/>
          </w:tcPr>
          <w:p>
            <w:r/>
            <w:r>
              <w:rPr>
                <w:sz w:val="16"/>
              </w:rPr>
              <w:t>167</w:t>
            </w:r>
          </w:p>
        </w:tc>
        <w:tc>
          <w:tcPr>
            <w:tcW w:type="dxa" w:w="1296"/>
          </w:tcPr>
          <w:p>
            <w:r/>
            <w:r>
              <w:rPr>
                <w:sz w:val="16"/>
              </w:rPr>
              <w:t>4.2</w:t>
            </w:r>
          </w:p>
        </w:tc>
      </w:tr>
      <w:tr>
        <w:tc>
          <w:tcPr>
            <w:tcW w:type="dxa" w:w="1296"/>
          </w:tcPr>
          <w:p>
            <w:r/>
            <w:r>
              <w:rPr>
                <w:sz w:val="16"/>
              </w:rPr>
              <w:t>BA</w:t>
            </w:r>
          </w:p>
        </w:tc>
        <w:tc>
          <w:tcPr>
            <w:tcW w:type="dxa" w:w="1296"/>
          </w:tcPr>
          <w:p>
            <w:r/>
            <w:r>
              <w:rPr>
                <w:sz w:val="16"/>
              </w:rPr>
              <w:t>7</w:t>
            </w:r>
          </w:p>
        </w:tc>
        <w:tc>
          <w:tcPr>
            <w:tcW w:type="dxa" w:w="1296"/>
          </w:tcPr>
          <w:p>
            <w:r/>
            <w:r>
              <w:rPr>
                <w:sz w:val="16"/>
              </w:rPr>
              <w:t>55.0</w:t>
            </w:r>
          </w:p>
        </w:tc>
        <w:tc>
          <w:tcPr>
            <w:tcW w:type="dxa" w:w="1296"/>
          </w:tcPr>
          <w:p>
            <w:r/>
            <w:r>
              <w:rPr>
                <w:sz w:val="16"/>
              </w:rPr>
              <w:t>1477832.0</w:t>
            </w:r>
          </w:p>
        </w:tc>
        <w:tc>
          <w:tcPr>
            <w:tcW w:type="dxa" w:w="1296"/>
          </w:tcPr>
          <w:p>
            <w:r/>
            <w:r>
              <w:rPr>
                <w:sz w:val="16"/>
              </w:rPr>
              <w:t>3.72</w:t>
            </w:r>
          </w:p>
        </w:tc>
        <w:tc>
          <w:tcPr>
            <w:tcW w:type="dxa" w:w="1296"/>
          </w:tcPr>
          <w:p>
            <w:r/>
            <w:r>
              <w:rPr>
                <w:sz w:val="16"/>
              </w:rPr>
              <w:t>417</w:t>
            </w:r>
          </w:p>
        </w:tc>
        <w:tc>
          <w:tcPr>
            <w:tcW w:type="dxa" w:w="1296"/>
          </w:tcPr>
          <w:p>
            <w:r/>
            <w:r>
              <w:rPr>
                <w:sz w:val="16"/>
              </w:rPr>
              <w:t>1.7</w:t>
            </w:r>
          </w:p>
        </w:tc>
      </w:tr>
      <w:tr>
        <w:tc>
          <w:tcPr>
            <w:tcW w:type="dxa" w:w="1296"/>
          </w:tcPr>
          <w:p>
            <w:r/>
            <w:r>
              <w:rPr>
                <w:sz w:val="16"/>
              </w:rPr>
              <w:t>CE</w:t>
            </w:r>
          </w:p>
        </w:tc>
        <w:tc>
          <w:tcPr>
            <w:tcW w:type="dxa" w:w="1296"/>
          </w:tcPr>
          <w:p>
            <w:r/>
            <w:r>
              <w:rPr>
                <w:sz w:val="16"/>
              </w:rPr>
              <w:t>6</w:t>
            </w:r>
          </w:p>
        </w:tc>
        <w:tc>
          <w:tcPr>
            <w:tcW w:type="dxa" w:w="1296"/>
          </w:tcPr>
          <w:p>
            <w:r/>
            <w:r>
              <w:rPr>
                <w:sz w:val="16"/>
              </w:rPr>
              <w:t>42.0</w:t>
            </w:r>
          </w:p>
        </w:tc>
        <w:tc>
          <w:tcPr>
            <w:tcW w:type="dxa" w:w="1296"/>
          </w:tcPr>
          <w:p>
            <w:r/>
            <w:r>
              <w:rPr>
                <w:sz w:val="16"/>
              </w:rPr>
              <w:t>1477597.0</w:t>
            </w:r>
          </w:p>
        </w:tc>
        <w:tc>
          <w:tcPr>
            <w:tcW w:type="dxa" w:w="1296"/>
          </w:tcPr>
          <w:p>
            <w:r/>
            <w:r>
              <w:rPr>
                <w:sz w:val="16"/>
              </w:rPr>
              <w:t>2.84</w:t>
            </w:r>
          </w:p>
        </w:tc>
        <w:tc>
          <w:tcPr>
            <w:tcW w:type="dxa" w:w="1296"/>
          </w:tcPr>
          <w:p>
            <w:r/>
            <w:r>
              <w:rPr>
                <w:sz w:val="16"/>
              </w:rPr>
              <w:t>184</w:t>
            </w:r>
          </w:p>
        </w:tc>
        <w:tc>
          <w:tcPr>
            <w:tcW w:type="dxa" w:w="1296"/>
          </w:tcPr>
          <w:p>
            <w:r/>
            <w:r>
              <w:rPr>
                <w:sz w:val="16"/>
              </w:rPr>
              <w:t>3.3</w:t>
            </w:r>
          </w:p>
        </w:tc>
      </w:tr>
      <w:tr>
        <w:tc>
          <w:tcPr>
            <w:tcW w:type="dxa" w:w="1296"/>
          </w:tcPr>
          <w:p>
            <w:r/>
            <w:r>
              <w:rPr>
                <w:sz w:val="16"/>
              </w:rPr>
              <w:t>TO</w:t>
            </w:r>
          </w:p>
        </w:tc>
        <w:tc>
          <w:tcPr>
            <w:tcW w:type="dxa" w:w="1296"/>
          </w:tcPr>
          <w:p>
            <w:r/>
            <w:r>
              <w:rPr>
                <w:sz w:val="16"/>
              </w:rPr>
              <w:t>3</w:t>
            </w:r>
          </w:p>
        </w:tc>
        <w:tc>
          <w:tcPr>
            <w:tcW w:type="dxa" w:w="1296"/>
          </w:tcPr>
          <w:p>
            <w:r/>
            <w:r>
              <w:rPr>
                <w:sz w:val="16"/>
              </w:rPr>
              <w:t>9.0</w:t>
            </w:r>
          </w:p>
        </w:tc>
        <w:tc>
          <w:tcPr>
            <w:tcW w:type="dxa" w:w="1296"/>
          </w:tcPr>
          <w:p>
            <w:r/>
            <w:r>
              <w:rPr>
                <w:sz w:val="16"/>
              </w:rPr>
              <w:t>467492.0</w:t>
            </w:r>
          </w:p>
        </w:tc>
        <w:tc>
          <w:tcPr>
            <w:tcW w:type="dxa" w:w="1296"/>
          </w:tcPr>
          <w:p>
            <w:r/>
            <w:r>
              <w:rPr>
                <w:sz w:val="16"/>
              </w:rPr>
              <w:t>1.93</w:t>
            </w:r>
          </w:p>
        </w:tc>
        <w:tc>
          <w:tcPr>
            <w:tcW w:type="dxa" w:w="1296"/>
          </w:tcPr>
          <w:p>
            <w:r/>
            <w:r>
              <w:rPr>
                <w:sz w:val="16"/>
              </w:rPr>
              <w:t>139</w:t>
            </w:r>
          </w:p>
        </w:tc>
        <w:tc>
          <w:tcPr>
            <w:tcW w:type="dxa" w:w="1296"/>
          </w:tcPr>
          <w:p>
            <w:r/>
            <w:r>
              <w:rPr>
                <w:sz w:val="16"/>
              </w:rPr>
              <w:t>2.2</w:t>
            </w:r>
          </w:p>
        </w:tc>
      </w:tr>
      <w:tr>
        <w:tc>
          <w:tcPr>
            <w:tcW w:type="dxa" w:w="1296"/>
          </w:tcPr>
          <w:p>
            <w:r/>
            <w:r>
              <w:rPr>
                <w:sz w:val="16"/>
              </w:rPr>
              <w:t>AC</w:t>
            </w:r>
          </w:p>
        </w:tc>
        <w:tc>
          <w:tcPr>
            <w:tcW w:type="dxa" w:w="1296"/>
          </w:tcPr>
          <w:p>
            <w:r/>
            <w:r>
              <w:rPr>
                <w:sz w:val="16"/>
              </w:rPr>
              <w:t>3</w:t>
            </w:r>
          </w:p>
        </w:tc>
        <w:tc>
          <w:tcPr>
            <w:tcW w:type="dxa" w:w="1296"/>
          </w:tcPr>
          <w:p>
            <w:r/>
            <w:r>
              <w:rPr>
                <w:sz w:val="16"/>
              </w:rPr>
              <w:t>16.0</w:t>
            </w:r>
          </w:p>
        </w:tc>
        <w:tc>
          <w:tcPr>
            <w:tcW w:type="dxa" w:w="1296"/>
          </w:tcPr>
          <w:p>
            <w:r/>
            <w:r>
              <w:rPr>
                <w:sz w:val="16"/>
              </w:rPr>
              <w:t>380850.0</w:t>
            </w:r>
          </w:p>
        </w:tc>
        <w:tc>
          <w:tcPr>
            <w:tcW w:type="dxa" w:w="1296"/>
          </w:tcPr>
          <w:p>
            <w:r/>
            <w:r>
              <w:rPr>
                <w:sz w:val="16"/>
              </w:rPr>
              <w:t>4.2</w:t>
            </w:r>
          </w:p>
        </w:tc>
        <w:tc>
          <w:tcPr>
            <w:tcW w:type="dxa" w:w="1296"/>
          </w:tcPr>
          <w:p>
            <w:r/>
            <w:r>
              <w:rPr>
                <w:sz w:val="16"/>
              </w:rPr>
              <w:t>22</w:t>
            </w:r>
          </w:p>
        </w:tc>
        <w:tc>
          <w:tcPr>
            <w:tcW w:type="dxa" w:w="1296"/>
          </w:tcPr>
          <w:p>
            <w:r/>
            <w:r>
              <w:rPr>
                <w:sz w:val="16"/>
              </w:rPr>
              <w:t>13.6</w:t>
            </w:r>
          </w:p>
        </w:tc>
      </w:tr>
      <w:tr>
        <w:tc>
          <w:tcPr>
            <w:tcW w:type="dxa" w:w="1296"/>
          </w:tcPr>
          <w:p>
            <w:r/>
            <w:r>
              <w:rPr>
                <w:sz w:val="16"/>
              </w:rPr>
              <w:t>AL</w:t>
            </w:r>
          </w:p>
        </w:tc>
        <w:tc>
          <w:tcPr>
            <w:tcW w:type="dxa" w:w="1296"/>
          </w:tcPr>
          <w:p>
            <w:r/>
            <w:r>
              <w:rPr>
                <w:sz w:val="16"/>
              </w:rPr>
              <w:t>2</w:t>
            </w:r>
          </w:p>
        </w:tc>
        <w:tc>
          <w:tcPr>
            <w:tcW w:type="dxa" w:w="1296"/>
          </w:tcPr>
          <w:p>
            <w:r/>
            <w:r>
              <w:rPr>
                <w:sz w:val="16"/>
              </w:rPr>
              <w:t>9.0</w:t>
            </w:r>
          </w:p>
        </w:tc>
        <w:tc>
          <w:tcPr>
            <w:tcW w:type="dxa" w:w="1296"/>
          </w:tcPr>
          <w:p>
            <w:r/>
            <w:r>
              <w:rPr>
                <w:sz w:val="16"/>
              </w:rPr>
              <w:t>321205.0</w:t>
            </w:r>
          </w:p>
        </w:tc>
        <w:tc>
          <w:tcPr>
            <w:tcW w:type="dxa" w:w="1296"/>
          </w:tcPr>
          <w:p>
            <w:r/>
            <w:r>
              <w:rPr>
                <w:sz w:val="16"/>
              </w:rPr>
              <w:t>2.8</w:t>
            </w:r>
          </w:p>
        </w:tc>
        <w:tc>
          <w:tcPr>
            <w:tcW w:type="dxa" w:w="1296"/>
          </w:tcPr>
          <w:p>
            <w:r/>
            <w:r>
              <w:rPr>
                <w:sz w:val="16"/>
              </w:rPr>
              <w:t>102</w:t>
            </w:r>
          </w:p>
        </w:tc>
        <w:tc>
          <w:tcPr>
            <w:tcW w:type="dxa" w:w="1296"/>
          </w:tcPr>
          <w:p>
            <w:r/>
            <w:r>
              <w:rPr>
                <w:sz w:val="16"/>
              </w:rPr>
              <w:t>2.0</w:t>
            </w:r>
          </w:p>
        </w:tc>
      </w:tr>
      <w:tr>
        <w:tc>
          <w:tcPr>
            <w:tcW w:type="dxa" w:w="1296"/>
          </w:tcPr>
          <w:p>
            <w:r/>
            <w:r>
              <w:rPr>
                <w:sz w:val="16"/>
              </w:rPr>
              <w:t>RJ</w:t>
            </w:r>
          </w:p>
        </w:tc>
        <w:tc>
          <w:tcPr>
            <w:tcW w:type="dxa" w:w="1296"/>
          </w:tcPr>
          <w:p>
            <w:r/>
            <w:r>
              <w:rPr>
                <w:sz w:val="16"/>
              </w:rPr>
              <w:t>2</w:t>
            </w:r>
          </w:p>
        </w:tc>
        <w:tc>
          <w:tcPr>
            <w:tcW w:type="dxa" w:w="1296"/>
          </w:tcPr>
          <w:p>
            <w:r/>
            <w:r>
              <w:rPr>
                <w:sz w:val="16"/>
              </w:rPr>
              <w:t>10.0</w:t>
            </w:r>
          </w:p>
        </w:tc>
        <w:tc>
          <w:tcPr>
            <w:tcW w:type="dxa" w:w="1296"/>
          </w:tcPr>
          <w:p>
            <w:r/>
            <w:r>
              <w:rPr>
                <w:sz w:val="16"/>
              </w:rPr>
              <w:t>455465.0</w:t>
            </w:r>
          </w:p>
        </w:tc>
        <w:tc>
          <w:tcPr>
            <w:tcW w:type="dxa" w:w="1296"/>
          </w:tcPr>
          <w:p>
            <w:r/>
            <w:r>
              <w:rPr>
                <w:sz w:val="16"/>
              </w:rPr>
              <w:t>2.2</w:t>
            </w:r>
          </w:p>
        </w:tc>
        <w:tc>
          <w:tcPr>
            <w:tcW w:type="dxa" w:w="1296"/>
          </w:tcPr>
          <w:p>
            <w:r/>
            <w:r>
              <w:rPr>
                <w:sz w:val="16"/>
              </w:rPr>
              <w:t>92</w:t>
            </w:r>
          </w:p>
        </w:tc>
        <w:tc>
          <w:tcPr>
            <w:tcW w:type="dxa" w:w="1296"/>
          </w:tcPr>
          <w:p>
            <w:r/>
            <w:r>
              <w:rPr>
                <w:sz w:val="16"/>
              </w:rPr>
              <w:t>2.2</w:t>
            </w:r>
          </w:p>
        </w:tc>
      </w:tr>
      <w:tr>
        <w:tc>
          <w:tcPr>
            <w:tcW w:type="dxa" w:w="1296"/>
          </w:tcPr>
          <w:p>
            <w:r/>
            <w:r>
              <w:rPr>
                <w:sz w:val="16"/>
              </w:rPr>
              <w:t>ES</w:t>
            </w:r>
          </w:p>
        </w:tc>
        <w:tc>
          <w:tcPr>
            <w:tcW w:type="dxa" w:w="1296"/>
          </w:tcPr>
          <w:p>
            <w:r/>
            <w:r>
              <w:rPr>
                <w:sz w:val="16"/>
              </w:rPr>
              <w:t>1</w:t>
            </w:r>
          </w:p>
        </w:tc>
        <w:tc>
          <w:tcPr>
            <w:tcW w:type="dxa" w:w="1296"/>
          </w:tcPr>
          <w:p>
            <w:r/>
            <w:r>
              <w:rPr>
                <w:sz w:val="16"/>
              </w:rPr>
              <w:t>1.0</w:t>
            </w:r>
          </w:p>
        </w:tc>
        <w:tc>
          <w:tcPr>
            <w:tcW w:type="dxa" w:w="1296"/>
          </w:tcPr>
          <w:p>
            <w:r/>
            <w:r>
              <w:rPr>
                <w:sz w:val="16"/>
              </w:rPr>
              <w:t>92874.0</w:t>
            </w:r>
          </w:p>
        </w:tc>
        <w:tc>
          <w:tcPr>
            <w:tcW w:type="dxa" w:w="1296"/>
          </w:tcPr>
          <w:p>
            <w:r/>
            <w:r>
              <w:rPr>
                <w:sz w:val="16"/>
              </w:rPr>
              <w:t>1.08</w:t>
            </w:r>
          </w:p>
        </w:tc>
        <w:tc>
          <w:tcPr>
            <w:tcW w:type="dxa" w:w="1296"/>
          </w:tcPr>
          <w:p>
            <w:r/>
            <w:r>
              <w:rPr>
                <w:sz w:val="16"/>
              </w:rPr>
              <w:t>78</w:t>
            </w:r>
          </w:p>
        </w:tc>
        <w:tc>
          <w:tcPr>
            <w:tcW w:type="dxa" w:w="1296"/>
          </w:tcPr>
          <w:p>
            <w:r/>
            <w:r>
              <w:rPr>
                <w:sz w:val="16"/>
              </w:rPr>
              <w:t>1.3</w:t>
            </w:r>
          </w:p>
        </w:tc>
      </w:tr>
      <w:tr>
        <w:tc>
          <w:tcPr>
            <w:tcW w:type="dxa" w:w="1296"/>
          </w:tcPr>
          <w:p>
            <w:r/>
            <w:r>
              <w:rPr>
                <w:sz w:val="16"/>
              </w:rPr>
              <w:t>DF</w:t>
            </w:r>
          </w:p>
        </w:tc>
        <w:tc>
          <w:tcPr>
            <w:tcW w:type="dxa" w:w="1296"/>
          </w:tcPr>
          <w:p>
            <w:r/>
            <w:r>
              <w:rPr>
                <w:sz w:val="16"/>
              </w:rPr>
              <w:t>1</w:t>
            </w:r>
          </w:p>
        </w:tc>
        <w:tc>
          <w:tcPr>
            <w:tcW w:type="dxa" w:w="1296"/>
          </w:tcPr>
          <w:p>
            <w:r/>
            <w:r>
              <w:rPr>
                <w:sz w:val="16"/>
              </w:rPr>
              <w:t>634.0</w:t>
            </w:r>
          </w:p>
        </w:tc>
        <w:tc>
          <w:tcPr>
            <w:tcW w:type="dxa" w:w="1296"/>
          </w:tcPr>
          <w:p>
            <w:r/>
            <w:r>
              <w:rPr>
                <w:sz w:val="16"/>
              </w:rPr>
              <w:t>29771234.0</w:t>
            </w:r>
          </w:p>
        </w:tc>
        <w:tc>
          <w:tcPr>
            <w:tcW w:type="dxa" w:w="1296"/>
          </w:tcPr>
          <w:p>
            <w:r/>
            <w:r>
              <w:rPr>
                <w:sz w:val="16"/>
              </w:rPr>
              <w:t>2.13</w:t>
            </w:r>
          </w:p>
        </w:tc>
        <w:tc>
          <w:tcPr>
            <w:tcW w:type="dxa" w:w="1296"/>
          </w:tcPr>
          <w:p>
            <w:r/>
            <w:r>
              <w:rPr>
                <w:sz w:val="16"/>
              </w:rPr>
              <w:t>1</w:t>
            </w:r>
          </w:p>
        </w:tc>
        <w:tc>
          <w:tcPr>
            <w:tcW w:type="dxa" w:w="1296"/>
          </w:tcPr>
          <w:p>
            <w:r/>
            <w:r>
              <w:rPr>
                <w:sz w:val="16"/>
              </w:rPr>
              <w:t>100.0</w:t>
            </w:r>
          </w:p>
        </w:tc>
      </w:tr>
      <w:tr>
        <w:tc>
          <w:tcPr>
            <w:tcW w:type="dxa" w:w="1296"/>
          </w:tcPr>
          <w:p>
            <w:r/>
            <w:r>
              <w:rPr>
                <w:sz w:val="16"/>
              </w:rPr>
              <w:t>PR</w:t>
            </w:r>
          </w:p>
        </w:tc>
        <w:tc>
          <w:tcPr>
            <w:tcW w:type="dxa" w:w="1296"/>
          </w:tcPr>
          <w:p>
            <w:r/>
            <w:r>
              <w:rPr>
                <w:sz w:val="16"/>
              </w:rPr>
              <w:t>1</w:t>
            </w:r>
          </w:p>
        </w:tc>
        <w:tc>
          <w:tcPr>
            <w:tcW w:type="dxa" w:w="1296"/>
          </w:tcPr>
          <w:p>
            <w:r/>
            <w:r>
              <w:rPr>
                <w:sz w:val="16"/>
              </w:rPr>
              <w:t>0.0</w:t>
            </w:r>
          </w:p>
        </w:tc>
        <w:tc>
          <w:tcPr>
            <w:tcW w:type="dxa" w:w="1296"/>
          </w:tcPr>
          <w:p>
            <w:r/>
            <w:r>
              <w:rPr>
                <w:sz w:val="16"/>
              </w:rPr>
              <w:t>56854.0</w:t>
            </w:r>
          </w:p>
        </w:tc>
        <w:tc>
          <w:tcPr>
            <w:tcW w:type="dxa" w:w="1296"/>
          </w:tcPr>
          <w:p>
            <w:r/>
            <w:r>
              <w:rPr>
                <w:sz w:val="16"/>
              </w:rPr>
              <w:t>0.0</w:t>
            </w:r>
          </w:p>
        </w:tc>
        <w:tc>
          <w:tcPr>
            <w:tcW w:type="dxa" w:w="1296"/>
          </w:tcPr>
          <w:p>
            <w:r/>
            <w:r>
              <w:rPr>
                <w:sz w:val="16"/>
              </w:rPr>
              <w:t>399</w:t>
            </w:r>
          </w:p>
        </w:tc>
        <w:tc>
          <w:tcPr>
            <w:tcW w:type="dxa" w:w="1296"/>
          </w:tcPr>
          <w:p>
            <w:r/>
            <w:r>
              <w:rPr>
                <w:sz w:val="16"/>
              </w:rPr>
              <w:t>0.3</w:t>
            </w:r>
          </w:p>
        </w:tc>
      </w:tr>
      <w:tr>
        <w:tc>
          <w:tcPr>
            <w:tcW w:type="dxa" w:w="1296"/>
          </w:tcPr>
          <w:p>
            <w:r/>
            <w:r>
              <w:rPr>
                <w:sz w:val="16"/>
              </w:rPr>
              <w:t>RS</w:t>
            </w:r>
          </w:p>
        </w:tc>
        <w:tc>
          <w:tcPr>
            <w:tcW w:type="dxa" w:w="1296"/>
          </w:tcPr>
          <w:p>
            <w:r/>
            <w:r>
              <w:rPr>
                <w:sz w:val="16"/>
              </w:rPr>
              <w:t>1</w:t>
            </w:r>
          </w:p>
        </w:tc>
        <w:tc>
          <w:tcPr>
            <w:tcW w:type="dxa" w:w="1296"/>
          </w:tcPr>
          <w:p>
            <w:r/>
            <w:r>
              <w:rPr>
                <w:sz w:val="16"/>
              </w:rPr>
              <w:t>0.0</w:t>
            </w:r>
          </w:p>
        </w:tc>
        <w:tc>
          <w:tcPr>
            <w:tcW w:type="dxa" w:w="1296"/>
          </w:tcPr>
          <w:p>
            <w:r/>
            <w:r>
              <w:rPr>
                <w:sz w:val="16"/>
              </w:rPr>
              <w:t>29350.0</w:t>
            </w:r>
          </w:p>
        </w:tc>
        <w:tc>
          <w:tcPr>
            <w:tcW w:type="dxa" w:w="1296"/>
          </w:tcPr>
          <w:p>
            <w:r/>
            <w:r>
              <w:rPr>
                <w:sz w:val="16"/>
              </w:rPr>
              <w:t>0.0</w:t>
            </w:r>
          </w:p>
        </w:tc>
        <w:tc>
          <w:tcPr>
            <w:tcW w:type="dxa" w:w="1296"/>
          </w:tcPr>
          <w:p>
            <w:r/>
            <w:r>
              <w:rPr>
                <w:sz w:val="16"/>
              </w:rPr>
              <w:t>497</w:t>
            </w:r>
          </w:p>
        </w:tc>
        <w:tc>
          <w:tcPr>
            <w:tcW w:type="dxa" w:w="1296"/>
          </w:tcPr>
          <w:p>
            <w:r/>
            <w:r>
              <w:rPr>
                <w:sz w:val="16"/>
              </w:rPr>
              <w:t>0.2</w:t>
            </w:r>
          </w:p>
        </w:tc>
      </w:tr>
    </w:tbl>
    <w:p>
      <w:pPr>
        <w:spacing w:before="240" w:after="80"/>
      </w:pPr>
      <w:r>
        <w:rPr>
          <w:b/>
          <w:sz w:val="20"/>
        </w:rPr>
        <w:t>Tabela S11. Razão de razões dentro de cada quartil de acesso à água (Censo 2022)</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Quartil de acesso (Censo)</w:t>
            </w:r>
          </w:p>
        </w:tc>
        <w:tc>
          <w:tcPr>
            <w:tcW w:type="dxa" w:w="1814"/>
          </w:tcPr>
          <w:p>
            <w:r/>
            <w:r>
              <w:rPr>
                <w:b/>
                <w:sz w:val="16"/>
              </w:rPr>
              <w:t>Municípios</w:t>
            </w:r>
          </w:p>
        </w:tc>
        <w:tc>
          <w:tcPr>
            <w:tcW w:type="dxa" w:w="1814"/>
          </w:tcPr>
          <w:p>
            <w:r/>
            <w:r>
              <w:rPr>
                <w:b/>
                <w:sz w:val="16"/>
              </w:rPr>
              <w:t>% sem água (mediana)</w:t>
            </w:r>
          </w:p>
        </w:tc>
        <w:tc>
          <w:tcPr>
            <w:tcW w:type="dxa" w:w="1814"/>
          </w:tcPr>
          <w:p>
            <w:r/>
            <w:r>
              <w:rPr>
                <w:b/>
                <w:sz w:val="16"/>
              </w:rPr>
              <w:t>Óbitos A00–A09</w:t>
            </w:r>
          </w:p>
        </w:tc>
        <w:tc>
          <w:tcPr>
            <w:tcW w:type="dxa" w:w="1814"/>
          </w:tcPr>
          <w:p>
            <w:r/>
            <w:r>
              <w:rPr>
                <w:b/>
                <w:sz w:val="16"/>
              </w:rPr>
              <w:t>RRR no estrato</w:t>
            </w:r>
          </w:p>
        </w:tc>
      </w:tr>
      <w:tr>
        <w:tc>
          <w:tcPr>
            <w:tcW w:type="dxa" w:w="1814"/>
          </w:tcPr>
          <w:p>
            <w:r/>
            <w:r>
              <w:rPr>
                <w:sz w:val="16"/>
              </w:rPr>
              <w:t>Q1</w:t>
            </w:r>
          </w:p>
        </w:tc>
        <w:tc>
          <w:tcPr>
            <w:tcW w:type="dxa" w:w="1814"/>
          </w:tcPr>
          <w:p>
            <w:r/>
            <w:r>
              <w:rPr>
                <w:sz w:val="16"/>
              </w:rPr>
              <w:t>1394</w:t>
            </w:r>
          </w:p>
        </w:tc>
        <w:tc>
          <w:tcPr>
            <w:tcW w:type="dxa" w:w="1814"/>
          </w:tcPr>
          <w:p>
            <w:r/>
            <w:r>
              <w:rPr>
                <w:sz w:val="16"/>
              </w:rPr>
              <w:t>4.99</w:t>
            </w:r>
          </w:p>
        </w:tc>
        <w:tc>
          <w:tcPr>
            <w:tcW w:type="dxa" w:w="1814"/>
          </w:tcPr>
          <w:p>
            <w:r/>
            <w:r>
              <w:rPr>
                <w:sz w:val="16"/>
              </w:rPr>
              <w:t>26984</w:t>
            </w:r>
          </w:p>
        </w:tc>
        <w:tc>
          <w:tcPr>
            <w:tcW w:type="dxa" w:w="1814"/>
          </w:tcPr>
          <w:p>
            <w:r/>
            <w:r>
              <w:rPr>
                <w:sz w:val="16"/>
              </w:rPr>
              <w:t>2.008</w:t>
            </w:r>
          </w:p>
        </w:tc>
      </w:tr>
      <w:tr>
        <w:tc>
          <w:tcPr>
            <w:tcW w:type="dxa" w:w="1814"/>
          </w:tcPr>
          <w:p>
            <w:r/>
            <w:r>
              <w:rPr>
                <w:sz w:val="16"/>
              </w:rPr>
              <w:t>Q2</w:t>
            </w:r>
          </w:p>
        </w:tc>
        <w:tc>
          <w:tcPr>
            <w:tcW w:type="dxa" w:w="1814"/>
          </w:tcPr>
          <w:p>
            <w:r/>
            <w:r>
              <w:rPr>
                <w:sz w:val="16"/>
              </w:rPr>
              <w:t>1392</w:t>
            </w:r>
          </w:p>
        </w:tc>
        <w:tc>
          <w:tcPr>
            <w:tcW w:type="dxa" w:w="1814"/>
          </w:tcPr>
          <w:p>
            <w:r/>
            <w:r>
              <w:rPr>
                <w:sz w:val="16"/>
              </w:rPr>
              <w:t>13.3</w:t>
            </w:r>
          </w:p>
        </w:tc>
        <w:tc>
          <w:tcPr>
            <w:tcW w:type="dxa" w:w="1814"/>
          </w:tcPr>
          <w:p>
            <w:r/>
            <w:r>
              <w:rPr>
                <w:sz w:val="16"/>
              </w:rPr>
              <w:t>8628</w:t>
            </w:r>
          </w:p>
        </w:tc>
        <w:tc>
          <w:tcPr>
            <w:tcW w:type="dxa" w:w="1814"/>
          </w:tcPr>
          <w:p>
            <w:r/>
            <w:r>
              <w:rPr>
                <w:sz w:val="16"/>
              </w:rPr>
              <w:t>1.415</w:t>
            </w:r>
          </w:p>
        </w:tc>
      </w:tr>
      <w:tr>
        <w:tc>
          <w:tcPr>
            <w:tcW w:type="dxa" w:w="1814"/>
          </w:tcPr>
          <w:p>
            <w:r/>
            <w:r>
              <w:rPr>
                <w:sz w:val="16"/>
              </w:rPr>
              <w:t>Q3</w:t>
            </w:r>
          </w:p>
        </w:tc>
        <w:tc>
          <w:tcPr>
            <w:tcW w:type="dxa" w:w="1814"/>
          </w:tcPr>
          <w:p>
            <w:r/>
            <w:r>
              <w:rPr>
                <w:sz w:val="16"/>
              </w:rPr>
              <w:t>1391</w:t>
            </w:r>
          </w:p>
        </w:tc>
        <w:tc>
          <w:tcPr>
            <w:tcW w:type="dxa" w:w="1814"/>
          </w:tcPr>
          <w:p>
            <w:r/>
            <w:r>
              <w:rPr>
                <w:sz w:val="16"/>
              </w:rPr>
              <w:t>24.51</w:t>
            </w:r>
          </w:p>
        </w:tc>
        <w:tc>
          <w:tcPr>
            <w:tcW w:type="dxa" w:w="1814"/>
          </w:tcPr>
          <w:p>
            <w:r/>
            <w:r>
              <w:rPr>
                <w:sz w:val="16"/>
              </w:rPr>
              <w:t>7341</w:t>
            </w:r>
          </w:p>
        </w:tc>
        <w:tc>
          <w:tcPr>
            <w:tcW w:type="dxa" w:w="1814"/>
          </w:tcPr>
          <w:p>
            <w:r/>
            <w:r>
              <w:rPr>
                <w:sz w:val="16"/>
              </w:rPr>
              <w:t>1.781</w:t>
            </w:r>
          </w:p>
        </w:tc>
      </w:tr>
      <w:tr>
        <w:tc>
          <w:tcPr>
            <w:tcW w:type="dxa" w:w="1814"/>
          </w:tcPr>
          <w:p>
            <w:r/>
            <w:r>
              <w:rPr>
                <w:sz w:val="16"/>
              </w:rPr>
              <w:t>Q4</w:t>
            </w:r>
          </w:p>
        </w:tc>
        <w:tc>
          <w:tcPr>
            <w:tcW w:type="dxa" w:w="1814"/>
          </w:tcPr>
          <w:p>
            <w:r/>
            <w:r>
              <w:rPr>
                <w:sz w:val="16"/>
              </w:rPr>
              <w:t>1393</w:t>
            </w:r>
          </w:p>
        </w:tc>
        <w:tc>
          <w:tcPr>
            <w:tcW w:type="dxa" w:w="1814"/>
          </w:tcPr>
          <w:p>
            <w:r/>
            <w:r>
              <w:rPr>
                <w:sz w:val="16"/>
              </w:rPr>
              <w:t>43.89</w:t>
            </w:r>
          </w:p>
        </w:tc>
        <w:tc>
          <w:tcPr>
            <w:tcW w:type="dxa" w:w="1814"/>
          </w:tcPr>
          <w:p>
            <w:r/>
            <w:r>
              <w:rPr>
                <w:sz w:val="16"/>
              </w:rPr>
              <w:t>6476</w:t>
            </w:r>
          </w:p>
        </w:tc>
        <w:tc>
          <w:tcPr>
            <w:tcW w:type="dxa" w:w="1814"/>
          </w:tcPr>
          <w:p>
            <w:r/>
            <w:r>
              <w:rPr>
                <w:sz w:val="16"/>
              </w:rPr>
              <w:t>2.149</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B0B0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