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t xml:space="preserve">Anexo </w:t>
      </w:r>
      <w:bookmarkStart w:id="0" w:name="_GoBack"/>
      <w:bookmarkEnd w:id="0"/>
      <w:r>
        <w:rPr>
          <w:rFonts w:cs="Calibri" w:cstheme="minorHAnsi"/>
          <w:b/>
          <w:bCs/>
        </w:rPr>
        <w:t>A-10: Comunicación del resultado del asesoramiento</w:t>
      </w:r>
    </w:p>
    <w:p>
      <w:pPr>
        <w:pStyle w:val="Normal"/>
        <w:suppressAutoHyphens w:val="false"/>
        <w:spacing w:lineRule="auto" w:line="240" w:before="0" w:after="0"/>
        <w:jc w:val="center"/>
        <w:rPr>
          <w:rFonts w:ascii="Calibri" w:hAnsi="Calibri" w:cs="Calibri" w:asciiTheme="minorHAnsi" w:cstheme="minorHAnsi" w:hAnsiTheme="minorHAnsi"/>
          <w:b/>
          <w:bCs/>
          <w:sz w:val="20"/>
          <w:szCs w:val="20"/>
        </w:rPr>
      </w:pPr>
      <w:r>
        <w:rPr>
          <w:rFonts w:cs="Calibri" w:cstheme="minorHAnsi"/>
          <w:b/>
          <w:bCs/>
          <w:sz w:val="20"/>
          <w:szCs w:val="20"/>
        </w:rPr>
      </w:r>
    </w:p>
    <w:p>
      <w:pPr>
        <w:pStyle w:val="Normal"/>
        <w:suppressAutoHyphens w:val="false"/>
        <w:spacing w:lineRule="auto" w:line="240" w:before="0" w:after="0"/>
        <w:jc w:val="both"/>
        <w:rPr>
          <w:rFonts w:ascii="Calibri" w:hAnsi="Calibri" w:eastAsia="Calibri" w:cs="Calibri" w:asciiTheme="minorHAnsi" w:cstheme="minorHAnsi" w:hAnsiTheme="minorHAnsi"/>
          <w:color w:val="1D1D1B"/>
          <w:kern w:val="0"/>
          <w:sz w:val="20"/>
          <w:szCs w:val="20"/>
          <w:lang w:eastAsia="en-US"/>
        </w:rPr>
      </w:pPr>
      <w:r>
        <w:rPr>
          <w:rFonts w:eastAsia="Calibri" w:cs="Calibri" w:cstheme="minorHAnsi"/>
          <w:color w:val="1D1D1B"/>
          <w:kern w:val="0"/>
          <w:sz w:val="20"/>
          <w:szCs w:val="20"/>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b/>
          <w:bCs/>
          <w:sz w:val="18"/>
          <w:szCs w:val="18"/>
        </w:rPr>
      </w:pPr>
      <w:r>
        <w:rPr>
          <w:rFonts w:cs="Calibri" w:cstheme="minorHAnsi"/>
          <w:b/>
          <w:bCs/>
          <w:sz w:val="18"/>
          <w:szCs w:val="18"/>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D./Doña </w:t>
      </w:r>
      <w:r>
        <w:rPr>
          <w:rFonts w:cs="Calibri" w:cstheme="minorHAnsi"/>
          <w:b/>
          <w:bCs/>
        </w:rPr>
        <w:t>{asesorFullName}</w:t>
      </w:r>
      <w:r>
        <w:rPr>
          <w:rFonts w:cs="Calibri" w:cstheme="minorHAnsi"/>
        </w:rPr>
        <w:t xml:space="preserve">, en funciones de </w:t>
      </w:r>
      <w:r>
        <w:rPr>
          <w:rFonts w:cs="Calibri" w:cstheme="minorHAnsi"/>
          <w:b/>
          <w:bCs/>
        </w:rPr>
        <w:t>{asesorRole}</w:t>
      </w:r>
      <w:r>
        <w:rPr>
          <w:rFonts w:cs="Calibri" w:cstheme="minorHAnsi"/>
        </w:rPr>
        <w:t xml:space="preserve"> en la comisión de la familia profesional de </w:t>
      </w:r>
      <w:r>
        <w:rPr>
          <w:rFonts w:cs="Calibri" w:cstheme="minorHAnsi"/>
          <w:b/>
          <w:bCs/>
        </w:rPr>
        <w:t>{familiaProfesional}</w:t>
      </w:r>
      <w:r>
        <w:rPr>
          <w:rFonts w:cs="Calibri" w:cstheme="minorHAnsi"/>
        </w:rPr>
        <w:t xml:space="preserve"> de la sede </w:t>
      </w:r>
      <w:r>
        <w:rPr>
          <w:rFonts w:cs="Calibri" w:cstheme="minorHAnsi"/>
          <w:b/>
          <w:bCs/>
        </w:rPr>
        <w:t>{sede}</w:t>
      </w:r>
      <w:r>
        <w:rPr>
          <w:rFonts w:cs="Calibri" w:cstheme="minorHAnsi"/>
          <w:b w:val="false"/>
          <w:bCs w:val="false"/>
        </w:rPr>
        <w:t>, c</w:t>
      </w:r>
      <w:r>
        <w:rPr>
          <w:rFonts w:cs="Calibri" w:cstheme="minorHAnsi"/>
        </w:rPr>
        <w:t xml:space="preserve">omunica al candidato/a citado a continuación, el resultado de la fase de asesoramiento a los efectos previstos en la presente convocatoria. </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Candidato/a: </w:t>
      </w:r>
      <w:r>
        <w:rPr>
          <w:rFonts w:cs="Calibri" w:cstheme="minorHAnsi"/>
          <w:b/>
          <w:bCs/>
        </w:rPr>
        <w:t>{candidateFullName}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base a su historial profesional y formativo y a las evidencias presentadas o generadas en esta fase, se propone: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A) Unidades de competencia asesoradas que deben ser evaluadas en la siguiente fase.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{#UCsPass}</w:t>
      </w:r>
    </w:p>
    <w:p>
      <w:pPr>
        <w:pStyle w:val="Normal"/>
        <w:numPr>
          <w:ilvl w:val="0"/>
          <w:numId w:val="1"/>
        </w:numPr>
        <w:suppressAutoHyphens w:val="false"/>
        <w:spacing w:lineRule="auto" w:line="240" w:before="0" w:after="0"/>
        <w:jc w:val="both"/>
        <w:rPr>
          <w:rFonts w:ascii="Calibri" w:hAnsi="Calibri" w:cs="Calibri" w:asciiTheme="minorHAnsi" w:cstheme="minorHAnsi" w:hAnsiTheme="minorHAnsi"/>
        </w:rPr>
      </w:pPr>
      <w:r>
        <w:rPr>
          <w:rFonts w:cs="Calibri" w:cstheme="minorHAnsi"/>
        </w:rPr>
        <w:t>{code}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{/UCsPass}</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t>{#hasUCsFail}</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B) Unidades de competencia asesoradas que no deben ser evaluadas y para las que se realiza una propuesta formativa.</w:t>
      </w:r>
    </w:p>
    <w:p>
      <w:pPr>
        <w:pStyle w:val="Normal"/>
        <w:suppressAutoHyphens w:val="false"/>
        <w:spacing w:lineRule="auto" w:line="240" w:before="0" w:after="0"/>
        <w:rPr>
          <w:rFonts w:ascii="Calibri" w:hAnsi="Calibri" w:cs="Calibri" w:asciiTheme="minorHAnsi" w:cstheme="minorHAnsi" w:hAnsiTheme="minorHAnsi"/>
        </w:rPr>
      </w:pPr>
      <w:r>
        <w:rPr/>
      </w:r>
    </w:p>
    <w:tbl>
      <w:tblPr>
        <w:tblStyle w:val="Tablaconcuadrcula"/>
        <w:tblW w:w="850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5954"/>
      </w:tblGrid>
      <w:tr>
        <w:trPr/>
        <w:tc>
          <w:tcPr>
            <w:tcW w:w="2550" w:type="dxa"/>
            <w:tcBorders/>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UC</w:t>
            </w:r>
          </w:p>
        </w:tc>
        <w:tc>
          <w:tcPr>
            <w:tcW w:w="5954" w:type="dxa"/>
            <w:tcBorders/>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Propuesta formativa</w:t>
            </w:r>
          </w:p>
        </w:tc>
      </w:tr>
      <w:tr>
        <w:trPr>
          <w:trHeight w:val="156" w:hRule="atLeast"/>
        </w:trPr>
        <w:tc>
          <w:tcPr>
            <w:tcW w:w="2550"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rPr>
              <w:t>{#UCs</w:t>
            </w:r>
            <w:r>
              <w:rPr>
                <w:rFonts w:eastAsia="Times New Roman" w:cs="Calibri" w:cstheme="minorHAnsi"/>
                <w:color w:val="000000"/>
                <w:sz w:val="20"/>
                <w:szCs w:val="20"/>
              </w:rPr>
              <w:t>Fail</w:t>
            </w:r>
            <w:r>
              <w:rPr>
                <w:rFonts w:eastAsia="Times New Roman" w:cs="Calibri" w:cstheme="minorHAnsi"/>
                <w:color w:val="000000"/>
                <w:sz w:val="20"/>
                <w:szCs w:val="20"/>
              </w:rPr>
              <w:t>}{code}</w:t>
            </w:r>
          </w:p>
        </w:tc>
        <w:tc>
          <w:tcPr>
            <w:tcW w:w="5954"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olor w:val="000000"/>
              </w:rPr>
              <w:t>{proposal}{/UCs</w:t>
            </w:r>
            <w:r>
              <w:rPr>
                <w:rFonts w:eastAsia="Times New Roman"/>
                <w:color w:val="000000"/>
              </w:rPr>
              <w:t>Fail</w:t>
            </w:r>
            <w:r>
              <w:rPr>
                <w:rFonts w:eastAsia="Times New Roman"/>
                <w:color w:val="000000"/>
              </w:rPr>
              <w:t>}</w:t>
            </w:r>
          </w:p>
        </w:tc>
      </w:tr>
    </w:tbl>
    <w:p>
      <w:pPr>
        <w:pStyle w:val="Normal"/>
        <w:suppressAutoHyphens w:val="false"/>
        <w:spacing w:lineRule="auto" w:line="240" w:before="0" w:after="0"/>
        <w:rPr>
          <w:rFonts w:ascii="Calibri" w:hAnsi="Calibri" w:cs="Calibri" w:asciiTheme="minorHAnsi" w:cstheme="minorHAnsi" w:hAnsiTheme="minorHAnsi"/>
        </w:rPr>
      </w:pPr>
      <w:r>
        <w:rPr/>
        <w:t>{/hasUCsFail}</w:t>
      </w:r>
    </w:p>
    <w:p>
      <w:pPr>
        <w:pStyle w:val="Normal"/>
        <w:suppressAutoHyphens w:val="false"/>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 </w:t>
      </w:r>
    </w:p>
    <w:p>
      <w:pPr>
        <w:pStyle w:val="Normal"/>
        <w:suppressAutoHyphens w:val="false"/>
        <w:spacing w:lineRule="auto" w:line="240" w:before="0" w:after="0"/>
        <w:ind w:hanging="0"/>
        <w:jc w:val="both"/>
        <w:rPr>
          <w:rFonts w:ascii="Calibri" w:hAnsi="Calibri" w:cs="Calibri" w:asciiTheme="minorHAnsi" w:cstheme="minorHAnsi" w:hAnsiTheme="minorHAnsi"/>
          <w:sz w:val="20"/>
          <w:szCs w:val="20"/>
        </w:rPr>
      </w:pPr>
      <w:r>
        <w:rPr>
          <w:rFonts w:cs="Calibri" w:cstheme="minorHAnsi"/>
          <w:sz w:val="20"/>
          <w:szCs w:val="20"/>
        </w:rPr>
        <w:t>Para continuar en la siguiente fase debe cumplimentar la solicitud que encontrará en la web de Cualificaciones Profesionales y abonar las tasas correspondientes, por cada UC solicitada. Si ha sido propuesto/a para pasar a la siguiente fase en alguna UC, presentará estos documentos cuando le cite la persona evaluadora por correo electrónico a la primera entrevista de la evaluación. Si no ha sido propuesto en ninguna UC y quiere continuar en la siguiente fase, deberá presentar los citados documentos en la sede correspondiente a la atención del Presidente/a de la comisión y esperar a ser citado/a por correo electrónico.</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El/La vocal en funciones de asesor/a</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sectPr>
      <w:headerReference w:type="default" r:id="rId2"/>
      <w:footerReference w:type="default" r:id="rId3"/>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Header"/>
            <w:widowControl/>
            <w:bidi w:val="0"/>
            <w:spacing w:before="0" w:after="0"/>
            <w:ind w:left="-115"/>
            <w:jc w:val="left"/>
            <w:rPr>
              <w:sz w:val="22"/>
              <w:szCs w:val="22"/>
              <w:lang w:val="es-ES" w:bidi="ar-SA"/>
            </w:rPr>
          </w:pPr>
          <w:r>
            <w:rPr>
              <w:sz w:val="22"/>
              <w:szCs w:val="22"/>
              <w:lang w:val="es-ES" w:bidi="ar-SA"/>
            </w:rPr>
          </w:r>
        </w:p>
      </w:tc>
      <w:tc>
        <w:tcPr>
          <w:tcW w:w="2830" w:type="dxa"/>
          <w:tcBorders/>
        </w:tcPr>
        <w:p>
          <w:pPr>
            <w:pStyle w:val="Header"/>
            <w:widowControl/>
            <w:bidi w:val="0"/>
            <w:spacing w:before="0" w:after="0"/>
            <w:jc w:val="center"/>
            <w:rPr>
              <w:sz w:val="22"/>
              <w:szCs w:val="22"/>
              <w:lang w:val="es-ES" w:bidi="ar-SA"/>
            </w:rPr>
          </w:pPr>
          <w:r>
            <w:rPr>
              <w:sz w:val="22"/>
              <w:szCs w:val="22"/>
              <w:lang w:val="es-ES" w:bidi="ar-SA"/>
            </w:rPr>
          </w:r>
        </w:p>
      </w:tc>
      <w:tc>
        <w:tcPr>
          <w:tcW w:w="2830" w:type="dxa"/>
          <w:tcBorders/>
        </w:tcPr>
        <w:p>
          <w:pPr>
            <w:pStyle w:val="Header"/>
            <w:widowControl/>
            <w:bidi w:val="0"/>
            <w:spacing w:before="0" w:after="0"/>
            <w:ind w:right="-115"/>
            <w:jc w:val="right"/>
            <w:rPr>
              <w:sz w:val="22"/>
              <w:szCs w:val="22"/>
              <w:lang w:val="es-ES" w:bidi="ar-SA"/>
            </w:rPr>
          </w:pPr>
          <w:r>
            <w:rPr>
              <w:sz w:val="22"/>
              <w:szCs w:val="22"/>
              <w:lang w:val="es-E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r>
      <w:rP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a20b40"/>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a20b40"/>
    <w:rPr>
      <w:rFonts w:ascii="Calibri" w:hAnsi="Calibri" w:eastAsia="Andale Sans UI;Arial Unicode MS" w:cs="Tahoma"/>
      <w:kern w:val="2"/>
      <w:sz w:val="20"/>
      <w:szCs w:val="20"/>
      <w:lang w:eastAsia="zh-C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ListParagraph">
    <w:name w:val="List Paragraph"/>
    <w:basedOn w:val="Normal"/>
    <w:qFormat/>
    <w:rsid w:val="00bc526a"/>
    <w:pPr>
      <w:spacing w:before="0" w:after="0"/>
      <w:ind w:left="720"/>
    </w:pPr>
    <w:rPr/>
  </w:style>
  <w:style w:type="paragraph" w:styleId="FootnoteText">
    <w:name w:val="Footnote Text"/>
    <w:basedOn w:val="Normal"/>
    <w:link w:val="TextonotapieCar"/>
    <w:rsid w:val="00a20b40"/>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20b40"/>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Props1.xml><?xml version="1.0" encoding="utf-8"?>
<ds:datastoreItem xmlns:ds="http://schemas.openxmlformats.org/officeDocument/2006/customXml" ds:itemID="{7C1CF256-DF30-4839-91F1-8F177E4A705A}">
  <ds:schemaRefs>
    <ds:schemaRef ds:uri="http://schemas.microsoft.com/sharepoint/v3/contenttype/forms"/>
  </ds:schemaRefs>
</ds:datastoreItem>
</file>

<file path=customXml/itemProps2.xml><?xml version="1.0" encoding="utf-8"?>
<ds:datastoreItem xmlns:ds="http://schemas.openxmlformats.org/officeDocument/2006/customXml" ds:itemID="{7BC5A1B4-B72D-48B4-B0D7-0A4737019DFD}"/>
</file>

<file path=customXml/itemProps3.xml><?xml version="1.0" encoding="utf-8"?>
<ds:datastoreItem xmlns:ds="http://schemas.openxmlformats.org/officeDocument/2006/customXml" ds:itemID="{A757E2CB-1AD7-4FED-AE86-ECB0874A4923}">
  <ds:schemaRefs>
    <ds:schemaRef ds:uri="http://schemas.microsoft.com/office/2006/metadata/properties"/>
    <ds:schemaRef ds:uri="http://schemas.microsoft.com/office/2006/documentManagement/types"/>
    <ds:schemaRef ds:uri="http://schemas.microsoft.com/office/infopath/2007/PartnerControls"/>
    <ds:schemaRef ds:uri="4392597a-a6c5-4946-9d6d-c1415049bbbf"/>
    <ds:schemaRef ds:uri="http://schemas.openxmlformats.org/package/2006/metadata/core-properties"/>
    <ds:schemaRef ds:uri="http://purl.org/dc/terms/"/>
    <ds:schemaRef ds:uri="http://purl.org/dc/dcmitype/"/>
    <ds:schemaRef ds:uri="39b89492-fbf7-475d-8dad-db210d2591f9"/>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LibreOffice/7.6.4.1$Linux_X86_64 LibreOffice_project/60$Build-1</Application>
  <AppVersion>15.0000</AppVersion>
  <Pages>1</Pages>
  <Words>300</Words>
  <Characters>1722</Characters>
  <CharactersWithSpaces>2003</CharactersWithSpaces>
  <Paragraphs>21</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2024-01-30T00:29:43Z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320300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