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200"/>
      </w:pPr>
    </w:p>
    <w:p>
      <w:pPr>
        <w:jc w:val="center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COMPUTAÇÃO GRÁFICA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8"/>
          <w:szCs w:val="28"/>
        </w:rPr>
        <w:t xml:space="preserve">2025/2026</w:t>
      </w:r>
    </w:p>
    <w:p>
      <w:pPr>
        <w:pBdr>
          <w:bottom w:val="single" w:color="2E74B5" w:sz="4" w:space="1"/>
        </w:pBdr>
        <w:spacing w:after="160" w:before="160"/>
      </w:pPr>
    </w:p>
    <w:p>
      <w:pPr>
        <w:spacing w:after="80" w:before="120"/>
        <w:jc w:val="center"/>
      </w:pPr>
      <w:r>
        <w:rPr>
          <w:rFonts w:ascii="Arial" w:cs="Arial" w:eastAsia="Arial" w:hAnsi="Arial"/>
          <w:b/>
          <w:bCs/>
          <w:color w:val="2E74B5"/>
          <w:sz w:val="40"/>
          <w:szCs w:val="40"/>
        </w:rPr>
        <w:t xml:space="preserve">Relatório – Fase 3</w:t>
      </w:r>
    </w:p>
    <w:p>
      <w:pPr>
        <w:spacing w:after="480"/>
        <w:jc w:val="center"/>
      </w:pPr>
      <w:r>
        <w:rPr>
          <w:rFonts w:ascii="Arial" w:cs="Arial" w:eastAsia="Arial" w:hAnsi="Arial"/>
          <w:i/>
          <w:iCs/>
          <w:color w:val="444444"/>
          <w:sz w:val="28"/>
          <w:szCs w:val="28"/>
        </w:rPr>
        <w:t xml:space="preserve">Curvas, Superfícies Cúbicas e VBOs</w:t>
      </w:r>
    </w:p>
    <w:p>
      <w:pPr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Grupo 16</w:t>
      </w:r>
    </w:p>
    <w:p>
      <w:pPr>
        <w:spacing w:after="80"/>
        <w:jc w:val="center"/>
      </w:pPr>
      <w:r>
        <w:rPr>
          <w:rFonts w:ascii="Arial" w:cs="Arial" w:eastAsia="Arial" w:hAnsi="Arial"/>
          <w:color w:val="555555"/>
          <w:sz w:val="22"/>
          <w:szCs w:val="22"/>
        </w:rPr>
        <w:t xml:space="preserve">MIEI  –  Departamento de Informática  –  Universidade do Minho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Março 2026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1. Introdução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Fase 3 estende o motor 3D com três contribuições: superfícies de Bézier bicúbicas no gerador, animações temporais (rotações e translações sobre curvas Catmull-Rom) no engine, e migração do modo imediato para VBOs com índices (EBO). A cena de demonstração é um sistema solar dinâmico com o cometa a percorrer uma curva Catmull-Rom.</w:t>
      </w:r>
    </w:p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2. Gerador – Superfícies de Bézier Bicúbicas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2.1 Formato .patch e avaliação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gerador aceita agora o comando bezier, que lê um ficheiro .patch com N patches de 16 índices cada e uma lista de pontos de controlo. Para cada patch, a superfície é avaliada com a fórmula matricial P(u,v) = U · M · P · Mᵀ · Vᵀ, onde U = [u³,u²,u,1] e M é a matriz de Bézier cúbica. A implementação usa dois passes: avalia Bézier em u para cada uma das 4 linhas do patch (obtendo 4 pontos intermédios) e depois avalia Bézier em v sobre esses pontos.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2.2 Nível de tessellation — justificação da escolha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Para o cometa foi usado tessLevel=10, resultando em 2×10²=200 triângulos por patch e 6400 triângulos no total (teapot tem 32 patches). Esta escolha resulta de um equilíbrio entre três fatores: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Detalhe visual: abaixo de tessLevel=5 as curvas do teapot ficam visivelmente poligonais, quebrando a ilusão de superfície suave.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Desempenho: com tessLevel=10 o modelo tem 6400 triângulos, valor confortável para renderização em tempo real sem impacto percetível na frame rate.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Coerência com a escala da cena: o cometa tem scale(0.5,0.5,0.5) na cena, pelo que um detalhe excessivo (tessLevel=20+) seria invisível ao utilizador.</w:t>
      </w:r>
    </w:p>
    <w:p>
      <w:pPr>
        <w:spacing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Para as primitivas da cena (esferas dos planetas) foi usado sphere 1 20 20, isto é, 20 slices e 20 stacks, que produz 800 triângulos por esfera — suficiente para parecer redondo a qualquer distância de câmara usada na demo.</w:t>
      </w:r>
    </w:p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3. Parâmetros da Cena de Demonstração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3.1 Princípio geral de escalagem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Numa visualização do sistema solar é impossível respeitar simultaneamente as escalas reais de tamanho e de distância: se os planetas estivessem à escala real de tamanho relativamente ao Sol, Mercúrio teria menos de 1 pixel de diâmetro. Por isso foram usadas duas escalas independentes e intencionalmente exageradas: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Escala de tamanho: os planetas são muito maiores do que na realidade relativamente ao Sol, para serem visíveis e distinguíveis entre 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Escala de distância: as distâncias entre planetas são muito mais comprimidas do que na realidade, para caberem no frustum da câmara (near=1, far=1000).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Escala de tempo: os períodos orbitais são comprimidos para que as órbitas sejam observáveis em segundos, com proporções relativas aproximadas às reais.</w:t>
      </w:r>
    </w:p>
    <w:p>
      <w:pPr>
        <w:spacing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Esta abordagem de dupla escala independente é prática universal em visualizações científicas e pedagógicas do sistema solar, incluindo as usadas pela NASA.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3.2 Tamanho dos planetas — justificação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Sol tem scale(4,4,4) como referência visual central. Os planetas foram escalados com dois critérios: manter proporções relativas aproximadas entre si, e garantir que todos são visíveis a partir da posição de câmara definida (y=30, z=60).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400"/>
        <w:gridCol w:w="1600"/>
        <w:gridCol w:w="3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Corpo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Scale usado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Raio real (km)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Escala real / Sol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Justificação da escolha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Sol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4.0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696.000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visual central da cena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Mercúrio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2.440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0.0035×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mais pequeno; ainda visível mas claramente menor que Vénus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Vénus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6.051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0.0087×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Semelhante à Terra, ligeiramente menor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6.371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0.0091×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de tamanho dos planetas interiores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1.737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0.0025×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~35% da Terra — exagerado para visibilidade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Marte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3.390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0.0049×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Menor que Terra mas maior que Mercúrio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Fobos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insignificante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Muito pequeno; exagerado para ser visível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Júpiter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69.911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0.10×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maior planeta; claramente maior que todos os outros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 / Europa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0.20 / 0.18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1.821 / 1.561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insignificante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Exageradas para visibilidade; Io ligeiramente maior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Saturno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58.232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0.084×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Ligeiramente menor que Júpiter, como na realidade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Anel Saturno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scale(3.5,0.05,3.5)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Plano achatado em Y para simular anel; raio ~3× o planeta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Urano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0.9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25.362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0.036×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Gigante de gelo; entre Saturno e Netuno em tamanho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Netuno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0.85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24.622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0.035×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Muito semelhante a Urano, ligeiramente menor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Cometa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Escala que mantém o teapot reconhecível sem dominar a cena</w:t>
            </w:r>
          </w:p>
        </w:tc>
      </w:tr>
    </w:tbl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3.3 Distâncias orbitais — justificação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As distâncias ao Sol (valores do translate) foram definidas para que os planetas não se sobreponham visualmente e para que toda a cena caiba no frustum da câmara (far=1000). Netuno está a 68 unidades do Sol, que com a câmara a z=60 e y=30 é ainda confortavelmente visível.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1800"/>
        <w:gridCol w:w="40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Planeta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Distância usada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Distância real (UA)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Justificação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Mercúrio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0.39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 mais próximo; folga suficiente para não colidir com o Sol (scale 4)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Vénus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0.72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Proporção ~1.5× Mercúrio, coerente com os 0.72/0.39≈1.85 reais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1.00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 de distância; proporção ~2× Mercúrio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Marte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~1.4× Terra, próximo do real (1.52×)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Júpiter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5.20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Salto maior para separar o cinturão de asteroides dos gigantes gasosos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Saturno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9.58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~1.4× Júpiter; separação clara para o anel ser visível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Urano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19.2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Progresso uniforme para os gigantes de gelo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Netuno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30.1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Limite da cena; dentro do frustum (far=1000)</w:t>
            </w:r>
          </w:p>
        </w:tc>
      </w:tr>
    </w:tbl>
    <w:p>
      <w:pPr>
        <w:spacing w:before="8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3.4 Períodos orbitais — justificação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Os períodos foram definidos usando a Terra como referência temporal com 40 segundos. Os planetas interiores (Mercúrio, Vénus, Marte) seguem proporções muito próximas dos períodos reais relativos à Terra. Para os planetas exteriores os períodos foram comprimidos: na realidade Júpiter demora ~12 anos a orbitar, o que seria ~480 segundos usando a escala da Terra — esse valor foi mantido. Saturno, Urano e Netuno foram também escalados proporcionalmente mas comprimidos para que sejam observáveis numa sessão de demonstração.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1500"/>
        <w:gridCol w:w="1500"/>
        <w:gridCol w:w="3126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Planeta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Tempo usado (s)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Período real (dias)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Fator real vs Terra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Fator usado vs Terra (40s)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Mercúrio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0.24×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10/40 = 0.25× ≈ real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Vénus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225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0.62×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25/40 = 0.63× ≈ real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Terra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365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1×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Referência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Lua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0.074× Terra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5/40 = 0.125× — ligeiramente rápida para ser visível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Marte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1.88×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80/40 = 2.0× ≈ real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Fobos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muito rápido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3s — exagerado para visibilidade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Júpiter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4333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11.9×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200/40 = 5× — comprimido para observabilidade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1.77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Rápido, visível em demo; mais rápido que Europa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Europa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3.55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Proporção Io:Europa ≈ 1:2, próxima da real (1:2)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Saturno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10759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29.5×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500/40 = 12.5× — comprimido para observabilidade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Anel Saturno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Rotação própria mais rápida que a orbital de Saturno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Urano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30687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84×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900/40 = 22.5× — comprimido; movimento ainda percetível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Netuno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1400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60190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165×</w:t>
            </w:r>
          </w:p>
        </w:tc>
        <w:tc>
          <w:tcPr>
            <w:tcW w:type="dxa" w:w="31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1400/40 = 35× — o mais lento, quase estático na demo</w:t>
            </w:r>
          </w:p>
        </w:tc>
      </w:tr>
    </w:tbl>
    <w:p>
      <w:pPr>
        <w:spacing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Lua, Fobos, Io e Europa têm períodos exagerados relativamente à escala da Terra, porque na realidade orbitam em poucos dias — usando a escala real seriam visualmente demasiado rápidas (sub-segundo) ou demasiado lentas para uma demo de alguns minutos.</w:t>
      </w:r>
    </w:p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4. Cometa – Curva Catmull-Rom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4.1 Número de pontos de controlo — justificação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curva do cometa usa 12 pontos de controlo, resultando em 12-3=9 segmentos Catmull-Rom. Esta escolha resulta de três considerações: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Mínimo obrigatório: a curva Catmull-Rom requer pelo menos 4 pontos (1 segmento). Com menos de 8 pontos a órbita elíptica ficaria com cantos percetíveis.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Suavidade da elipse: com 12 pontos distribuídos uniformemente em ângulo, a curva aproxima bem uma elipse sem necessitar de um número muito elevado de pontos. Testou-se com 8 pontos (ficava angular nos quadrantes) e com 16 (sem melhoria visual percetível).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Catmull-Rom e a periodicidade: para que a curva feche suavemente, os primeiros 3 pontos são repetidos no final — o ponto de índice 0 é igual ao 8, o 1 ao 9 e o 2 ao 10 (e o 3 ao 11). Desta forma o cometa completa um ciclo contínuo sem salto na junção.</w:t>
      </w:r>
    </w:p>
    <w:p>
      <w:pPr>
        <w:spacing w:before="80"/>
      </w:pP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Os 12 pontos formam uma elipse inclinada no plano XZ com raio ~50 e variação de Y entre 2 e 8 unidades, simulando uma órbita cometária excêntrica e inclinada relativamente ao plano eclíptico dos planetas.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4.2 Período do cometa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cometa completa a órbita em 30 segundos. Este valor foi escolhido para que o movimento seja claramente visível durante uma demo (não demasiado lento) mas não tão rápido que o alinhamento tangencial seja difícil de observar. Com 30 segundos, o utilizador pode seguir o cometa durante meia órbita numa demonstração típica de 15 segundos.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</w:rPr>
        <w:t xml:space="preserve">4.3 Alinhamento (align=True)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 parâmetro align="True" foi ativado porque o modelo do cometa (teapot) tem uma orientação não-simétrica — a abertura do bico aponta numa direção específica. Sem alinhamento, o teapot giraria aleatoriamente ao longo da órbita. Com align="True", o eixo X local do modelo segue sempre a tangente da curva, produzindo o efeito visual de um cometa que "aponta" na direção do movimento.</w:t>
      </w:r>
    </w:p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5. VBOs com Índices (EBO) – Decisões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escolha de usar EBO (glDrawElements) em vez de um array flat (glDrawArrays) foi motivada pela Fase 4. Com deduplicação de vértices e índices, na fase seguinte basta acrescentar normais e coordenadas de textura à struct Vertex — o EBO não muda. Os comentários no código marcam exatamente onde acrescentar glNormalPointer e glTexCoordPointer com os offsets corretos.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Os buffers são criados após glutCreateWindow porque só então existe um contexto OpenGL ativo. A pré-carga percorre toda a árvore de grupos antes de entrar no ciclo GLUT, garantindo que todos os modelos estão na GPU antes do primeiro frame.</w:t>
      </w:r>
    </w:p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6. Compilação e Execução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Generator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g++ generator.cpp -o generator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Engine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g++ engine.cpp camera.cpp parser.cpp tinyxml2.cpp -o engine -lglut -lGL -lGLU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Gerar modelos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./generator sphere 1 20 20 sphere.3d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./generator plane 2 10 plane.3d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./generator bezier teapot.patch 10 comet.3d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/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# Executar</w:t>
      </w:r>
    </w:p>
    <w:p>
      <w:pPr>
        <w:shd w:fill="F0F4F8" w:val="clear"/>
        <w:spacing w:after="30" w:before="30"/>
        <w:ind w:left="720"/>
      </w:pPr>
      <w:r>
        <w:rPr>
          <w:rFonts w:ascii="Courier New" w:cs="Courier New" w:eastAsia="Courier New" w:hAnsi="Courier New"/>
          <w:color w:val="1F4E79"/>
          <w:sz w:val="18"/>
          <w:szCs w:val="18"/>
        </w:rPr>
        <w:t xml:space="preserve">./engine solar_system_fase3.xml</w:t>
      </w:r>
    </w:p>
    <w:p>
      <w:pPr>
        <w:spacing w:before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Tecla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Ação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Setas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Rodar câmara (coordenadas esféricas)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 / S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Zoom in / 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Mostrar / ocultar eixos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Alternar wireframe / preenchimento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ESC</w:t>
            </w:r>
          </w:p>
        </w:tc>
        <w:tc>
          <w:tcPr>
            <w:tcW w:type="dxa" w:w="68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Sair</w:t>
            </w:r>
          </w:p>
        </w:tc>
      </w:tr>
    </w:tbl>
    <w:p>
      <w:pPr>
        <w:pBdr>
          <w:bottom w:val="single" w:color="2E74B5" w:sz="4" w:space="1"/>
        </w:pBdr>
        <w:spacing w:after="160" w:before="1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</w:rPr>
        <w:t xml:space="preserve">7. Conclusão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 Fase 3 introduz geometria livre por Bézier, animações temporais com Catmull-Rom e uma arquitetura de VBOs com EBO preparada para a Fase 4. Os parâmetros da cena foram escolhidos com dois critérios: fidelidade qualitativa às proporções reais (períodos orbitais dos planetas interiores, tamanhos relativos entre planetas) e observabilidade em demo (períodos comprimidos para exteriores, tamanhos exagerados para luas e planetas pequenos). O cometa usa 12 pontos com repetição para garantir continuidade suave da curva Catmull-Rom.</w:t>
      </w:r>
    </w:p>
    <w:p>
      <w:pPr>
        <w:spacing w:before="120"/>
      </w:pP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4B5" w:sz="4" w:space="1"/>
      </w:pBdr>
      <w:tabs>
        <w:tab w:val="right" w:pos="9026"/>
      </w:tabs>
      <w:spacing w:before="120"/>
    </w:pPr>
    <w:r>
      <w:rPr>
        <w:rFonts w:ascii="Arial" w:cs="Arial" w:eastAsia="Arial" w:hAnsi="Arial"/>
        <w:color w:val="888888"/>
        <w:sz w:val="18"/>
        <w:szCs w:val="18"/>
      </w:rPr>
      <w:t xml:space="preserve">Grupo 16  |  MIEI – DI/UM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4B5" w:sz="4" w:space="1"/>
      </w:pBdr>
      <w:spacing w:after="120"/>
    </w:pPr>
    <w:r>
      <w:rPr>
        <w:rFonts w:ascii="Arial" w:cs="Arial" w:eastAsia="Arial" w:hAnsi="Arial"/>
        <w:color w:val="888888"/>
        <w:sz w:val="18"/>
        <w:szCs w:val="18"/>
      </w:rPr>
      <w:t xml:space="preserve">Computação Gráfica 2025/26  |  Fase 3 – Curvas, Superfícies Cúbicas e VBOs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4B5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2026-04-29T09:14:52.882Z</dcterms:created>
  <dcterms:modified xsi:type="dcterms:W3CDTF">2026-04-29T09:14:52.883Z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