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COMPUTAÇÃO GRÁFICA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2025/2026</w:t>
      </w:r>
    </w:p>
    <w:p>
      <w:pPr>
        <w:pBdr>
          <w:bottom w:val="single" w:color="2E74B5" w:sz="4" w:space="1"/>
        </w:pBdr>
        <w:spacing w:after="160" w:before="160"/>
      </w:pP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2E74B5"/>
          <w:sz w:val="40"/>
          <w:szCs w:val="40"/>
        </w:rPr>
        <w:t xml:space="preserve">Relatório – Fase 3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444444"/>
          <w:sz w:val="28"/>
          <w:szCs w:val="28"/>
        </w:rPr>
        <w:t xml:space="preserve">Curvas, Superfícies Cúbicas e VBOs</w:t>
      </w: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Grupo 16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MIEI  –  Departamento de Informática  –  Universidade do Minho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Março 2026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</w:rPr>
        <w:t xml:space="preserve">1. Introdução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 Fase 3 do trabalho prático de Computação Gráfica estende o motor desenvolvido na Fase 2 com três contribuições principais: suporte a superfícies de Bézier bicúbicas no gerador de primitivas, animações baseadas em curvas Catmull-Rom e rotações temporizadas no engine, e migração do modo imediato para VBOs (Vertex Buffer Objects) com índices (EBO).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 gerador passou a aceitar ficheiros .patch como entrada e a produzir modelos tessellados usando a formulação matricial de Bézier. O engine passou a ler atributos time e align nos elementos translate e rotate do XML, calculando posições e orientações em tempo real. A renderização foi reescrita para usar glDrawElements com dois buffers na GPU, preparando a estrutura para a Fase 4.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 cena de demonstração é um sistema solar dinâmico: todos os planetas orbitam animados por rotações temporizadas, e um cometa percorre uma trajetória elíptica definida por uma curva Catmull-Rom, alinhando-se automaticamente à tangente do percurso.</w:t>
      </w:r>
    </w:p>
    <w:p>
      <w:pPr>
        <w:pBdr>
          <w:bottom w:val="single" w:color="2E74B5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</w:rPr>
        <w:t xml:space="preserve">2. Gerador – Superfícies de Bézier Bicúbicas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Foi adicionado ao gerador o comando bezier, que recebe um ficheiro .patch, um nível de tessellation e o nome do ficheiro de saída. A superfície resultante é guardada no mesmo formato XML de triângulos usado pelas primitivas da Fase 1.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2.1 Formato do ficheiro .patch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 ficheiro .patch segue o formato standard usado na cadeira. A primeira linha contém o número de patches. Seguem-se linhas com 16 índices por patch (separados por vírgulas), onde cada índice referencia um ponto de controlo. Depois do bloco de patches vem o número de pontos de controlo, seguido de uma linha por ponto com as coordenadas x, y, z separadas por vírgulas.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./generator bezier teapot.patch 10 comet.3d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2.2 Avaliação da superfície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Cada patch é definido por uma grelha 4×4 de pontos de controlo. A fórmula de avaliação para um par (u, v) ∈ [0,1]² é: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P(u,v) = U · M · P · Mᵀ · Vᵀ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onde U = [u³, u², u, 1], V = [v³, v², v, 1] e M é a matriz de Bézier cúbica. A implementação usa a abordagem de dois passes: para cada valor de u avalia-se um Bézier cúbico em cada uma das 4 linhas do patch (obtendo 4 pontos intermédios), e depois avalia-se outro Bézier cúbico em v sobre esses 4 pontos.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2.3 Tessellation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 nível de tessellation divide cada patch numa grelha de tessLevel × tessLevel quadriláteros. Cada quadrilátero gera dois triângulos, totalizando 2 × tessLevel² triângulos por patch. Para o teapot com tessLevel=10 e 32 patches, o resultado são 6400 triângulos.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Para cada célula (i,j) da grelha: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Vec3 p00 = bezierSurface(u0, v0, patch);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Vec3 p10 = bezierSurface(u1, v0, patch);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Vec3 p01 = bezierSurface(u0, v1, patch);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Vec3 p11 = bezierSurface(u1, v1, patch);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Triângulo 1: p00, p10, p11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Triângulo 2: p00, p11, p01</w:t>
      </w:r>
    </w:p>
    <w:p>
      <w:pPr>
        <w:pBdr>
          <w:bottom w:val="single" w:color="2E74B5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</w:rPr>
        <w:t xml:space="preserve">3. Engine – Animações Temporais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 engine foi estendido para suportar dois novos tipos de transformação animada: rotação com tempo e translação sobre curva Catmull-Rom.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3.1 Rotação animada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Quando o elemento rotate contém o atributo time em vez de angle, o objeto realiza uma rotação contínua de 360° no período especificado. O ângulo atual é calculado em cada frame com base no tempo decorrido desde o início da aplicação, obtido através de glutGet(GLUT_ELAPSED_TIME):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&lt;rotate time="40" x="0" y="1" z="0" /&gt;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float elapsed = (float)glutGet(GLUT_ELAPSED_TIME) / 1000.0f;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float angle = fmod(elapsed / t.time * 360.0f, 360.0f);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glRotatef(angle, t.x, t.y, t.z);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 fmod garante que o ângulo cicla corretamente sem acumulação de erros de vírgula flutuante ao longo do tempo.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3.2 Translação animada – Curva Catmull-Rom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Quando o elemento translate contém o atributo time e pontos filhos, o objeto percorre uma curva Catmull-Rom definida por esses pontos. O parâmetro global t ∈ [0,1] é calculado com base no tempo decorrido e cicla com o período definido.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&lt;translate time="30" align="True"&gt;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&lt;point x="0" y="5" z="50" /&gt;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...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&lt;/translate&gt;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 curva Catmull-Rom é definida pela equação matricial P(t) = T · M_CR · P, onde T = [t³, t², t, 1] e M_CR é a matriz de Catmull-Rom. Com N pontos, existem N-3 segmentos. Para um t global, determina-se o segmento correspondente e o t local dentro desse segmento, e avalia-se a equação com os 4 pontos do segmento.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 derivada (tangente) é calculada em simultâneo usando dT = [3t², 2t, 1, 0], necessária para o alinhamento.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3.3 Alinhamento à tangente (align)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Quando align="True", o objeto orienta-se de acordo com a direção de movimento na curva. Após o glTranslatef com a posição calculada, é aplicada uma rotação adicional através de glMultMatrixf com uma matriz construída por Gram-Schmidt.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 processo constrói um referencial ortonormal a partir da tangente: a tangente normalizada torna-se o eixo X local; o produto externo com um vetor auxiliar (0,1,0) dá o eixo Y; e o produto externo de X com Y dá o eixo Z. Os três vetores formam as colunas da matriz de rotação 4×4 em formato coluna-major do OpenGL.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void buildAlignMatrix(float* deriv, float* matrix) {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Normalizar tangente → eixo X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Gram-Schmidt: Y = Ztmp × X, normalizar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Z = X × Y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Preencher matrix[16] coluna-major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pBdr>
          <w:bottom w:val="single" w:color="2E74B5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</w:rPr>
        <w:t xml:space="preserve">4. Engine – VBOs com Índices (EBO)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 renderização foi migrada do modo imediato (glBegin/glEnd) para VBOs com EBO (Element Buffer Object). Esta abordagem combina eficiência de GPU com economia de memória, e foi projetada para facilitar a extensão na Fase 4.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4.1 Dois buffers na GPU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Cada modelo carregado cria dois buffers na GPU: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VBO (GL_ARRAY_BUFFER): contém os vértices únicos após deduplicação, em formato flat [x0,y0,z0, x1,y1,z1, ...]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EBO (GL_ELEMENT_ARRAY_BUFFER): contém os índices das faces em formato flat [v1,v2,v3, v1,v2,v3, ...], do tipo unsigned int</w:t>
      </w:r>
    </w:p>
    <w:p>
      <w:pPr>
        <w:spacing w:before="80"/>
      </w:pP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 deduplicação de vértices foi preservada da Fase 2 — o mesmo mapa de chave string para índice garante que cada posição única é guardada apenas uma vez. Num modelo como a esfera, onde cada vértice é partilhado por vários triângulos, isto reduz significativamente o tamanho do VBO.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4.2 Upload e desenho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Upload VBO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glGenBuffers(1, &amp;modelData.vboId);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glBindBuffer(GL_ARRAY_BUFFER, modelData.vboId);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glBufferData(GL_ARRAY_BUFFER, size, flatVerts.data(), GL_STATIC_DRAW);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Upload EBO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glGenBuffers(1, &amp;modelData.eboId);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glBindBuffer(GL_ELEMENT_ARRAY_BUFFER, modelData.eboId);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glBufferData(GL_ELEMENT_ARRAY_BUFFER, size, flatIdx.data(), GL_STATIC_DRAW);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Desenhar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glBindBuffer(GL_ARRAY_BUFFER, md.vboId);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glVertexPointer(3, GL_FLOAT, sizeof(float)*3, 0);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glBindBuffer(GL_ELEMENT_ARRAY_BUFFER, md.eboId);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glDrawElements(GL_TRIANGLES, md.indexCount, GL_UNSIGNED_INT, 0);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4.3 Preparação para a Fase 4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 estrutura foi deliberadamente preparada para a Fase 4. A struct Vertex contém apenas posição por agora, mas basta acrescentar os campos de normal e coordenadas de textura: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Fase 3 (atual)          // Fase 4 (basta acrescentar)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struct Vertex {            struct Vertex {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float x, y, z;             float x, y, z;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};                             float nx, ny, nz;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           float u, v;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       };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 EBO não precisa de ser alterado — os índices são os mesmos independentemente de quantos dados cada vértice tem. Em drawModel basta acrescentar glNormalPointer e glTexCoordPointer com os offsets corretos. Os comentários no código indicam exatamente onde fazer essas adições.</w:t>
      </w:r>
    </w:p>
    <w:p>
      <w:pPr>
        <w:pBdr>
          <w:bottom w:val="single" w:color="2E74B5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</w:rPr>
        <w:t xml:space="preserve">5. Parser XML – Extensões da Fase 3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 parser foi estendido para detetar e processar as novas formas dos elementos translate e rotate. A distinção entre transformação estática e animada é feita pela presença do atributo time.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5.1 Novos tipos de transformação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XML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TRANSLATE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&lt;translate x y z&gt;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Translação estática (fase 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TRANSLATE_ANIM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&lt;translate time align&gt;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Percurso sobre curva Catmull-Rom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&lt;rotate angle x y z&gt;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Rotação estática (fase 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ROTATE_ANIM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&lt;rotate time x y z&gt;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Rotação contínua temporizada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&lt;scale x y z&gt;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Escala estática (fase 2)</w:t>
            </w:r>
          </w:p>
        </w:tc>
      </w:tr>
    </w:tbl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5.2 Lógica de deteção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 função parseTransforms tenta ler o atributo time de cada translate e rotate. Se QueryFloatAttribute retornar XML_SUCCESS e o valor for positivo, cria a transformação animada correspondente; caso contrário cria a transformação estática da Fase 2. Para o translate animado, lê também o atributo align (aceita "True", "true" ou "1") e itera sobre os elementos point filhos.</w:t>
      </w:r>
    </w:p>
    <w:p>
      <w:pPr>
        <w:pBdr>
          <w:bottom w:val="single" w:color="2E74B5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</w:rPr>
        <w:t xml:space="preserve">6. Cena de Demonstração – Sistema Solar Dinâmico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 cena solar_system_fase3.xml estende a cena estática da Fase 2 com animações temporais em todos os corpos celestes e um cometa com trajetória Catmull-Rom.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6.1 Hierarquia de rotações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Cada planeta é filho do Sol na hierarquia de grupos, com uma rotação animada aplicada antes da translação. Desta forma, à medida que o tempo avança, a rotação aumenta e o translate (que é no espaço local do grupo rotacionado) leva o planeta para uma posição diferente — simulando a órbita. As luas têm uma rotação animada adicional relativa ao seu planeta, herdando automaticamente a posição orbital deste.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2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Período orbital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Filhos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Período dos filhos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Mercúrio ... Netuno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10s – 1400s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Fobos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Júpiter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Io, Europa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4s, 7s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Saturno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Anel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300s (próprio)</w:t>
            </w:r>
          </w:p>
        </w:tc>
      </w:tr>
    </w:tbl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6.2 Cometa com curva Catmull-Rom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 cometa percorre uma órbita elíptica inclinada definida por 12 pontos de controlo distribuídos numa elipse no plano XZ com ligeira variação em Y. O período do percurso é de 30 segundos e align="True" faz com que o modelo se oriente sempre na direção do movimento.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 modelo do cometa é gerado a partir dos pontos de controlo do teapot (ficheiro teapot.patch fornecido pela cadeira) com tessLevel=10, resultando numa figura reconhecível que serve de cometa estilizado. O comando de geração é: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./generator bezier teapot.patch 10 comet.3d</w:t>
      </w:r>
    </w:p>
    <w:p>
      <w:pPr>
        <w:pBdr>
          <w:bottom w:val="single" w:color="2E74B5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</w:rPr>
        <w:t xml:space="preserve">7. Compilação e Execução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7.1 Compilar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Generator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cd generator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g++ generator.cpp -o generator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Engine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cd engine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g++ engine.cpp camera.cpp parser.cpp tinyxml2.cpp -o engine -lglut -lGL -lGLU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7.2 Gerar modelos e executar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./generator sphere 1 20 20 sphere.3d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./generator plane 2 10 plane.3d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./generator bezier teapot.patch 10 comet.3d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./engine ../xmlFiles/solar_system_fase3.xml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7.3 Controlos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Tecla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Setas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Rodar a câmara (coordenadas esféricas)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 / 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Zoom in / Zoom 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Mostrar / ocultar eixos coordenados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Alternar modo wireframe / preenchimento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Sair da aplicação</w:t>
            </w:r>
          </w:p>
        </w:tc>
      </w:tr>
    </w:tbl>
    <w:p>
      <w:pPr>
        <w:pBdr>
          <w:bottom w:val="single" w:color="2E74B5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</w:rPr>
        <w:t xml:space="preserve">8. Decisões de Implementação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8.1 EBO em vez de array flat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 escolha de usar EBO (glDrawElements) em vez de um array flat sem índices (glDrawArrays) foi motivada pela Fase 4. Ao manter a deduplicação de vértices e os índices, na fase seguinte basta acrescentar normais e coordenadas de textura à struct Vertex e re-fazer o upload do VBO — o EBO e a lógica de desenho ficam inalterados.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8.2 Catmull-Rom com derivada simultânea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 função catmullRomPoint calcula posição e derivada num único passo, reutilizando o produto T·M·P. A derivada usa dT = [3t², 2t, 1, 0] em vez de T, o que evita uma segunda avaliação completa da curva para obter a tangente necessária ao alinhamento.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8.3 Gram-Schmidt para a matriz de alinhamento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 construção do referencial de alinhamento usa Gram-Schmidt: a tangente normalizada define o eixo X; o produto externo com (0,1,0) dá o Y (com fallback para (0,0,1) se a tangente for paralela a Y); e Z = X × Y. Este método é numericamente estável e produce sempre um referencial ortonormal válido.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8.4 GLUT antes de VBOs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Os VBOs e EBOs têm de ser criados após glutCreateWindow, pois só então existe um contexto OpenGL ativo. O main inicializa o GLUT e cria a janela antes de chamar loadModel, ao contrário da Fase 2 onde os modelos eram carregados antes do GLUT.</w:t>
      </w:r>
    </w:p>
    <w:p>
      <w:pPr>
        <w:pBdr>
          <w:bottom w:val="single" w:color="2E74B5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</w:rPr>
        <w:t xml:space="preserve">9. Conclusão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 Fase 3 acrescenta ao motor três capacidades significativas: geração de geometria livre baseada em patches de Bézier, animações contínuas controladas por tempo com suporte a alinhamento tangencial, e uma arquitetura de renderização baseada em VBOs com índices.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 decisão de usar EBO em vez de um array flat, embora ligeiramente mais complexa de implementar, resulta numa base sólida para a Fase 4: a adição de normais e coordenadas de textura será uma extensão incremental sem necessidade de refatorar a lógica de renderização.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 cena de demonstração valida as três componentes: todos os planetas orbitam com as velocidades corretas, as luas herdam as posições dos planetas pela hierarquia de grupos, e o cometa percorre a curva Catmull-Rom alinhando-se à direção de movimento.</w:t>
      </w:r>
    </w:p>
    <w:p>
      <w:pPr>
        <w:spacing w:before="12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4B5" w:sz="4" w:space="1"/>
      </w:pBdr>
      <w:tabs>
        <w:tab w:val="right" w:pos="9026"/>
      </w:tabs>
      <w:spacing w:before="120"/>
    </w:pPr>
    <w:r>
      <w:rPr>
        <w:rFonts w:ascii="Arial" w:cs="Arial" w:eastAsia="Arial" w:hAnsi="Arial"/>
        <w:color w:val="888888"/>
        <w:sz w:val="18"/>
        <w:szCs w:val="18"/>
      </w:rPr>
      <w:t xml:space="preserve">Grupo 16  |  MIEI – DI/UM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4" w:space="1"/>
      </w:pBdr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Computação Gráfica 2025/26  |  Fase 3 – Curvas, Superfícies Cúbicas e VBOs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2026-04-18T19:52:02.951Z</dcterms:created>
  <dcterms:modified xsi:type="dcterms:W3CDTF">2026-04-18T19:52:02.952Z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