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689" w:rsidRDefault="00AE14E6" w:rsidP="005D5689">
      <w:r>
        <w:t xml:space="preserve"> </w:t>
      </w:r>
    </w:p>
    <w:p w:rsidR="005D5689" w:rsidRPr="00542E74" w:rsidRDefault="005D5689" w:rsidP="00542E74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</w:rPr>
      </w:pPr>
    </w:p>
    <w:p w:rsidR="00F704EB" w:rsidRPr="0055004E" w:rsidRDefault="00432353" w:rsidP="0055004E">
      <w:pPr>
        <w:pStyle w:val="Ttulo1"/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5004E">
        <w:rPr>
          <w:rFonts w:ascii="Times New Roman" w:hAnsi="Times New Roman" w:cs="Times New Roman"/>
          <w:b w:val="0"/>
          <w:bCs w:val="0"/>
          <w:sz w:val="24"/>
          <w:szCs w:val="24"/>
        </w:rPr>
        <w:t>1.</w:t>
      </w:r>
      <w:r w:rsidRPr="0055004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F704EB" w:rsidRPr="0055004E">
        <w:rPr>
          <w:rFonts w:ascii="Times New Roman" w:hAnsi="Times New Roman" w:cs="Times New Roman"/>
          <w:b w:val="0"/>
          <w:sz w:val="24"/>
          <w:szCs w:val="24"/>
        </w:rPr>
        <w:t>CONCEITO</w:t>
      </w:r>
    </w:p>
    <w:p w:rsidR="00432353" w:rsidRPr="0055004E" w:rsidRDefault="00B222BC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5004E">
        <w:rPr>
          <w:rFonts w:ascii="Times New Roman" w:hAnsi="Times New Roman"/>
          <w:color w:val="000000" w:themeColor="text1"/>
          <w:sz w:val="24"/>
          <w:szCs w:val="24"/>
        </w:rPr>
        <w:t>É um equipamento eletrônico que tem a propriedade de transformar a corrente elétrica alternada de baixa frequência em corrente de alta frequência, com a finalidade de promover dissecção, coagulação e fulguração. O sistema é formado por um gerador de corrente elétrica, caneta de bisturi e placa dispersiva.</w:t>
      </w:r>
    </w:p>
    <w:p w:rsidR="009C1814" w:rsidRPr="0055004E" w:rsidRDefault="00B60E6F" w:rsidP="0055004E">
      <w:pPr>
        <w:pStyle w:val="Ttulo1"/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5004E">
        <w:rPr>
          <w:rFonts w:ascii="Times New Roman" w:hAnsi="Times New Roman" w:cs="Times New Roman"/>
          <w:b w:val="0"/>
          <w:sz w:val="24"/>
          <w:szCs w:val="24"/>
        </w:rPr>
        <w:t xml:space="preserve">2. </w:t>
      </w:r>
      <w:r w:rsidR="00F704EB" w:rsidRPr="0055004E">
        <w:rPr>
          <w:rFonts w:ascii="Times New Roman" w:hAnsi="Times New Roman" w:cs="Times New Roman"/>
          <w:b w:val="0"/>
          <w:sz w:val="24"/>
          <w:szCs w:val="24"/>
        </w:rPr>
        <w:t>OBJETIVO</w:t>
      </w:r>
    </w:p>
    <w:p w:rsidR="00432353" w:rsidRPr="0055004E" w:rsidRDefault="00432353" w:rsidP="0055004E">
      <w:pPr>
        <w:tabs>
          <w:tab w:val="num" w:pos="426"/>
        </w:tabs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t xml:space="preserve">Garantir a segurança do paciente durante o período </w:t>
      </w:r>
      <w:proofErr w:type="spellStart"/>
      <w:proofErr w:type="gramStart"/>
      <w:r w:rsidRPr="0055004E">
        <w:rPr>
          <w:rFonts w:ascii="Times New Roman" w:hAnsi="Times New Roman"/>
          <w:sz w:val="24"/>
          <w:szCs w:val="24"/>
        </w:rPr>
        <w:t>intra-operatório</w:t>
      </w:r>
      <w:proofErr w:type="spellEnd"/>
      <w:proofErr w:type="gramEnd"/>
      <w:r w:rsidRPr="0055004E">
        <w:rPr>
          <w:rFonts w:ascii="Times New Roman" w:hAnsi="Times New Roman"/>
          <w:sz w:val="24"/>
          <w:szCs w:val="24"/>
        </w:rPr>
        <w:t xml:space="preserve">, evitando queimaduras e/ou choques elétricos ocasionados pelo uso do </w:t>
      </w:r>
      <w:proofErr w:type="spellStart"/>
      <w:r w:rsidRPr="0055004E">
        <w:rPr>
          <w:rFonts w:ascii="Times New Roman" w:hAnsi="Times New Roman"/>
          <w:sz w:val="24"/>
          <w:szCs w:val="24"/>
        </w:rPr>
        <w:t>eletrocautério</w:t>
      </w:r>
      <w:proofErr w:type="spellEnd"/>
      <w:r w:rsidRPr="0055004E">
        <w:rPr>
          <w:rFonts w:ascii="Times New Roman" w:hAnsi="Times New Roman"/>
          <w:sz w:val="24"/>
          <w:szCs w:val="24"/>
        </w:rPr>
        <w:t>.</w:t>
      </w:r>
    </w:p>
    <w:p w:rsidR="009C1814" w:rsidRPr="0055004E" w:rsidRDefault="00B60E6F" w:rsidP="0055004E">
      <w:pPr>
        <w:pStyle w:val="Ttulo1"/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5004E">
        <w:rPr>
          <w:rFonts w:ascii="Times New Roman" w:hAnsi="Times New Roman" w:cs="Times New Roman"/>
          <w:b w:val="0"/>
          <w:sz w:val="24"/>
          <w:szCs w:val="24"/>
        </w:rPr>
        <w:t xml:space="preserve">3. </w:t>
      </w:r>
      <w:r w:rsidR="009C1814" w:rsidRPr="0055004E">
        <w:rPr>
          <w:rFonts w:ascii="Times New Roman" w:hAnsi="Times New Roman" w:cs="Times New Roman"/>
          <w:b w:val="0"/>
          <w:sz w:val="24"/>
          <w:szCs w:val="24"/>
        </w:rPr>
        <w:t>RESPONSABILIDADE</w:t>
      </w:r>
      <w:r w:rsidR="00875AF7" w:rsidRPr="0055004E">
        <w:rPr>
          <w:rFonts w:ascii="Times New Roman" w:hAnsi="Times New Roman" w:cs="Times New Roman"/>
          <w:b w:val="0"/>
          <w:sz w:val="24"/>
          <w:szCs w:val="24"/>
        </w:rPr>
        <w:t>/EXECUTOR</w:t>
      </w:r>
    </w:p>
    <w:p w:rsidR="00B60E6F" w:rsidRPr="0055004E" w:rsidRDefault="009A4DFE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t>Técnico de enfermagem</w:t>
      </w:r>
      <w:r w:rsidR="00432353" w:rsidRPr="0055004E">
        <w:rPr>
          <w:rFonts w:ascii="Times New Roman" w:hAnsi="Times New Roman"/>
          <w:sz w:val="24"/>
          <w:szCs w:val="24"/>
        </w:rPr>
        <w:t xml:space="preserve"> circulante</w:t>
      </w:r>
    </w:p>
    <w:p w:rsidR="00EC22C5" w:rsidRPr="0055004E" w:rsidRDefault="00EC22C5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EC22C5" w:rsidRPr="0055004E" w:rsidRDefault="00EC22C5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EC22C5" w:rsidRDefault="00EC22C5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5004E" w:rsidRDefault="0055004E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5004E" w:rsidRDefault="0055004E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5004E" w:rsidRPr="0055004E" w:rsidRDefault="0055004E" w:rsidP="0055004E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A4DFE" w:rsidRPr="00542E74" w:rsidRDefault="00B60E6F" w:rsidP="009A4DFE">
      <w:pPr>
        <w:pStyle w:val="Ttulo1"/>
        <w:spacing w:before="0"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42E74">
        <w:rPr>
          <w:rFonts w:ascii="Times New Roman" w:hAnsi="Times New Roman" w:cs="Times New Roman"/>
          <w:sz w:val="24"/>
          <w:szCs w:val="24"/>
        </w:rPr>
        <w:t xml:space="preserve">4. </w:t>
      </w:r>
      <w:r w:rsidR="009C1814" w:rsidRPr="00542E74">
        <w:rPr>
          <w:rFonts w:ascii="Times New Roman" w:hAnsi="Times New Roman" w:cs="Times New Roman"/>
          <w:sz w:val="24"/>
          <w:szCs w:val="24"/>
        </w:rPr>
        <w:t>AÇÕES</w:t>
      </w:r>
    </w:p>
    <w:p w:rsidR="00432353" w:rsidRPr="00542E74" w:rsidRDefault="00D046BA" w:rsidP="00542E74">
      <w:pPr>
        <w:pStyle w:val="PargrafodaLista"/>
        <w:numPr>
          <w:ilvl w:val="0"/>
          <w:numId w:val="25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42E74">
        <w:rPr>
          <w:rFonts w:ascii="Times New Roman" w:hAnsi="Times New Roman"/>
          <w:sz w:val="24"/>
          <w:szCs w:val="24"/>
        </w:rPr>
        <w:t>Posicionamento</w:t>
      </w:r>
      <w:r w:rsidR="00432353" w:rsidRPr="00542E74">
        <w:rPr>
          <w:rFonts w:ascii="Times New Roman" w:hAnsi="Times New Roman"/>
          <w:sz w:val="24"/>
          <w:szCs w:val="24"/>
        </w:rPr>
        <w:t xml:space="preserve"> do paciente e zelar para que não haja deslocamento da peça quando houver mudanças de posição; </w:t>
      </w:r>
    </w:p>
    <w:p w:rsidR="00432353" w:rsidRPr="00542E74" w:rsidRDefault="00432353" w:rsidP="00542E74">
      <w:pPr>
        <w:pStyle w:val="PargrafodaLista"/>
        <w:numPr>
          <w:ilvl w:val="0"/>
          <w:numId w:val="25"/>
        </w:numPr>
        <w:spacing w:before="100" w:beforeAutospacing="1" w:after="100" w:afterAutospacing="1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42E74">
        <w:rPr>
          <w:rFonts w:ascii="Times New Roman" w:hAnsi="Times New Roman"/>
          <w:sz w:val="24"/>
          <w:szCs w:val="24"/>
        </w:rPr>
        <w:t>Situar a placa dispersiva afastada, de próteses metálicas;</w:t>
      </w:r>
    </w:p>
    <w:p w:rsidR="00432353" w:rsidRPr="00542E74" w:rsidRDefault="00432353" w:rsidP="0055004E">
      <w:pPr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42E74">
        <w:rPr>
          <w:rFonts w:ascii="Times New Roman" w:hAnsi="Times New Roman"/>
          <w:sz w:val="24"/>
          <w:szCs w:val="24"/>
        </w:rPr>
        <w:t>Evitar as superfícies muito pilosas, como pele escarificada ou com saliências ósseas que diminuem o contato da placa com o corpo do paciente;</w:t>
      </w:r>
    </w:p>
    <w:p w:rsidR="00432353" w:rsidRPr="00542E74" w:rsidRDefault="00432353" w:rsidP="0055004E">
      <w:pPr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42E74">
        <w:rPr>
          <w:rFonts w:ascii="Times New Roman" w:hAnsi="Times New Roman"/>
          <w:sz w:val="24"/>
          <w:szCs w:val="24"/>
        </w:rPr>
        <w:t>Posicionar o paciente na mesa cirúrgica de forma confortável em uma superfície seca, sem contato com partes metálicas da mesa de cirurgia;</w:t>
      </w:r>
    </w:p>
    <w:p w:rsidR="00542E74" w:rsidRPr="0055004E" w:rsidRDefault="00432353" w:rsidP="0055004E">
      <w:pPr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t>Atentar para o risco de combustão quando forem usadas substâncias inflamáveis, tais como antissépticos e anestésicos;</w:t>
      </w:r>
    </w:p>
    <w:p w:rsidR="00542E74" w:rsidRPr="0055004E" w:rsidRDefault="00432353" w:rsidP="0055004E">
      <w:pPr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t xml:space="preserve">Dispensar cuidado especial a pacientes portadores de marca – passo para evitar a interferência do bisturi. Quando o bisturi não for bipolar, colocar a placa de </w:t>
      </w:r>
      <w:r w:rsidRPr="0055004E">
        <w:rPr>
          <w:rFonts w:ascii="Times New Roman" w:hAnsi="Times New Roman"/>
          <w:sz w:val="24"/>
          <w:szCs w:val="24"/>
        </w:rPr>
        <w:lastRenderedPageBreak/>
        <w:t xml:space="preserve">retorno o mais breve possível do local da cirurgia e manter um desfibrilador pronto para uso. </w:t>
      </w:r>
    </w:p>
    <w:p w:rsidR="00432353" w:rsidRPr="00542E74" w:rsidRDefault="00432353" w:rsidP="0055004E">
      <w:pPr>
        <w:numPr>
          <w:ilvl w:val="0"/>
          <w:numId w:val="22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42E74">
        <w:rPr>
          <w:rFonts w:ascii="Times New Roman" w:hAnsi="Times New Roman"/>
          <w:sz w:val="24"/>
          <w:szCs w:val="24"/>
        </w:rPr>
        <w:t xml:space="preserve">Aplicar o dispositivo </w:t>
      </w:r>
      <w:proofErr w:type="spellStart"/>
      <w:r w:rsidRPr="00542E74">
        <w:rPr>
          <w:rFonts w:ascii="Times New Roman" w:hAnsi="Times New Roman"/>
          <w:sz w:val="24"/>
          <w:szCs w:val="24"/>
        </w:rPr>
        <w:t>eletrodispersível</w:t>
      </w:r>
      <w:proofErr w:type="spellEnd"/>
      <w:r w:rsidRPr="00542E74">
        <w:rPr>
          <w:rFonts w:ascii="Times New Roman" w:hAnsi="Times New Roman"/>
          <w:sz w:val="24"/>
          <w:szCs w:val="24"/>
        </w:rPr>
        <w:t xml:space="preserve"> no paciente em pele integra região vascularizada, r</w:t>
      </w:r>
      <w:r w:rsidR="0055004E">
        <w:rPr>
          <w:rFonts w:ascii="Times New Roman" w:hAnsi="Times New Roman"/>
          <w:sz w:val="24"/>
          <w:szCs w:val="24"/>
        </w:rPr>
        <w:t>ica em músculo.</w:t>
      </w:r>
    </w:p>
    <w:p w:rsidR="009A4DFE" w:rsidRPr="00542E74" w:rsidRDefault="009A4DFE" w:rsidP="0055004E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E712F1" w:rsidRDefault="00E712F1" w:rsidP="0055004E">
      <w:pPr>
        <w:spacing w:before="100" w:beforeAutospacing="1" w:after="100" w:afterAutospacing="1" w:line="360" w:lineRule="auto"/>
        <w:ind w:firstLine="709"/>
        <w:jc w:val="both"/>
      </w:pPr>
    </w:p>
    <w:p w:rsidR="00E712F1" w:rsidRDefault="00E712F1" w:rsidP="0055004E">
      <w:pPr>
        <w:spacing w:before="100" w:beforeAutospacing="1" w:after="100" w:afterAutospacing="1" w:line="360" w:lineRule="auto"/>
        <w:ind w:firstLine="709"/>
        <w:jc w:val="both"/>
      </w:pPr>
    </w:p>
    <w:p w:rsidR="00E712F1" w:rsidRDefault="00E712F1" w:rsidP="0055004E">
      <w:pPr>
        <w:spacing w:before="100" w:beforeAutospacing="1" w:after="100" w:afterAutospacing="1" w:line="360" w:lineRule="auto"/>
        <w:ind w:firstLine="709"/>
        <w:jc w:val="both"/>
      </w:pPr>
    </w:p>
    <w:p w:rsidR="00573301" w:rsidRPr="0055004E" w:rsidRDefault="00B60E6F" w:rsidP="0055004E">
      <w:pPr>
        <w:pStyle w:val="Ttulo1"/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004E">
        <w:rPr>
          <w:rFonts w:ascii="Times New Roman" w:hAnsi="Times New Roman" w:cs="Times New Roman"/>
          <w:sz w:val="24"/>
          <w:szCs w:val="24"/>
        </w:rPr>
        <w:t xml:space="preserve"> 5. </w:t>
      </w:r>
      <w:r w:rsidR="00E457AA" w:rsidRPr="0055004E">
        <w:rPr>
          <w:rFonts w:ascii="Times New Roman" w:hAnsi="Times New Roman" w:cs="Times New Roman"/>
          <w:sz w:val="24"/>
          <w:szCs w:val="24"/>
        </w:rPr>
        <w:t>REFERÊNCIA NORMATIVA E/OU BIBLIOGRAFIA</w:t>
      </w:r>
    </w:p>
    <w:p w:rsidR="00432353" w:rsidRPr="0055004E" w:rsidRDefault="00432353" w:rsidP="0055004E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t xml:space="preserve">Carvalho R, Bianchi ERF (org.) Enfermagem em centro cirúrgico e recuperação. 1ªed. 2ªreimp. São Paulo: Manole; 2010. </w:t>
      </w:r>
    </w:p>
    <w:p w:rsidR="00432353" w:rsidRPr="0055004E" w:rsidRDefault="00432353" w:rsidP="0055004E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5004E">
        <w:rPr>
          <w:rFonts w:ascii="Times New Roman" w:hAnsi="Times New Roman"/>
          <w:sz w:val="24"/>
          <w:szCs w:val="24"/>
        </w:rPr>
        <w:t>Meeker</w:t>
      </w:r>
      <w:proofErr w:type="spellEnd"/>
      <w:r w:rsidRPr="0055004E">
        <w:rPr>
          <w:rFonts w:ascii="Times New Roman" w:hAnsi="Times New Roman"/>
          <w:sz w:val="24"/>
          <w:szCs w:val="24"/>
        </w:rPr>
        <w:t xml:space="preserve"> MH, </w:t>
      </w:r>
      <w:proofErr w:type="spellStart"/>
      <w:r w:rsidRPr="0055004E">
        <w:rPr>
          <w:rFonts w:ascii="Times New Roman" w:hAnsi="Times New Roman"/>
          <w:sz w:val="24"/>
          <w:szCs w:val="24"/>
        </w:rPr>
        <w:t>Rothrock</w:t>
      </w:r>
      <w:proofErr w:type="spellEnd"/>
      <w:r w:rsidRPr="0055004E">
        <w:rPr>
          <w:rFonts w:ascii="Times New Roman" w:hAnsi="Times New Roman"/>
          <w:sz w:val="24"/>
          <w:szCs w:val="24"/>
        </w:rPr>
        <w:t xml:space="preserve"> JC. Alexander: cuidados de enfermagem ao paciente cirúrgico. 10ªed. Rio de Janeiro: Guanabara Koogan; 2008. </w:t>
      </w:r>
    </w:p>
    <w:p w:rsidR="00432353" w:rsidRPr="002F0F2F" w:rsidRDefault="00432353" w:rsidP="0055004E">
      <w:pPr>
        <w:pStyle w:val="PargrafodaLista"/>
        <w:numPr>
          <w:ilvl w:val="0"/>
          <w:numId w:val="23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55004E">
        <w:rPr>
          <w:rFonts w:ascii="Times New Roman" w:hAnsi="Times New Roman"/>
          <w:sz w:val="24"/>
          <w:szCs w:val="24"/>
        </w:rPr>
        <w:lastRenderedPageBreak/>
        <w:t>Sociedade Brasileira de Enfermeiros de Centro Cirúrgico (SOBECC). Práticas recomendadas: centro cirúrgico, recuperação pós-anestésica e centro de material e esterilização. 5</w:t>
      </w:r>
      <w:r w:rsidRPr="0055004E">
        <w:rPr>
          <w:rFonts w:ascii="Times New Roman" w:hAnsi="Times New Roman"/>
          <w:sz w:val="24"/>
          <w:szCs w:val="24"/>
          <w:lang w:val="en-US"/>
        </w:rPr>
        <w:t>ªed. São Paulo: SOBECC; 2009.</w:t>
      </w:r>
    </w:p>
    <w:p w:rsidR="002F0F2F" w:rsidRDefault="002F0F2F" w:rsidP="002F0F2F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2F0F2F" w:rsidRDefault="002F0F2F" w:rsidP="002F0F2F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2F0F2F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2F0F2F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2F0F2F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F0F2F" w:rsidRPr="002D3757" w:rsidRDefault="002F0F2F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2F0F2F" w:rsidRDefault="002F0F2F" w:rsidP="002F0F2F"/>
    <w:p w:rsidR="002F0F2F" w:rsidRDefault="002F0F2F" w:rsidP="002F0F2F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2F0F2F" w:rsidRPr="002F0F2F" w:rsidRDefault="002F0F2F" w:rsidP="002F0F2F">
      <w:pPr>
        <w:spacing w:before="100" w:beforeAutospacing="1"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</w:p>
    <w:p w:rsidR="00F51BE4" w:rsidRPr="00B60E6F" w:rsidRDefault="00F51BE4"/>
    <w:sectPr w:rsidR="00F51BE4" w:rsidRPr="00B60E6F" w:rsidSect="00F8657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7DD" w:rsidRDefault="00A027DD" w:rsidP="00EB56C6">
      <w:pPr>
        <w:spacing w:after="0" w:line="240" w:lineRule="auto"/>
      </w:pPr>
      <w:r>
        <w:separator/>
      </w:r>
    </w:p>
  </w:endnote>
  <w:endnote w:type="continuationSeparator" w:id="0">
    <w:p w:rsidR="00A027DD" w:rsidRDefault="00A027DD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3" w:type="dxa"/>
      <w:tblInd w:w="-371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849"/>
      <w:gridCol w:w="2562"/>
      <w:gridCol w:w="2408"/>
      <w:gridCol w:w="2354"/>
    </w:tblGrid>
    <w:tr w:rsidR="002F0F2F" w:rsidRPr="007C4B3D" w:rsidTr="00901112">
      <w:trPr>
        <w:trHeight w:val="655"/>
      </w:trPr>
      <w:tc>
        <w:tcPr>
          <w:tcW w:w="284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2F0F2F" w:rsidRPr="007C4B3D" w:rsidTr="00901112">
      <w:trPr>
        <w:trHeight w:val="1674"/>
      </w:trPr>
      <w:tc>
        <w:tcPr>
          <w:tcW w:w="284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F0F2F" w:rsidRPr="007C4B3D" w:rsidRDefault="002F0F2F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2F0F2F" w:rsidRPr="007C4B3D" w:rsidRDefault="002F0F2F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2F0F2F" w:rsidRDefault="002F0F2F" w:rsidP="002F0F2F"/>
  <w:p w:rsidR="00F51BE4" w:rsidRDefault="00F51BE4" w:rsidP="002F0F2F">
    <w:pPr>
      <w:pStyle w:val="Rodap"/>
    </w:pPr>
  </w:p>
  <w:p w:rsidR="002F0F2F" w:rsidRDefault="002F0F2F" w:rsidP="002F0F2F">
    <w:pPr>
      <w:pStyle w:val="Rodap"/>
    </w:pPr>
  </w:p>
  <w:p w:rsidR="002F0F2F" w:rsidRPr="002F0F2F" w:rsidRDefault="002F0F2F" w:rsidP="002F0F2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7DD" w:rsidRDefault="00A027DD" w:rsidP="00EB56C6">
      <w:pPr>
        <w:spacing w:after="0" w:line="240" w:lineRule="auto"/>
      </w:pPr>
      <w:r>
        <w:separator/>
      </w:r>
    </w:p>
  </w:footnote>
  <w:footnote w:type="continuationSeparator" w:id="0">
    <w:p w:rsidR="00A027DD" w:rsidRDefault="00A027DD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2F0F2F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24DD0F4B" wp14:editId="4FA074BB">
                <wp:extent cx="1889125" cy="1000760"/>
                <wp:effectExtent l="0" t="0" r="0" b="8890"/>
                <wp:docPr id="1" name="Imagem 1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GENF-03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2F0F2F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2F0F2F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 xml:space="preserve">GENF-03 </w:t>
          </w:r>
          <w:r w:rsidRPr="002F0F2F">
            <w:rPr>
              <w:rFonts w:ascii="Arial Narrow" w:hAnsi="Arial Narrow"/>
              <w:b/>
              <w:sz w:val="24"/>
              <w:szCs w:val="24"/>
            </w:rPr>
            <w:t>Recomendações para o Uso de Bisturi Elétrico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2F0F2F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F0F2F" w:rsidRPr="00686D93" w:rsidRDefault="002F0F2F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2F0F2F" w:rsidRDefault="002F0F2F" w:rsidP="002F0F2F"/>
  <w:p w:rsidR="00EB56C6" w:rsidRPr="002F0F2F" w:rsidRDefault="00EB56C6" w:rsidP="002F0F2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4F00C14"/>
    <w:multiLevelType w:val="hybridMultilevel"/>
    <w:tmpl w:val="2624B2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50C21"/>
    <w:multiLevelType w:val="hybridMultilevel"/>
    <w:tmpl w:val="0730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97888"/>
    <w:multiLevelType w:val="hybridMultilevel"/>
    <w:tmpl w:val="73783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2CB7653"/>
    <w:multiLevelType w:val="hybridMultilevel"/>
    <w:tmpl w:val="3C168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CB0D12"/>
    <w:multiLevelType w:val="hybridMultilevel"/>
    <w:tmpl w:val="1F7884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706883"/>
    <w:multiLevelType w:val="hybridMultilevel"/>
    <w:tmpl w:val="EF74C6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437311"/>
    <w:multiLevelType w:val="hybridMultilevel"/>
    <w:tmpl w:val="3B06C1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5447DF8"/>
    <w:multiLevelType w:val="hybridMultilevel"/>
    <w:tmpl w:val="803E3D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C1071F"/>
    <w:multiLevelType w:val="hybridMultilevel"/>
    <w:tmpl w:val="1EF4FE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25A0C"/>
    <w:multiLevelType w:val="hybridMultilevel"/>
    <w:tmpl w:val="9926E8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185C88"/>
    <w:multiLevelType w:val="hybridMultilevel"/>
    <w:tmpl w:val="424A93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473E52"/>
    <w:multiLevelType w:val="hybridMultilevel"/>
    <w:tmpl w:val="0CD6ED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F37AD1"/>
    <w:multiLevelType w:val="hybridMultilevel"/>
    <w:tmpl w:val="F04E69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6"/>
  </w:num>
  <w:num w:numId="8">
    <w:abstractNumId w:val="3"/>
  </w:num>
  <w:num w:numId="9">
    <w:abstractNumId w:val="4"/>
  </w:num>
  <w:num w:numId="10">
    <w:abstractNumId w:val="22"/>
  </w:num>
  <w:num w:numId="11">
    <w:abstractNumId w:val="17"/>
  </w:num>
  <w:num w:numId="12">
    <w:abstractNumId w:val="13"/>
  </w:num>
  <w:num w:numId="13">
    <w:abstractNumId w:val="1"/>
  </w:num>
  <w:num w:numId="14">
    <w:abstractNumId w:val="5"/>
  </w:num>
  <w:num w:numId="15">
    <w:abstractNumId w:val="2"/>
  </w:num>
  <w:num w:numId="16">
    <w:abstractNumId w:val="9"/>
  </w:num>
  <w:num w:numId="17">
    <w:abstractNumId w:val="14"/>
  </w:num>
  <w:num w:numId="18">
    <w:abstractNumId w:val="12"/>
  </w:num>
  <w:num w:numId="19">
    <w:abstractNumId w:val="10"/>
  </w:num>
  <w:num w:numId="20">
    <w:abstractNumId w:val="21"/>
  </w:num>
  <w:num w:numId="21">
    <w:abstractNumId w:val="11"/>
  </w:num>
  <w:num w:numId="22">
    <w:abstractNumId w:val="18"/>
  </w:num>
  <w:num w:numId="23">
    <w:abstractNumId w:val="23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47548"/>
    <w:rsid w:val="00071F3B"/>
    <w:rsid w:val="000E2123"/>
    <w:rsid w:val="00114C4E"/>
    <w:rsid w:val="00146D9A"/>
    <w:rsid w:val="00182BD5"/>
    <w:rsid w:val="001B156D"/>
    <w:rsid w:val="001D7F4A"/>
    <w:rsid w:val="0020238F"/>
    <w:rsid w:val="00242C05"/>
    <w:rsid w:val="002F0F2F"/>
    <w:rsid w:val="0030119C"/>
    <w:rsid w:val="00311402"/>
    <w:rsid w:val="00314CC0"/>
    <w:rsid w:val="00381B5E"/>
    <w:rsid w:val="00391476"/>
    <w:rsid w:val="003B0914"/>
    <w:rsid w:val="003D0AB8"/>
    <w:rsid w:val="003E2184"/>
    <w:rsid w:val="004205BA"/>
    <w:rsid w:val="00432353"/>
    <w:rsid w:val="00450381"/>
    <w:rsid w:val="0051223D"/>
    <w:rsid w:val="005122B3"/>
    <w:rsid w:val="00527D40"/>
    <w:rsid w:val="0053058B"/>
    <w:rsid w:val="00542E74"/>
    <w:rsid w:val="0055004E"/>
    <w:rsid w:val="00573301"/>
    <w:rsid w:val="00593B57"/>
    <w:rsid w:val="005A4F1D"/>
    <w:rsid w:val="005B4115"/>
    <w:rsid w:val="005D5689"/>
    <w:rsid w:val="00616488"/>
    <w:rsid w:val="00652689"/>
    <w:rsid w:val="00671975"/>
    <w:rsid w:val="006E54E1"/>
    <w:rsid w:val="006F5C00"/>
    <w:rsid w:val="00714FF1"/>
    <w:rsid w:val="00726834"/>
    <w:rsid w:val="007305B4"/>
    <w:rsid w:val="007561AA"/>
    <w:rsid w:val="007574A1"/>
    <w:rsid w:val="0077700E"/>
    <w:rsid w:val="007933C6"/>
    <w:rsid w:val="007B1B8C"/>
    <w:rsid w:val="007B5E29"/>
    <w:rsid w:val="007B6DB0"/>
    <w:rsid w:val="007C1F57"/>
    <w:rsid w:val="007D1FDC"/>
    <w:rsid w:val="007D458D"/>
    <w:rsid w:val="007D5F0F"/>
    <w:rsid w:val="007D7F77"/>
    <w:rsid w:val="007F65CA"/>
    <w:rsid w:val="00814745"/>
    <w:rsid w:val="0082492F"/>
    <w:rsid w:val="0083714F"/>
    <w:rsid w:val="008605C1"/>
    <w:rsid w:val="00875AF7"/>
    <w:rsid w:val="00884A56"/>
    <w:rsid w:val="008C62D4"/>
    <w:rsid w:val="008F2A5C"/>
    <w:rsid w:val="00967C99"/>
    <w:rsid w:val="00977294"/>
    <w:rsid w:val="009A4DFE"/>
    <w:rsid w:val="009C1814"/>
    <w:rsid w:val="009D2D9A"/>
    <w:rsid w:val="009E584D"/>
    <w:rsid w:val="00A027DD"/>
    <w:rsid w:val="00A20260"/>
    <w:rsid w:val="00A905B8"/>
    <w:rsid w:val="00A91A3A"/>
    <w:rsid w:val="00AB1DCF"/>
    <w:rsid w:val="00AE14E6"/>
    <w:rsid w:val="00B060B2"/>
    <w:rsid w:val="00B21192"/>
    <w:rsid w:val="00B222BC"/>
    <w:rsid w:val="00B43AE0"/>
    <w:rsid w:val="00B44176"/>
    <w:rsid w:val="00B60E6F"/>
    <w:rsid w:val="00B63068"/>
    <w:rsid w:val="00B64523"/>
    <w:rsid w:val="00C43CC4"/>
    <w:rsid w:val="00C52DD8"/>
    <w:rsid w:val="00C86CA8"/>
    <w:rsid w:val="00C97A07"/>
    <w:rsid w:val="00D046BA"/>
    <w:rsid w:val="00D50A01"/>
    <w:rsid w:val="00D8034D"/>
    <w:rsid w:val="00DF357E"/>
    <w:rsid w:val="00E17FBF"/>
    <w:rsid w:val="00E457AA"/>
    <w:rsid w:val="00E712F1"/>
    <w:rsid w:val="00E83DAC"/>
    <w:rsid w:val="00EA3B02"/>
    <w:rsid w:val="00EA5DD6"/>
    <w:rsid w:val="00EB56C6"/>
    <w:rsid w:val="00EC22C5"/>
    <w:rsid w:val="00F15425"/>
    <w:rsid w:val="00F16232"/>
    <w:rsid w:val="00F3420C"/>
    <w:rsid w:val="00F51BE4"/>
    <w:rsid w:val="00F60553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77C92-D772-4784-A2FC-2EE17E55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10</cp:revision>
  <cp:lastPrinted>2023-11-06T17:08:00Z</cp:lastPrinted>
  <dcterms:created xsi:type="dcterms:W3CDTF">2020-03-18T17:44:00Z</dcterms:created>
  <dcterms:modified xsi:type="dcterms:W3CDTF">2023-11-06T17:08:00Z</dcterms:modified>
</cp:coreProperties>
</file>