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Urbanist-bold.ttf" ContentType="application/x-font-ttf"/>
  <Override PartName="/word/fonts/Urbanist-boldItalic.ttf" ContentType="application/x-font-ttf"/>
  <Override PartName="/word/fonts/Urbanist-italic.ttf" ContentType="application/x-font-ttf"/>
  <Override PartName="/word/fonts/Urbanis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60"/>
        <w:jc w:val="center"/>
      </w:pPr>
      <w:r>
        <w:drawing>
          <wp:inline>
            <wp:extent cx="1645920" cy="445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ngul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Urbanist" w:hAnsi="Urbanist" w:cs="Urbanist" w:eastAsia="Urbanist"/>
          <w:b/>
          <w:color w:val="1C1C1C"/>
          <w:sz w:val="56"/>
        </w:rPr>
        <w:t>ATA</w:t>
      </w:r>
    </w:p>
    <w:p>
      <w:pPr>
        <w:spacing w:after="320"/>
        <w:jc w:val="center"/>
      </w:pPr>
      <w:r>
        <w:rPr>
          <w:rFonts w:ascii="Urbanist" w:hAnsi="Urbanist" w:cs="Urbanist" w:eastAsia="Urbanist"/>
          <w:b/>
          <w:color w:val="1C1C1C"/>
          <w:sz w:val="36"/>
        </w:rPr>
        <w:t>Reunião de Smoke Test</w:t>
      </w:r>
    </w:p>
    <w:p>
      <w:pPr>
        <w:spacing w:after="80"/>
        <w:jc w:val="center"/>
      </w:pPr>
      <w:r>
        <w:rPr>
          <w:rFonts w:ascii="Urbanist" w:hAnsi="Urbanist" w:cs="Urbanist" w:eastAsia="Urbanist"/>
          <w:b w:val="0"/>
          <w:color w:val="555555"/>
          <w:sz w:val="22"/>
        </w:rPr>
        <w:t>Empresa: Singular</w:t>
      </w:r>
    </w:p>
    <w:p>
      <w:pPr>
        <w:spacing w:after="80"/>
        <w:jc w:val="center"/>
      </w:pPr>
      <w:r>
        <w:rPr>
          <w:rFonts w:ascii="Urbanist" w:hAnsi="Urbanist" w:cs="Urbanist" w:eastAsia="Urbanist"/>
          <w:b w:val="0"/>
          <w:color w:val="555555"/>
          <w:sz w:val="22"/>
        </w:rPr>
        <w:t>19 de maio de 2026</w:t>
      </w:r>
    </w:p>
    <w:p>
      <w:pPr>
        <w:spacing w:after="320"/>
        <w:jc w:val="center"/>
      </w:pPr>
      <w:r>
        <w:rPr>
          <w:rFonts w:ascii="Urbanist" w:hAnsi="Urbanist" w:cs="Urbanist" w:eastAsia="Urbanist"/>
          <w:b w:val="0"/>
          <w:color w:val="555555"/>
          <w:sz w:val="22"/>
        </w:rPr>
        <w:t>Tipo: Smoke</w:t>
      </w:r>
    </w:p>
    <w:p>
      <w:pPr>
        <w:spacing w:after="360"/>
      </w:pPr>
      <w:r>
        <w:rPr>
          <w:rFonts w:ascii="Urbanist" w:hAnsi="Urbanist" w:cs="Urbanist" w:eastAsia="Urbanist"/>
          <w:b/>
          <w:color w:val="1C1C1C"/>
          <w:sz w:val="22"/>
        </w:rPr>
        <w:t xml:space="preserve">Objetivo: </w:t>
      </w:r>
      <w:r>
        <w:rPr>
          <w:rFonts w:ascii="Urbanist" w:hAnsi="Urbanist" w:cs="Urbanist" w:eastAsia="Urbanist"/>
          <w:b w:val="0"/>
          <w:color w:val="1C1C1C"/>
          <w:sz w:val="22"/>
        </w:rPr>
        <w:t>Validar regressão do build.py da /ata</w:t>
      </w:r>
    </w:p>
    <w:p>
      <w:pPr>
        <w:spacing w:before="240" w:after="160"/>
      </w:pPr>
      <w:r>
        <w:rPr>
          <w:rFonts w:ascii="Urbanist" w:hAnsi="Urbanist" w:cs="Urbanist" w:eastAsia="Urbanist"/>
          <w:b/>
          <w:color w:val="1C1C1C"/>
          <w:sz w:val="28"/>
        </w:rPr>
        <w:t>Participantes</w:t>
      </w:r>
    </w:p>
    <w:p>
      <w:pPr>
        <w:spacing w:after="80"/>
      </w:pPr>
      <w:r>
        <w:rPr>
          <w:rFonts w:ascii="Urbanist" w:hAnsi="Urbanist" w:cs="Urbanist" w:eastAsia="Urbanist"/>
          <w:b/>
          <w:color w:val="1C1C1C"/>
          <w:sz w:val="24"/>
        </w:rPr>
        <w:t>Presentes:</w:t>
      </w:r>
    </w:p>
    <w:p>
      <w:pPr>
        <w:spacing w:after="80"/>
        <w:ind w:left="432" w:hanging="288"/>
      </w:pPr>
      <w:r>
        <w:rPr>
          <w:rFonts w:ascii="Urbanist" w:hAnsi="Urbanist" w:cs="Urbanist" w:eastAsia="Urbanist"/>
          <w:b/>
          <w:color w:val="1C1C1C"/>
          <w:sz w:val="22"/>
        </w:rPr>
        <w:t xml:space="preserve">•  </w:t>
      </w:r>
      <w:r>
        <w:rPr>
          <w:rFonts w:ascii="Urbanist" w:hAnsi="Urbanist" w:cs="Urbanist" w:eastAsia="Urbanist"/>
          <w:b w:val="0"/>
          <w:color w:val="1C1C1C"/>
          <w:sz w:val="22"/>
        </w:rPr>
        <w:t>Pedro Roberto — CTO</w:t>
      </w:r>
    </w:p>
    <w:p>
      <w:pPr>
        <w:spacing w:before="240" w:after="160"/>
      </w:pPr>
      <w:r>
        <w:rPr>
          <w:rFonts w:ascii="Urbanist" w:hAnsi="Urbanist" w:cs="Urbanist" w:eastAsia="Urbanist"/>
          <w:b/>
          <w:color w:val="1C1C1C"/>
          <w:sz w:val="28"/>
        </w:rPr>
        <w:t>Tópicos Discutidos</w:t>
      </w:r>
    </w:p>
    <w:p>
      <w:pPr>
        <w:spacing w:before="240" w:after="160"/>
      </w:pPr>
      <w:r>
        <w:rPr>
          <w:rFonts w:ascii="Urbanist" w:hAnsi="Urbanist" w:cs="Urbanist" w:eastAsia="Urbanist"/>
          <w:b/>
          <w:color w:val="1C1C1C"/>
          <w:sz w:val="26"/>
        </w:rPr>
        <w:t>Tópico 1 — Validação</w:t>
      </w:r>
    </w:p>
    <w:p>
      <w:pPr>
        <w:spacing w:after="160"/>
      </w:pPr>
      <w:r>
        <w:rPr>
          <w:rFonts w:ascii="Urbanist" w:hAnsi="Urbanist" w:cs="Urbanist" w:eastAsia="Urbanist"/>
          <w:b w:val="0"/>
          <w:color w:val="1C1C1C"/>
          <w:sz w:val="22"/>
        </w:rPr>
        <w:t>Texto fictício pra regressão.</w:t>
      </w:r>
    </w:p>
    <w:p>
      <w:pPr>
        <w:spacing w:before="80" w:after="80"/>
      </w:pPr>
      <w:r>
        <w:rPr>
          <w:rFonts w:ascii="Urbanist" w:hAnsi="Urbanist" w:cs="Urbanist" w:eastAsia="Urbanist"/>
          <w:b/>
          <w:color w:val="1C1C1C"/>
          <w:sz w:val="22"/>
        </w:rPr>
        <w:t>Decisões:</w:t>
      </w:r>
    </w:p>
    <w:p>
      <w:pPr>
        <w:spacing w:after="80"/>
        <w:ind w:left="432" w:hanging="288"/>
      </w:pPr>
      <w:r>
        <w:rPr>
          <w:rFonts w:ascii="Urbanist" w:hAnsi="Urbanist" w:cs="Urbanist" w:eastAsia="Urbanist"/>
          <w:b/>
          <w:color w:val="1C1C1C"/>
          <w:sz w:val="22"/>
        </w:rPr>
        <w:t xml:space="preserve">•  </w:t>
      </w:r>
      <w:r>
        <w:rPr>
          <w:rFonts w:ascii="Urbanist" w:hAnsi="Urbanist" w:cs="Urbanist" w:eastAsia="Urbanist"/>
          <w:b w:val="0"/>
          <w:color w:val="1C1C1C"/>
          <w:sz w:val="22"/>
        </w:rPr>
        <w:t>Aprovar fixture.</w:t>
      </w:r>
    </w:p>
    <w:p>
      <w:pPr>
        <w:spacing w:before="240" w:after="160"/>
      </w:pPr>
      <w:r>
        <w:rPr>
          <w:rFonts w:ascii="Urbanist" w:hAnsi="Urbanist" w:cs="Urbanist" w:eastAsia="Urbanist"/>
          <w:b/>
          <w:color w:val="1C1C1C"/>
          <w:sz w:val="28"/>
        </w:rPr>
        <w:t>Encaminhamentos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69"/>
        <w:gridCol w:w="3169"/>
        <w:gridCol w:w="3169"/>
      </w:tblGrid>
      <w:tr>
        <w:tc>
          <w:tcPr>
            <w:tcW w:type="dxa" w:w="3169"/>
            <w:shd w:val="clear" w:color="auto" w:fill="1c1c1c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60" w:after="60"/>
            </w:pPr>
            <w:r/>
            <w:r>
              <w:rPr>
                <w:rFonts w:ascii="Urbanist" w:hAnsi="Urbanist" w:cs="Urbanist" w:eastAsia="Urbanist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169"/>
            <w:shd w:val="clear" w:color="auto" w:fill="1c1c1c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60" w:after="60"/>
            </w:pPr>
            <w:r/>
            <w:r>
              <w:rPr>
                <w:rFonts w:ascii="Urbanist" w:hAnsi="Urbanist" w:cs="Urbanist" w:eastAsia="Urbanist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3169"/>
            <w:shd w:val="clear" w:color="auto" w:fill="1c1c1c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60" w:after="60"/>
            </w:pPr>
            <w:r/>
            <w:r>
              <w:rPr>
                <w:rFonts w:ascii="Urbanist" w:hAnsi="Urbanist" w:cs="Urbanist" w:eastAsia="Urbanist"/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1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60" w:after="60"/>
            </w:pPr>
            <w:r/>
            <w:r>
              <w:rPr>
                <w:rFonts w:ascii="Urbanist" w:hAnsi="Urbanist" w:cs="Urbanist" w:eastAsia="Urbanist"/>
                <w:b w:val="0"/>
                <w:color w:val="1C1C1C"/>
                <w:sz w:val="20"/>
              </w:rPr>
              <w:t>Manter fixture estável</w:t>
            </w:r>
          </w:p>
        </w:tc>
        <w:tc>
          <w:tcPr>
            <w:tcW w:type="dxa" w:w="31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60" w:after="60"/>
            </w:pPr>
            <w:r/>
            <w:r>
              <w:rPr>
                <w:rFonts w:ascii="Urbanist" w:hAnsi="Urbanist" w:cs="Urbanist" w:eastAsia="Urbanist"/>
                <w:b w:val="0"/>
                <w:color w:val="1C1C1C"/>
                <w:sz w:val="20"/>
              </w:rPr>
              <w:t>Pedro</w:t>
            </w:r>
          </w:p>
        </w:tc>
        <w:tc>
          <w:tcPr>
            <w:tcW w:type="dxa" w:w="31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60" w:after="60"/>
            </w:pPr>
            <w:r/>
            <w:r>
              <w:rPr>
                <w:rFonts w:ascii="Urbanist" w:hAnsi="Urbanist" w:cs="Urbanist" w:eastAsia="Urbanist"/>
                <w:b w:val="0"/>
                <w:color w:val="1C1C1C"/>
                <w:sz w:val="20"/>
              </w:rPr>
              <w:t>sempre</w:t>
            </w:r>
          </w:p>
        </w:tc>
      </w:tr>
    </w:tbl>
    <w:p>
      <w:pPr>
        <w:spacing w:after="160"/>
      </w:pPr>
    </w:p>
    <w:sectPr>
      <w:headerReference r:id="rId6" w:type="default"/>
      <w:footerReference r:id="rId7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color="d0d0d0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Singular — osingular.com.brPágina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bottom w:color="e64e10" w:space="6" w:sz="4" w:val="single"/>
      </w:pBdr>
      <w:spacing w:after="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e64e10"/>
        <w:sz w:val="18"/>
        <w:szCs w:val="18"/>
        <w:rtl w:val="0"/>
      </w:rPr>
      <w:t xml:space="preserve">SINGULAR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|  Processo Operacional Padrão de Vendas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4e1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1c1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