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Urbanist-bold.ttf" ContentType="application/x-font-ttf"/>
  <Override PartName="/word/fonts/Urbanist-boldItalic.ttf" ContentType="application/x-font-ttf"/>
  <Override PartName="/word/fonts/Urbanist-italic.ttf" ContentType="application/x-font-ttf"/>
  <Override PartName="/word/fonts/Urbanis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160"/>
        <w:jc w:val="center"/>
      </w:pPr>
      <w:r>
        <w:drawing>
          <wp:inline>
            <wp:extent cx="1645920" cy="445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ingul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45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Urbanist" w:hAnsi="Urbanist" w:cs="Urbanist" w:eastAsia="Urbanist"/>
          <w:b/>
          <w:i w:val="0"/>
          <w:color w:val="1C1C1C"/>
          <w:sz w:val="48"/>
        </w:rPr>
        <w:t>TESTE</w:t>
      </w:r>
    </w:p>
    <w:p>
      <w:pPr>
        <w:spacing w:after="320"/>
        <w:jc w:val="center"/>
      </w:pPr>
      <w:r>
        <w:rPr>
          <w:rFonts w:ascii="Urbanist" w:hAnsi="Urbanist" w:cs="Urbanist" w:eastAsia="Urbanist"/>
          <w:b/>
          <w:i w:val="0"/>
          <w:color w:val="1C1C1C"/>
          <w:sz w:val="36"/>
        </w:rPr>
        <w:t>Documento de Regressão</w:t>
      </w:r>
    </w:p>
    <w:p>
      <w:pPr>
        <w:spacing w:after="360"/>
        <w:jc w:val="center"/>
      </w:pPr>
      <w:r>
        <w:rPr>
          <w:rFonts w:ascii="Urbanist" w:hAnsi="Urbanist" w:cs="Urbanist" w:eastAsia="Urbanist"/>
          <w:b w:val="0"/>
          <w:i w:val="0"/>
          <w:color w:val="555555"/>
          <w:sz w:val="20"/>
        </w:rPr>
        <w:t>Empresa: Singular  |  19 de maio de 2026</w:t>
      </w:r>
    </w:p>
    <w:p>
      <w:pPr>
        <w:spacing w:before="0" w:after="280"/>
        <w:pBdr>
          <w:bottom w:val="single" w:sz="6" w:color="D0D0D0"/>
        </w:pBdr>
      </w:pPr>
    </w:p>
    <w:p>
      <w:pPr>
        <w:spacing w:after="80"/>
      </w:pPr>
      <w:r>
        <w:rPr>
          <w:rFonts w:ascii="Urbanist" w:hAnsi="Urbanist" w:cs="Urbanist" w:eastAsia="Urbanist"/>
          <w:b/>
          <w:i w:val="0"/>
          <w:color w:val="555555"/>
          <w:sz w:val="20"/>
        </w:rPr>
        <w:t>TL;DR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6"/>
      </w:tblGrid>
      <w:tr>
        <w:tc>
          <w:tcPr>
            <w:tcW w:type="dxa" w:w="9506"/>
            <w:shd w:val="clear" w:color="auto" w:fill="F2F2F2"/>
            <w:tcBorders>
              <w:top w:val="single" w:sz="4" w:color="e6e6e6"/>
              <w:left w:val="single" w:sz="4" w:color="e6e6e6"/>
              <w:bottom w:val="single" w:sz="4" w:color="e6e6e6"/>
              <w:right w:val="single" w:sz="4" w:color="e6e6e6"/>
            </w:tcBorders>
          </w:tcPr>
          <w:p>
            <w:pPr>
              <w:spacing w:before="160" w:after="160"/>
            </w:pPr>
            <w:r/>
            <w:r>
              <w:rPr>
                <w:rFonts w:ascii="Urbanist" w:hAnsi="Urbanist" w:cs="Urbanist" w:eastAsia="Urbanist"/>
                <w:b w:val="0"/>
                <w:i w:val="0"/>
                <w:color w:val="1C1C1C"/>
                <w:sz w:val="22"/>
              </w:rPr>
              <w:t>Fixture pra regression test.</w:t>
            </w:r>
          </w:p>
        </w:tc>
      </w:tr>
    </w:tbl>
    <w:p>
      <w:pPr>
        <w:spacing w:after="240"/>
      </w:pPr>
    </w:p>
    <w:p>
      <w:pPr>
        <w:spacing w:before="280" w:after="160"/>
      </w:pPr>
      <w:r>
        <w:rPr>
          <w:rFonts w:ascii="Urbanist" w:hAnsi="Urbanist" w:cs="Urbanist" w:eastAsia="Urbanist"/>
          <w:b/>
          <w:i w:val="0"/>
          <w:color w:val="1C1C1C"/>
          <w:sz w:val="28"/>
        </w:rPr>
        <w:t>1. Seção única</w:t>
      </w:r>
    </w:p>
    <w:p>
      <w:pPr>
        <w:spacing w:after="160"/>
      </w:pPr>
      <w:r>
        <w:rPr>
          <w:rFonts w:ascii="Urbanist" w:hAnsi="Urbanist" w:cs="Urbanist" w:eastAsia="Urbanist"/>
          <w:b w:val="0"/>
          <w:i w:val="0"/>
          <w:color w:val="1C1C1C"/>
          <w:sz w:val="22"/>
        </w:rPr>
        <w:t>Parágrafo fictício.</w:t>
      </w:r>
    </w:p>
    <w:p>
      <w:pPr>
        <w:spacing w:before="480" w:after="40"/>
      </w:pPr>
      <w:r>
        <w:rPr>
          <w:rFonts w:ascii="Urbanist" w:hAnsi="Urbanist" w:cs="Urbanist" w:eastAsia="Urbanist"/>
          <w:b w:val="0"/>
          <w:i/>
          <w:color w:val="555555"/>
          <w:sz w:val="20"/>
        </w:rPr>
        <w:t>Singular Group · 19 de maio de 2026</w:t>
      </w:r>
    </w:p>
    <w:sectPr>
      <w:headerReference r:id="rId6" w:type="default"/>
      <w:footerReference r:id="rId7" w:type="default"/>
      <w:pgSz w:h="16838" w:w="11906" w:orient="portrait"/>
      <w:pgMar w:bottom="1440" w:top="144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Urban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top w:color="d0d0d0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Singular — osingular.com.brPágina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Bdr>
        <w:bottom w:color="e64e10" w:space="6" w:sz="4" w:val="single"/>
      </w:pBdr>
      <w:spacing w:after="0" w:lineRule="auto"/>
      <w:jc w:val="left"/>
      <w:rPr/>
    </w:pPr>
    <w:r w:rsidDel="00000000" w:rsidR="00000000" w:rsidRPr="00000000">
      <w:rPr>
        <w:rFonts w:ascii="Arial" w:cs="Arial" w:eastAsia="Arial" w:hAnsi="Arial"/>
        <w:b w:val="1"/>
        <w:bCs w:val="1"/>
        <w:color w:val="e64e10"/>
        <w:sz w:val="18"/>
        <w:szCs w:val="18"/>
        <w:rtl w:val="0"/>
      </w:rPr>
      <w:t xml:space="preserve">SINGULAR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  |  Processo Operacional Padrão de Vendas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64e1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c1c1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Urbanist-regular.ttf"/><Relationship Id="rId2" Type="http://schemas.openxmlformats.org/officeDocument/2006/relationships/font" Target="fonts/Urbanist-bold.ttf"/><Relationship Id="rId3" Type="http://schemas.openxmlformats.org/officeDocument/2006/relationships/font" Target="fonts/Urbanist-italic.ttf"/><Relationship Id="rId4" Type="http://schemas.openxmlformats.org/officeDocument/2006/relationships/font" Target="fonts/Urbani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