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FE872" w14:textId="3112A456" w:rsidR="00DC7AF9" w:rsidRPr="00BF24B5" w:rsidRDefault="00DC7AF9" w:rsidP="00DC7A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F24B5">
        <w:rPr>
          <w:rFonts w:ascii="Arial" w:hAnsi="Arial" w:cs="Arial"/>
          <w:b/>
          <w:bCs/>
          <w:sz w:val="24"/>
          <w:szCs w:val="24"/>
        </w:rPr>
        <w:t>Metodologia e tratamentos das informações para a construção da Tabela de Medidas Referidas para os Alimentos Consumidos no Brasil</w:t>
      </w:r>
    </w:p>
    <w:p w14:paraId="5ABA9AA0" w14:textId="4BDFCE05" w:rsidR="00805EEA" w:rsidRPr="00DC7AF9" w:rsidRDefault="00805EEA" w:rsidP="006843F2">
      <w:pPr>
        <w:jc w:val="both"/>
        <w:rPr>
          <w:rFonts w:ascii="Arial" w:hAnsi="Arial" w:cs="Arial"/>
          <w:sz w:val="24"/>
          <w:szCs w:val="24"/>
        </w:rPr>
      </w:pPr>
    </w:p>
    <w:p w14:paraId="6DDACF03" w14:textId="38E62D69" w:rsidR="00373365" w:rsidRDefault="00115C4A" w:rsidP="003733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373365" w:rsidRPr="00373365">
        <w:rPr>
          <w:rFonts w:ascii="Arial" w:hAnsi="Arial" w:cs="Arial"/>
          <w:sz w:val="24"/>
          <w:szCs w:val="24"/>
        </w:rPr>
        <w:t>Tabela de Medidas Referidas para os Alimentos Consumidos</w:t>
      </w:r>
      <w:r w:rsidR="00373365">
        <w:rPr>
          <w:rFonts w:ascii="Arial" w:hAnsi="Arial" w:cs="Arial"/>
          <w:sz w:val="24"/>
          <w:szCs w:val="24"/>
        </w:rPr>
        <w:t xml:space="preserve"> </w:t>
      </w:r>
      <w:r w:rsidR="00373365" w:rsidRPr="00373365">
        <w:rPr>
          <w:rFonts w:ascii="Arial" w:hAnsi="Arial" w:cs="Arial"/>
          <w:sz w:val="24"/>
          <w:szCs w:val="24"/>
        </w:rPr>
        <w:t>no Brasil da POF 20</w:t>
      </w:r>
      <w:r w:rsidR="00373365">
        <w:rPr>
          <w:rFonts w:ascii="Arial" w:hAnsi="Arial" w:cs="Arial"/>
          <w:sz w:val="24"/>
          <w:szCs w:val="24"/>
        </w:rPr>
        <w:t>17</w:t>
      </w:r>
      <w:r w:rsidR="00373365" w:rsidRPr="00373365">
        <w:rPr>
          <w:rFonts w:ascii="Arial" w:hAnsi="Arial" w:cs="Arial"/>
          <w:sz w:val="24"/>
          <w:szCs w:val="24"/>
        </w:rPr>
        <w:t>-20</w:t>
      </w:r>
      <w:r w:rsidR="00373365">
        <w:rPr>
          <w:rFonts w:ascii="Arial" w:hAnsi="Arial" w:cs="Arial"/>
          <w:sz w:val="24"/>
          <w:szCs w:val="24"/>
        </w:rPr>
        <w:t>18</w:t>
      </w:r>
      <w:r w:rsidR="00373365" w:rsidRPr="00373365">
        <w:rPr>
          <w:rFonts w:ascii="Arial" w:hAnsi="Arial" w:cs="Arial"/>
          <w:sz w:val="24"/>
          <w:szCs w:val="24"/>
        </w:rPr>
        <w:t>, com suas respectivas quantidades</w:t>
      </w:r>
      <w:r w:rsidR="00373365">
        <w:rPr>
          <w:rFonts w:ascii="Arial" w:hAnsi="Arial" w:cs="Arial"/>
          <w:sz w:val="24"/>
          <w:szCs w:val="24"/>
        </w:rPr>
        <w:t xml:space="preserve"> </w:t>
      </w:r>
      <w:r w:rsidR="00373365" w:rsidRPr="00373365">
        <w:rPr>
          <w:rFonts w:ascii="Arial" w:hAnsi="Arial" w:cs="Arial"/>
          <w:sz w:val="24"/>
          <w:szCs w:val="24"/>
        </w:rPr>
        <w:t xml:space="preserve">em gramas ou mililitros, foi </w:t>
      </w:r>
      <w:r w:rsidR="00373365">
        <w:rPr>
          <w:rFonts w:ascii="Arial" w:hAnsi="Arial" w:cs="Arial"/>
          <w:sz w:val="24"/>
          <w:szCs w:val="24"/>
        </w:rPr>
        <w:t xml:space="preserve">elaborada a partir de uma extensa revisão e atualização da Tabela </w:t>
      </w:r>
      <w:r w:rsidR="00373365" w:rsidRPr="00373365">
        <w:rPr>
          <w:rFonts w:ascii="Arial" w:hAnsi="Arial" w:cs="Arial"/>
          <w:sz w:val="24"/>
          <w:szCs w:val="24"/>
        </w:rPr>
        <w:t>de Medidas Referidas para os Alimentos Consumidos</w:t>
      </w:r>
      <w:r w:rsidR="00373365">
        <w:rPr>
          <w:rFonts w:ascii="Arial" w:hAnsi="Arial" w:cs="Arial"/>
          <w:sz w:val="24"/>
          <w:szCs w:val="24"/>
        </w:rPr>
        <w:t xml:space="preserve"> </w:t>
      </w:r>
      <w:r w:rsidR="00373365" w:rsidRPr="00373365">
        <w:rPr>
          <w:rFonts w:ascii="Arial" w:hAnsi="Arial" w:cs="Arial"/>
          <w:sz w:val="24"/>
          <w:szCs w:val="24"/>
        </w:rPr>
        <w:t>no Brasil da POF 20</w:t>
      </w:r>
      <w:r w:rsidR="00373365">
        <w:rPr>
          <w:rFonts w:ascii="Arial" w:hAnsi="Arial" w:cs="Arial"/>
          <w:sz w:val="24"/>
          <w:szCs w:val="24"/>
        </w:rPr>
        <w:t>08</w:t>
      </w:r>
      <w:r w:rsidR="00373365" w:rsidRPr="00373365">
        <w:rPr>
          <w:rFonts w:ascii="Arial" w:hAnsi="Arial" w:cs="Arial"/>
          <w:sz w:val="24"/>
          <w:szCs w:val="24"/>
        </w:rPr>
        <w:t>-20</w:t>
      </w:r>
      <w:r w:rsidR="00373365">
        <w:rPr>
          <w:rFonts w:ascii="Arial" w:hAnsi="Arial" w:cs="Arial"/>
          <w:sz w:val="24"/>
          <w:szCs w:val="24"/>
        </w:rPr>
        <w:t xml:space="preserve">09. A revisão e atualização da tabela anterior foram realizadas em </w:t>
      </w:r>
      <w:r w:rsidR="00E26899">
        <w:rPr>
          <w:rFonts w:ascii="Arial" w:hAnsi="Arial" w:cs="Arial"/>
          <w:sz w:val="24"/>
          <w:szCs w:val="24"/>
        </w:rPr>
        <w:t>5</w:t>
      </w:r>
      <w:r w:rsidR="00373365">
        <w:rPr>
          <w:rFonts w:ascii="Arial" w:hAnsi="Arial" w:cs="Arial"/>
          <w:sz w:val="24"/>
          <w:szCs w:val="24"/>
        </w:rPr>
        <w:t xml:space="preserve"> etapas, detalhadamente descritas abaixo. </w:t>
      </w:r>
    </w:p>
    <w:p w14:paraId="08153345" w14:textId="6E2BAB0E" w:rsidR="00DF33FC" w:rsidRDefault="00373365" w:rsidP="003733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geral, a metodologia anterior foi mantida, com </w:t>
      </w:r>
      <w:r w:rsidRPr="00373365">
        <w:rPr>
          <w:rFonts w:ascii="Arial" w:hAnsi="Arial" w:cs="Arial"/>
          <w:sz w:val="24"/>
          <w:szCs w:val="24"/>
        </w:rPr>
        <w:t>compilação</w:t>
      </w:r>
      <w:r>
        <w:rPr>
          <w:rFonts w:ascii="Arial" w:hAnsi="Arial" w:cs="Arial"/>
          <w:sz w:val="24"/>
          <w:szCs w:val="24"/>
        </w:rPr>
        <w:t xml:space="preserve"> </w:t>
      </w:r>
      <w:r w:rsidRPr="00373365">
        <w:rPr>
          <w:rFonts w:ascii="Arial" w:hAnsi="Arial" w:cs="Arial"/>
          <w:sz w:val="24"/>
          <w:szCs w:val="24"/>
        </w:rPr>
        <w:t>de tabelas de medidas caseiras e de outras fontes de informação,</w:t>
      </w:r>
      <w:r>
        <w:rPr>
          <w:rFonts w:ascii="Arial" w:hAnsi="Arial" w:cs="Arial"/>
          <w:sz w:val="24"/>
          <w:szCs w:val="24"/>
        </w:rPr>
        <w:t xml:space="preserve"> </w:t>
      </w:r>
      <w:r w:rsidRPr="00373365">
        <w:rPr>
          <w:rFonts w:ascii="Arial" w:hAnsi="Arial" w:cs="Arial"/>
          <w:sz w:val="24"/>
          <w:szCs w:val="24"/>
        </w:rPr>
        <w:t>tais como: publicações contendo informações sobre gramatura de</w:t>
      </w:r>
      <w:r>
        <w:rPr>
          <w:rFonts w:ascii="Arial" w:hAnsi="Arial" w:cs="Arial"/>
          <w:sz w:val="24"/>
          <w:szCs w:val="24"/>
        </w:rPr>
        <w:t xml:space="preserve"> </w:t>
      </w:r>
      <w:r w:rsidRPr="00373365">
        <w:rPr>
          <w:rFonts w:ascii="Arial" w:hAnsi="Arial" w:cs="Arial"/>
          <w:sz w:val="24"/>
          <w:szCs w:val="24"/>
        </w:rPr>
        <w:t>medidas caseiras; rótulos de alimentos; artigos científicos com o</w:t>
      </w:r>
      <w:r>
        <w:rPr>
          <w:rFonts w:ascii="Arial" w:hAnsi="Arial" w:cs="Arial"/>
          <w:sz w:val="24"/>
          <w:szCs w:val="24"/>
        </w:rPr>
        <w:t xml:space="preserve"> </w:t>
      </w:r>
      <w:r w:rsidRPr="00373365">
        <w:rPr>
          <w:rFonts w:ascii="Arial" w:hAnsi="Arial" w:cs="Arial"/>
          <w:sz w:val="24"/>
          <w:szCs w:val="24"/>
        </w:rPr>
        <w:t>peso da unidade de algumas frutas nacionais; e pesagem direta de</w:t>
      </w:r>
      <w:r>
        <w:rPr>
          <w:rFonts w:ascii="Arial" w:hAnsi="Arial" w:cs="Arial"/>
          <w:sz w:val="24"/>
          <w:szCs w:val="24"/>
        </w:rPr>
        <w:t xml:space="preserve"> </w:t>
      </w:r>
      <w:r w:rsidRPr="00373365">
        <w:rPr>
          <w:rFonts w:ascii="Arial" w:hAnsi="Arial" w:cs="Arial"/>
          <w:sz w:val="24"/>
          <w:szCs w:val="24"/>
        </w:rPr>
        <w:t>alguns alimentos e preparações realizadas em centros de pesquisas</w:t>
      </w:r>
      <w:r>
        <w:rPr>
          <w:rFonts w:ascii="Arial" w:hAnsi="Arial" w:cs="Arial"/>
          <w:sz w:val="24"/>
          <w:szCs w:val="24"/>
        </w:rPr>
        <w:t xml:space="preserve"> de universidades brasileiras. </w:t>
      </w:r>
      <w:r w:rsidRPr="00373365">
        <w:rPr>
          <w:rFonts w:ascii="Arial" w:hAnsi="Arial" w:cs="Arial"/>
          <w:sz w:val="24"/>
          <w:szCs w:val="24"/>
        </w:rPr>
        <w:t>As fontes de referência utilizadas na compilação das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373365">
        <w:rPr>
          <w:rFonts w:ascii="Arial" w:hAnsi="Arial" w:cs="Arial"/>
          <w:sz w:val="24"/>
          <w:szCs w:val="24"/>
        </w:rPr>
        <w:t>sobre a gramatura das medidas caseiras referidas para construção da</w:t>
      </w:r>
      <w:r>
        <w:rPr>
          <w:rFonts w:ascii="Arial" w:hAnsi="Arial" w:cs="Arial"/>
          <w:sz w:val="24"/>
          <w:szCs w:val="24"/>
        </w:rPr>
        <w:t xml:space="preserve"> </w:t>
      </w:r>
      <w:r w:rsidRPr="00373365"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 xml:space="preserve">foram as mesmas, conforme descritas no Quadro </w:t>
      </w:r>
      <w:r w:rsidR="00E26899">
        <w:rPr>
          <w:rFonts w:ascii="Arial" w:hAnsi="Arial" w:cs="Arial"/>
          <w:sz w:val="24"/>
          <w:szCs w:val="24"/>
        </w:rPr>
        <w:t>1</w:t>
      </w:r>
      <w:r w:rsidRPr="00373365">
        <w:rPr>
          <w:rFonts w:ascii="Arial" w:hAnsi="Arial" w:cs="Arial"/>
          <w:sz w:val="24"/>
          <w:szCs w:val="24"/>
        </w:rPr>
        <w:t>.</w:t>
      </w:r>
    </w:p>
    <w:p w14:paraId="647D3C28" w14:textId="77777777" w:rsidR="0065301E" w:rsidRDefault="0065301E" w:rsidP="00E268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4E1E84" w14:textId="3D4DE0A5" w:rsidR="00E26899" w:rsidRPr="0065301E" w:rsidRDefault="00E26899" w:rsidP="00E268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1. </w:t>
      </w:r>
      <w:r w:rsidRPr="0065301E">
        <w:rPr>
          <w:rFonts w:ascii="Arial" w:hAnsi="Arial" w:cs="Arial"/>
          <w:sz w:val="24"/>
          <w:szCs w:val="24"/>
        </w:rPr>
        <w:t>Descrição das fontes de referência que serviram de base para a compilação das informações das medidas referidas na POF 2017-2018.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3"/>
        <w:gridCol w:w="7677"/>
      </w:tblGrid>
      <w:tr w:rsidR="00E26899" w:rsidRPr="0065301E" w14:paraId="2EC20DDD" w14:textId="77777777" w:rsidTr="00A368F7">
        <w:trPr>
          <w:cantSplit/>
          <w:tblHeader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C5DA7EB" w14:textId="77777777" w:rsidR="00E26899" w:rsidRPr="0065301E" w:rsidRDefault="00E26899" w:rsidP="00A368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301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FFFADFA" w14:textId="77777777" w:rsidR="00E26899" w:rsidRPr="0065301E" w:rsidRDefault="00E26899" w:rsidP="00A368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5301E">
              <w:rPr>
                <w:rFonts w:ascii="Arial" w:hAnsi="Arial" w:cs="Arial"/>
                <w:b/>
                <w:sz w:val="24"/>
                <w:szCs w:val="24"/>
              </w:rPr>
              <w:t>Referência</w:t>
            </w:r>
          </w:p>
        </w:tc>
      </w:tr>
      <w:tr w:rsidR="00E26899" w:rsidRPr="0065301E" w14:paraId="6B36D8AC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A9A0B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49220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 xml:space="preserve">Pinheiro, A. B. V.; Lacerda, E. M. A.;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</w:rPr>
              <w:t>Benzecry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 xml:space="preserve">, E. H.; Gomes, M. C. S.; Costa, V. M. Tabela para avaliação de consumo alimentar em medidas caseiras. 5ª ed. São Paulo: Atheneu, 2001. </w:t>
            </w:r>
          </w:p>
        </w:tc>
      </w:tr>
      <w:tr w:rsidR="00E26899" w:rsidRPr="0065301E" w14:paraId="5EA63A35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32D9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28C1F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Brasil. Ministério da Saúde. Secretária de Atenção à Saúde. Departamento de atenção básica. Coordenação-geral da Política de Alimentação e Nutrição. Guia Alimentar para a população brasileira: Promovendo a alimentação saudável. Brasil: Ministério da Saúde, 2006</w:t>
            </w:r>
          </w:p>
        </w:tc>
      </w:tr>
      <w:tr w:rsidR="00E26899" w:rsidRPr="0065301E" w14:paraId="4D29CA18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DEE5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AB049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301E">
              <w:rPr>
                <w:rFonts w:ascii="Arial" w:hAnsi="Arial" w:cs="Arial"/>
                <w:sz w:val="24"/>
                <w:szCs w:val="24"/>
              </w:rPr>
              <w:t>Philippi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>, S. T. Pirâmide dos alimentos: fundamentos básicos da nutrição. São Paulo: Manole, 2008.</w:t>
            </w:r>
          </w:p>
        </w:tc>
      </w:tr>
      <w:tr w:rsidR="00E26899" w:rsidRPr="0065301E" w14:paraId="100389FB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AD1EF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4A827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Fisberg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 xml:space="preserve">, R. M. &amp; Villar, B. S. Manual de receitas e medidas caseiras para cálculo de inquéritos alimentares. Manual elaborado para auxiliar o processamento de dados de inquéritos alimentares. 1ª edição. São Paulo: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Signus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, 2002</w:t>
            </w:r>
          </w:p>
        </w:tc>
      </w:tr>
      <w:tr w:rsidR="00E26899" w:rsidRPr="0065301E" w14:paraId="35229BAB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1234B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EE87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Rótulo de alimentos</w:t>
            </w:r>
          </w:p>
        </w:tc>
      </w:tr>
      <w:tr w:rsidR="00E26899" w:rsidRPr="0065301E" w14:paraId="4F66AF6F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AB4CF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719D5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 xml:space="preserve">Naves, M. M. V.; Silva, M. R.; Silva, M. S.; Oliveira, A. G. Culinária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</w:rPr>
              <w:t>Goiana:Valor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 xml:space="preserve"> nutritivo de pratos tradicionais. Goiânia: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</w:rPr>
              <w:t>Kelps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>, 2004</w:t>
            </w:r>
          </w:p>
        </w:tc>
      </w:tr>
      <w:tr w:rsidR="00E26899" w:rsidRPr="0065301E" w14:paraId="5E9C5AEA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511DD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7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0B47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Tomita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, L. Y. &amp; Cardoso, M. A. Relação de medidas caseiras, composição química e receitas de alimentos nipo-brasileiros. São José do Rio Preto, 2000. 49p</w:t>
            </w:r>
          </w:p>
        </w:tc>
      </w:tr>
      <w:tr w:rsidR="00E26899" w:rsidRPr="0065301E" w14:paraId="75FB3F84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89EB9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DDF45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Pacheco, M. Tabela de medidas caseiras e composição química dos alimentos. Rio de Janeiro: Ed.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Rubio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, 2006.</w:t>
            </w:r>
          </w:p>
        </w:tc>
      </w:tr>
      <w:tr w:rsidR="00E26899" w:rsidRPr="0065301E" w14:paraId="689EC236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0A90F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72E5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Tuma, R. &amp; Monteiro, R. Tabela de alimentos equivalente. Belém, 1999.</w:t>
            </w:r>
          </w:p>
        </w:tc>
      </w:tr>
      <w:tr w:rsidR="00E26899" w:rsidRPr="0065301E" w14:paraId="1C9A22CF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77BF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7A3F8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Souza, F. G.; Figueiredo, R. W.; Alves, R. E.; Maias, G. A.; Araújo, I. A. Qualidade pós-colheita de frutos de diferentes clones de mangabeira (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hancornia</w:t>
            </w:r>
            <w:proofErr w:type="spellEnd"/>
            <w:r w:rsidRPr="0065301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speciosa</w:t>
            </w:r>
            <w:proofErr w:type="spellEnd"/>
            <w:r w:rsidRPr="0065301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 xml:space="preserve"> gomes</w:t>
            </w: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 xml:space="preserve">). </w:t>
            </w:r>
            <w:r w:rsidRPr="0065301E">
              <w:rPr>
                <w:rFonts w:ascii="Arial" w:hAnsi="Arial" w:cs="Arial"/>
                <w:sz w:val="24"/>
                <w:szCs w:val="24"/>
              </w:rPr>
              <w:t xml:space="preserve">Ciênc.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</w:rPr>
              <w:t>agrotec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>., Lavras, v. 31, n. 5, p. 1449-1454, set./out., 2007.</w:t>
            </w:r>
          </w:p>
        </w:tc>
      </w:tr>
      <w:tr w:rsidR="00E26899" w:rsidRPr="0065301E" w14:paraId="043B38FB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61E23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F14BC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 xml:space="preserve">Caldeira, S. D.;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</w:rPr>
              <w:t>Hiane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>, P. A.; Ramos, M. I. L.; Filho, M. M. R. Caracterização físico-química do araçá (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</w:rPr>
              <w:t>Psidium</w:t>
            </w:r>
            <w:proofErr w:type="spellEnd"/>
            <w:r w:rsidRPr="0065301E">
              <w:rPr>
                <w:rFonts w:ascii="Arial" w:hAnsi="Arial" w:cs="Arial"/>
                <w:i/>
                <w:sz w:val="24"/>
                <w:szCs w:val="24"/>
              </w:rPr>
              <w:t xml:space="preserve"> guineense 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</w:rPr>
              <w:t>sw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>.) e do tarumã (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</w:rPr>
              <w:t>Vitex</w:t>
            </w:r>
            <w:proofErr w:type="spellEnd"/>
            <w:r w:rsidRPr="0065301E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</w:rPr>
              <w:t>cymosa</w:t>
            </w:r>
            <w:proofErr w:type="spellEnd"/>
            <w:r w:rsidRPr="0065301E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</w:rPr>
              <w:t>bert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 xml:space="preserve">.) do Estado de Mato Grosso do Sul. </w:t>
            </w:r>
            <w:hyperlink r:id="rId5" w:tgtFrame="Revista" w:history="1">
              <w:r w:rsidRPr="0065301E">
                <w:rPr>
                  <w:rFonts w:ascii="Arial" w:hAnsi="Arial" w:cs="Arial"/>
                  <w:sz w:val="24"/>
                  <w:szCs w:val="24"/>
                </w:rPr>
                <w:t xml:space="preserve">Bol. Centro </w:t>
              </w:r>
              <w:proofErr w:type="spellStart"/>
              <w:r w:rsidRPr="0065301E">
                <w:rPr>
                  <w:rFonts w:ascii="Arial" w:hAnsi="Arial" w:cs="Arial"/>
                  <w:sz w:val="24"/>
                  <w:szCs w:val="24"/>
                </w:rPr>
                <w:t>Pesqui</w:t>
              </w:r>
              <w:proofErr w:type="spellEnd"/>
              <w:r w:rsidRPr="0065301E">
                <w:rPr>
                  <w:rFonts w:ascii="Arial" w:hAnsi="Arial" w:cs="Arial"/>
                  <w:sz w:val="24"/>
                  <w:szCs w:val="24"/>
                </w:rPr>
                <w:t xml:space="preserve">. </w:t>
              </w:r>
              <w:proofErr w:type="spellStart"/>
              <w:r w:rsidRPr="0065301E">
                <w:rPr>
                  <w:rFonts w:ascii="Arial" w:hAnsi="Arial" w:cs="Arial"/>
                  <w:sz w:val="24"/>
                  <w:szCs w:val="24"/>
                </w:rPr>
                <w:t>Process</w:t>
              </w:r>
              <w:proofErr w:type="spellEnd"/>
              <w:r w:rsidRPr="0065301E">
                <w:rPr>
                  <w:rFonts w:ascii="Arial" w:hAnsi="Arial" w:cs="Arial"/>
                  <w:sz w:val="24"/>
                  <w:szCs w:val="24"/>
                </w:rPr>
                <w:t xml:space="preserve">. </w:t>
              </w:r>
              <w:proofErr w:type="spellStart"/>
              <w:r w:rsidRPr="0065301E">
                <w:rPr>
                  <w:rFonts w:ascii="Arial" w:hAnsi="Arial" w:cs="Arial"/>
                  <w:sz w:val="24"/>
                  <w:szCs w:val="24"/>
                </w:rPr>
                <w:t>Aliment</w:t>
              </w:r>
              <w:proofErr w:type="spellEnd"/>
            </w:hyperlink>
            <w:r w:rsidRPr="0065301E">
              <w:rPr>
                <w:rFonts w:ascii="Arial" w:hAnsi="Arial" w:cs="Arial"/>
              </w:rPr>
              <w:t>.</w:t>
            </w:r>
            <w:r w:rsidRPr="0065301E">
              <w:rPr>
                <w:rFonts w:ascii="Arial" w:hAnsi="Arial" w:cs="Arial"/>
                <w:sz w:val="24"/>
                <w:szCs w:val="24"/>
              </w:rPr>
              <w:t>, v.22, n. 1, p.145-154, jan./jun., 2004.</w:t>
            </w:r>
          </w:p>
        </w:tc>
      </w:tr>
      <w:tr w:rsidR="00E26899" w:rsidRPr="0065301E" w14:paraId="08D647DB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B000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DE064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Araújo, R. R.; Santos, E. D.; Lemos, E. E. P.; Alves, R. E. Caracterização biométrica de frutos e sementes de genótipos de murici (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</w:rPr>
              <w:t>Byrsonima</w:t>
            </w:r>
            <w:proofErr w:type="spellEnd"/>
            <w:r w:rsidRPr="0065301E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</w:rPr>
              <w:t>verbascifolia</w:t>
            </w:r>
            <w:proofErr w:type="spellEnd"/>
            <w:r w:rsidRPr="0065301E">
              <w:rPr>
                <w:rFonts w:ascii="Arial" w:hAnsi="Arial" w:cs="Arial"/>
                <w:i/>
                <w:sz w:val="24"/>
                <w:szCs w:val="24"/>
              </w:rPr>
              <w:t xml:space="preserve"> (L.) </w:t>
            </w:r>
            <w:proofErr w:type="spellStart"/>
            <w:r w:rsidRPr="0065301E">
              <w:rPr>
                <w:rFonts w:ascii="Arial" w:hAnsi="Arial" w:cs="Arial"/>
                <w:i/>
                <w:sz w:val="24"/>
                <w:szCs w:val="24"/>
              </w:rPr>
              <w:t>Rich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 xml:space="preserve">.) do tabuleiro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</w:rPr>
              <w:t>costeleiro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</w:rPr>
              <w:t xml:space="preserve"> de Alagoas. Revista caatinga, v. 22 (3): 2009. p. 224-8.</w:t>
            </w:r>
          </w:p>
        </w:tc>
      </w:tr>
      <w:tr w:rsidR="00E26899" w:rsidRPr="00271CAE" w14:paraId="1078D24C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F42C6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  <w:lang w:val="en-US" w:eastAsia="pt-BR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val="en-US" w:eastAsia="pt-BR"/>
              </w:rPr>
              <w:t>13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171D5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01E">
              <w:rPr>
                <w:rFonts w:ascii="Arial" w:hAnsi="Arial" w:cs="Arial"/>
                <w:i/>
                <w:sz w:val="24"/>
                <w:szCs w:val="24"/>
                <w:lang w:val="en-US" w:eastAsia="pt-BR"/>
              </w:rPr>
              <w:t>Nutrition Data System for Research</w:t>
            </w:r>
            <w:r w:rsidRPr="0065301E">
              <w:rPr>
                <w:rFonts w:ascii="Arial" w:hAnsi="Arial" w:cs="Arial"/>
                <w:sz w:val="24"/>
                <w:szCs w:val="24"/>
                <w:lang w:val="en-US" w:eastAsia="pt-BR"/>
              </w:rPr>
              <w:t xml:space="preserve"> (NDSR, </w:t>
            </w:r>
            <w:proofErr w:type="spellStart"/>
            <w:r w:rsidRPr="0065301E">
              <w:rPr>
                <w:rFonts w:ascii="Arial" w:hAnsi="Arial" w:cs="Arial"/>
                <w:sz w:val="24"/>
                <w:szCs w:val="24"/>
                <w:lang w:val="en-US" w:eastAsia="pt-BR"/>
              </w:rPr>
              <w:t>versão</w:t>
            </w:r>
            <w:proofErr w:type="spellEnd"/>
            <w:r w:rsidRPr="0065301E">
              <w:rPr>
                <w:rFonts w:ascii="Arial" w:hAnsi="Arial" w:cs="Arial"/>
                <w:sz w:val="24"/>
                <w:szCs w:val="24"/>
                <w:lang w:val="en-US" w:eastAsia="pt-BR"/>
              </w:rPr>
              <w:t xml:space="preserve"> 2008, </w:t>
            </w:r>
            <w:r w:rsidRPr="0065301E">
              <w:rPr>
                <w:rFonts w:ascii="Arial" w:hAnsi="Arial" w:cs="Arial"/>
                <w:i/>
                <w:sz w:val="24"/>
                <w:szCs w:val="24"/>
                <w:lang w:val="en-US" w:eastAsia="pt-BR"/>
              </w:rPr>
              <w:t>Nutrition Coordinating Center [NCC], University of Minnesota, Minneapolis</w:t>
            </w:r>
            <w:r w:rsidRPr="0065301E">
              <w:rPr>
                <w:rFonts w:ascii="Arial" w:hAnsi="Arial" w:cs="Arial"/>
                <w:sz w:val="24"/>
                <w:szCs w:val="24"/>
                <w:lang w:val="en-US" w:eastAsia="pt-BR"/>
              </w:rPr>
              <w:t>).</w:t>
            </w:r>
          </w:p>
        </w:tc>
      </w:tr>
      <w:tr w:rsidR="00E26899" w:rsidRPr="0065301E" w14:paraId="743966E5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85FE4" w14:textId="77777777" w:rsidR="00E26899" w:rsidRPr="0065301E" w:rsidRDefault="00E26899" w:rsidP="00A368F7">
            <w:pPr>
              <w:jc w:val="center"/>
              <w:rPr>
                <w:rFonts w:ascii="Arial" w:hAnsi="Arial" w:cs="Arial"/>
                <w:sz w:val="24"/>
                <w:szCs w:val="24"/>
                <w:lang w:val="en-US" w:eastAsia="pt-BR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val="en-US" w:eastAsia="pt-BR"/>
              </w:rPr>
              <w:t>14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35CBB" w14:textId="77777777" w:rsidR="00E26899" w:rsidRPr="0065301E" w:rsidRDefault="00E26899" w:rsidP="00A36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 xml:space="preserve">Itens </w:t>
            </w:r>
            <w:r w:rsidRPr="0065301E">
              <w:rPr>
                <w:rFonts w:ascii="Arial" w:hAnsi="Arial" w:cs="Arial"/>
                <w:sz w:val="24"/>
                <w:szCs w:val="24"/>
              </w:rPr>
              <w:t>pesados nas universidades brasileiras</w:t>
            </w:r>
          </w:p>
        </w:tc>
      </w:tr>
      <w:tr w:rsidR="00E26899" w:rsidRPr="0065301E" w14:paraId="4499CFDE" w14:textId="77777777" w:rsidTr="00A368F7">
        <w:trPr>
          <w:cantSplit/>
          <w:jc w:val="center"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D4DC9" w14:textId="77777777" w:rsidR="00E26899" w:rsidRPr="0065301E" w:rsidRDefault="00E26899" w:rsidP="00A368F7">
            <w:pPr>
              <w:tabs>
                <w:tab w:val="left" w:pos="212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DF5C1" w14:textId="77777777" w:rsidR="00E26899" w:rsidRPr="0065301E" w:rsidRDefault="00E26899" w:rsidP="00A368F7">
            <w:pPr>
              <w:tabs>
                <w:tab w:val="left" w:pos="212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301E">
              <w:rPr>
                <w:rFonts w:ascii="Arial" w:hAnsi="Arial" w:cs="Arial"/>
                <w:sz w:val="24"/>
                <w:szCs w:val="24"/>
              </w:rPr>
              <w:t>O</w:t>
            </w:r>
            <w:r w:rsidRPr="0065301E">
              <w:rPr>
                <w:rFonts w:ascii="Arial" w:hAnsi="Arial" w:cs="Arial"/>
                <w:sz w:val="24"/>
                <w:szCs w:val="24"/>
                <w:lang w:eastAsia="pt-BR"/>
              </w:rPr>
              <w:t>utras medidas, como grama, quilo, garrafas e latas com volume já definidos</w:t>
            </w:r>
          </w:p>
        </w:tc>
      </w:tr>
    </w:tbl>
    <w:p w14:paraId="7BF56D1D" w14:textId="77777777" w:rsidR="00E26899" w:rsidRPr="00DC7AF9" w:rsidRDefault="00E26899" w:rsidP="00373365">
      <w:pPr>
        <w:jc w:val="both"/>
        <w:rPr>
          <w:rFonts w:ascii="Arial" w:hAnsi="Arial" w:cs="Arial"/>
          <w:sz w:val="24"/>
          <w:szCs w:val="24"/>
        </w:rPr>
      </w:pPr>
    </w:p>
    <w:p w14:paraId="305C8C73" w14:textId="33CD5DAA" w:rsidR="004D3C6F" w:rsidRPr="00DC7AF9" w:rsidRDefault="000E1836" w:rsidP="006843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Etapa</w:t>
      </w:r>
      <w:r w:rsidR="004D3C6F" w:rsidRPr="00DC7AF9">
        <w:rPr>
          <w:rFonts w:ascii="Arial" w:hAnsi="Arial" w:cs="Arial"/>
          <w:b/>
          <w:sz w:val="24"/>
          <w:szCs w:val="24"/>
        </w:rPr>
        <w:t xml:space="preserve"> 1 – Revisão das referências e gramatura</w:t>
      </w:r>
      <w:r w:rsidR="006843F2" w:rsidRPr="00DC7AF9">
        <w:rPr>
          <w:rFonts w:ascii="Arial" w:hAnsi="Arial" w:cs="Arial"/>
          <w:b/>
          <w:sz w:val="24"/>
          <w:szCs w:val="24"/>
        </w:rPr>
        <w:t>s</w:t>
      </w:r>
      <w:r w:rsidR="004D3C6F" w:rsidRPr="00DC7AF9">
        <w:rPr>
          <w:rFonts w:ascii="Arial" w:hAnsi="Arial" w:cs="Arial"/>
          <w:b/>
          <w:sz w:val="24"/>
          <w:szCs w:val="24"/>
        </w:rPr>
        <w:t xml:space="preserve"> correspondente</w:t>
      </w:r>
      <w:r w:rsidR="006843F2" w:rsidRPr="00DC7AF9">
        <w:rPr>
          <w:rFonts w:ascii="Arial" w:hAnsi="Arial" w:cs="Arial"/>
          <w:b/>
          <w:sz w:val="24"/>
          <w:szCs w:val="24"/>
        </w:rPr>
        <w:t>s</w:t>
      </w:r>
    </w:p>
    <w:p w14:paraId="6984DBF6" w14:textId="1301E028" w:rsidR="00B522BC" w:rsidRPr="00B522BC" w:rsidRDefault="00DF33FC" w:rsidP="00B522BC">
      <w:pPr>
        <w:jc w:val="both"/>
        <w:rPr>
          <w:rFonts w:ascii="Arial" w:hAnsi="Arial" w:cs="Arial"/>
          <w:sz w:val="24"/>
          <w:szCs w:val="24"/>
        </w:rPr>
      </w:pPr>
      <w:r w:rsidRPr="00DC7AF9">
        <w:rPr>
          <w:rFonts w:ascii="Arial" w:hAnsi="Arial" w:cs="Arial"/>
          <w:sz w:val="24"/>
          <w:szCs w:val="24"/>
        </w:rPr>
        <w:t>Foi realizada uma revisão das gramatura</w:t>
      </w:r>
      <w:r w:rsidR="000E1836">
        <w:rPr>
          <w:rFonts w:ascii="Arial" w:hAnsi="Arial" w:cs="Arial"/>
          <w:sz w:val="24"/>
          <w:szCs w:val="24"/>
        </w:rPr>
        <w:t>s</w:t>
      </w:r>
      <w:r w:rsidRPr="00DC7AF9">
        <w:rPr>
          <w:rFonts w:ascii="Arial" w:hAnsi="Arial" w:cs="Arial"/>
          <w:sz w:val="24"/>
          <w:szCs w:val="24"/>
        </w:rPr>
        <w:t xml:space="preserve"> utilizadas na tabela da POF 2008-2009, a fim de </w:t>
      </w:r>
      <w:r w:rsidR="000E1836">
        <w:rPr>
          <w:rFonts w:ascii="Arial" w:hAnsi="Arial" w:cs="Arial"/>
          <w:sz w:val="24"/>
          <w:szCs w:val="24"/>
        </w:rPr>
        <w:t>detectar possíveis medidas de produtos industrializados que tiveram suas embalagens/porções alteradas no período entre os dois inquéritos</w:t>
      </w:r>
      <w:r w:rsidRPr="00DC7AF9">
        <w:rPr>
          <w:rFonts w:ascii="Arial" w:hAnsi="Arial" w:cs="Arial"/>
          <w:sz w:val="24"/>
          <w:szCs w:val="24"/>
        </w:rPr>
        <w:t xml:space="preserve">. </w:t>
      </w:r>
      <w:r w:rsidR="000E1836">
        <w:rPr>
          <w:rFonts w:ascii="Arial" w:hAnsi="Arial" w:cs="Arial"/>
          <w:sz w:val="24"/>
          <w:szCs w:val="24"/>
        </w:rPr>
        <w:t>F</w:t>
      </w:r>
      <w:r w:rsidR="000E1836" w:rsidRPr="00DC7AF9">
        <w:rPr>
          <w:rFonts w:ascii="Arial" w:hAnsi="Arial" w:cs="Arial"/>
          <w:sz w:val="24"/>
          <w:szCs w:val="24"/>
        </w:rPr>
        <w:t xml:space="preserve">oram </w:t>
      </w:r>
      <w:r w:rsidR="000E1836" w:rsidRPr="00E26899">
        <w:rPr>
          <w:rFonts w:ascii="Arial" w:hAnsi="Arial" w:cs="Arial"/>
          <w:sz w:val="24"/>
          <w:szCs w:val="24"/>
        </w:rPr>
        <w:t xml:space="preserve">alteradas </w:t>
      </w:r>
      <w:r w:rsidR="00E26899" w:rsidRPr="00E26899">
        <w:rPr>
          <w:rFonts w:ascii="Arial" w:hAnsi="Arial" w:cs="Arial"/>
          <w:sz w:val="24"/>
          <w:szCs w:val="24"/>
        </w:rPr>
        <w:t>2,5</w:t>
      </w:r>
      <w:r w:rsidR="000E1836" w:rsidRPr="00E26899">
        <w:rPr>
          <w:rFonts w:ascii="Arial" w:hAnsi="Arial" w:cs="Arial"/>
          <w:sz w:val="24"/>
          <w:szCs w:val="24"/>
        </w:rPr>
        <w:t xml:space="preserve">% </w:t>
      </w:r>
      <w:r w:rsidR="000E1836">
        <w:rPr>
          <w:rFonts w:ascii="Arial" w:hAnsi="Arial" w:cs="Arial"/>
          <w:sz w:val="24"/>
          <w:szCs w:val="24"/>
        </w:rPr>
        <w:t xml:space="preserve">das </w:t>
      </w:r>
      <w:r w:rsidR="00E26899">
        <w:rPr>
          <w:rFonts w:ascii="Arial" w:hAnsi="Arial" w:cs="Arial"/>
          <w:sz w:val="24"/>
          <w:szCs w:val="24"/>
        </w:rPr>
        <w:t>11.</w:t>
      </w:r>
      <w:r w:rsidR="006820F0">
        <w:rPr>
          <w:rFonts w:ascii="Arial" w:hAnsi="Arial" w:cs="Arial"/>
          <w:sz w:val="24"/>
          <w:szCs w:val="24"/>
        </w:rPr>
        <w:t>807</w:t>
      </w:r>
      <w:r w:rsidR="000E1836">
        <w:rPr>
          <w:rFonts w:ascii="Arial" w:hAnsi="Arial" w:cs="Arial"/>
          <w:sz w:val="24"/>
          <w:szCs w:val="24"/>
        </w:rPr>
        <w:t xml:space="preserve"> medidas, </w:t>
      </w:r>
      <w:r w:rsidR="00CD5D77">
        <w:rPr>
          <w:rFonts w:ascii="Arial" w:hAnsi="Arial" w:cs="Arial"/>
          <w:sz w:val="24"/>
          <w:szCs w:val="24"/>
        </w:rPr>
        <w:t xml:space="preserve">sendo inserida a gramatura </w:t>
      </w:r>
      <w:r w:rsidR="000E1836">
        <w:rPr>
          <w:rFonts w:ascii="Arial" w:hAnsi="Arial" w:cs="Arial"/>
          <w:sz w:val="24"/>
          <w:szCs w:val="24"/>
        </w:rPr>
        <w:t xml:space="preserve">atual </w:t>
      </w:r>
      <w:r w:rsidR="00CD5D77">
        <w:rPr>
          <w:rFonts w:ascii="Arial" w:hAnsi="Arial" w:cs="Arial"/>
          <w:sz w:val="24"/>
          <w:szCs w:val="24"/>
        </w:rPr>
        <w:t>correspondente à referência utilizada.</w:t>
      </w:r>
    </w:p>
    <w:p w14:paraId="76B206C0" w14:textId="77777777" w:rsidR="000E1836" w:rsidRPr="009D2531" w:rsidRDefault="000E1836" w:rsidP="000E1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Etapa</w:t>
      </w:r>
      <w:r w:rsidRPr="00DC7AF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</w:t>
      </w:r>
      <w:r w:rsidRPr="00DC7AF9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Exclusão</w:t>
      </w:r>
      <w:r w:rsidRPr="00DC7AF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 padronização das preparações</w:t>
      </w:r>
    </w:p>
    <w:p w14:paraId="26B9E27F" w14:textId="70F5A0D5" w:rsidR="000E1836" w:rsidRDefault="000E1836" w:rsidP="000E1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tipos de preparação disponíveis para alguns alimentos foram reduzidos de 16 na POF 2008-2009 para 10 opções na POF 2017-2018 (Quadro </w:t>
      </w:r>
      <w:r w:rsidR="00E2689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). Nesta atualização, 6 preparações foram excluídas, totalizando 10 modos de preparo. Nesta etapa, os códigos das preparações foram alterados para a nova configuração de 1 a 9 e 99 “para não se aplica”.</w:t>
      </w:r>
    </w:p>
    <w:p w14:paraId="4432E798" w14:textId="77777777" w:rsidR="000E1836" w:rsidRDefault="000E1836" w:rsidP="000E1836">
      <w:pPr>
        <w:jc w:val="both"/>
        <w:rPr>
          <w:rFonts w:ascii="Arial" w:hAnsi="Arial" w:cs="Arial"/>
          <w:sz w:val="24"/>
          <w:szCs w:val="24"/>
        </w:rPr>
      </w:pPr>
    </w:p>
    <w:p w14:paraId="6FEB9AAB" w14:textId="092994BB" w:rsidR="000E1836" w:rsidRDefault="000E1836" w:rsidP="000E183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Univers-Bold" w:hAnsi="Univers-Bold" w:cs="Univers-Bold"/>
          <w:b/>
          <w:bCs/>
          <w:sz w:val="18"/>
          <w:szCs w:val="18"/>
        </w:rPr>
        <w:t xml:space="preserve">Quadro </w:t>
      </w:r>
      <w:r w:rsidR="00E26899">
        <w:rPr>
          <w:rFonts w:ascii="Univers-Bold" w:hAnsi="Univers-Bold" w:cs="Univers-Bold"/>
          <w:b/>
          <w:bCs/>
          <w:sz w:val="18"/>
          <w:szCs w:val="18"/>
        </w:rPr>
        <w:t>2</w:t>
      </w:r>
      <w:r>
        <w:rPr>
          <w:rFonts w:ascii="Univers-Bold" w:hAnsi="Univers-Bold" w:cs="Univers-Bold"/>
          <w:b/>
          <w:bCs/>
          <w:sz w:val="18"/>
          <w:szCs w:val="18"/>
        </w:rPr>
        <w:t xml:space="preserve"> - Cadastro de preparações de alimentos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256"/>
        <w:gridCol w:w="284"/>
        <w:gridCol w:w="850"/>
        <w:gridCol w:w="3254"/>
      </w:tblGrid>
      <w:tr w:rsidR="000E1836" w:rsidRPr="0072161F" w14:paraId="7ADA1B32" w14:textId="77777777" w:rsidTr="00F41D81">
        <w:trPr>
          <w:jc w:val="center"/>
        </w:trPr>
        <w:tc>
          <w:tcPr>
            <w:tcW w:w="850" w:type="dxa"/>
          </w:tcPr>
          <w:p w14:paraId="3C9973E7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256" w:type="dxa"/>
          </w:tcPr>
          <w:p w14:paraId="66004067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Preparação</w:t>
            </w:r>
          </w:p>
        </w:tc>
        <w:tc>
          <w:tcPr>
            <w:tcW w:w="284" w:type="dxa"/>
            <w:vMerge w:val="restart"/>
          </w:tcPr>
          <w:p w14:paraId="32B3A74E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312626CA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254" w:type="dxa"/>
          </w:tcPr>
          <w:p w14:paraId="1FAAE9DA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Preparação</w:t>
            </w:r>
          </w:p>
        </w:tc>
      </w:tr>
      <w:tr w:rsidR="000E1836" w:rsidRPr="0072161F" w14:paraId="3DE8D48B" w14:textId="77777777" w:rsidTr="00F41D81">
        <w:trPr>
          <w:jc w:val="center"/>
        </w:trPr>
        <w:tc>
          <w:tcPr>
            <w:tcW w:w="850" w:type="dxa"/>
          </w:tcPr>
          <w:p w14:paraId="1C52468D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56" w:type="dxa"/>
          </w:tcPr>
          <w:p w14:paraId="1B694C97" w14:textId="5A346ADC" w:rsidR="000E1836" w:rsidRPr="0072161F" w:rsidRDefault="000E1836" w:rsidP="000E18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Assado(a)</w:t>
            </w:r>
          </w:p>
        </w:tc>
        <w:tc>
          <w:tcPr>
            <w:tcW w:w="284" w:type="dxa"/>
            <w:vMerge/>
          </w:tcPr>
          <w:p w14:paraId="31AC0DA1" w14:textId="77777777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3093ABFC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54" w:type="dxa"/>
          </w:tcPr>
          <w:p w14:paraId="2C39BBDD" w14:textId="308D3149" w:rsidR="000E1836" w:rsidRPr="0072161F" w:rsidRDefault="000E1836" w:rsidP="000E18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 xml:space="preserve">Ensopado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E1836" w:rsidRPr="0072161F" w14:paraId="4AE17411" w14:textId="77777777" w:rsidTr="00F41D81">
        <w:trPr>
          <w:jc w:val="center"/>
        </w:trPr>
        <w:tc>
          <w:tcPr>
            <w:tcW w:w="850" w:type="dxa"/>
          </w:tcPr>
          <w:p w14:paraId="282EA85F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56" w:type="dxa"/>
          </w:tcPr>
          <w:p w14:paraId="20FE101E" w14:textId="77777777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Cozido(a)</w:t>
            </w:r>
            <w:r>
              <w:rPr>
                <w:rFonts w:ascii="Arial" w:hAnsi="Arial" w:cs="Arial"/>
                <w:sz w:val="20"/>
                <w:szCs w:val="20"/>
              </w:rPr>
              <w:t xml:space="preserve"> com gordura</w:t>
            </w:r>
          </w:p>
        </w:tc>
        <w:tc>
          <w:tcPr>
            <w:tcW w:w="284" w:type="dxa"/>
            <w:vMerge/>
          </w:tcPr>
          <w:p w14:paraId="4DBD0CF0" w14:textId="77777777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A63C4F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54" w:type="dxa"/>
          </w:tcPr>
          <w:p w14:paraId="4C649CD5" w14:textId="33A897F6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Frito(a)</w:t>
            </w:r>
          </w:p>
        </w:tc>
      </w:tr>
      <w:tr w:rsidR="000E1836" w:rsidRPr="0072161F" w14:paraId="60B8E8DF" w14:textId="77777777" w:rsidTr="00F41D81">
        <w:trPr>
          <w:jc w:val="center"/>
        </w:trPr>
        <w:tc>
          <w:tcPr>
            <w:tcW w:w="850" w:type="dxa"/>
          </w:tcPr>
          <w:p w14:paraId="462E7E1A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56" w:type="dxa"/>
          </w:tcPr>
          <w:p w14:paraId="00A881B1" w14:textId="77777777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Cozido(a)</w:t>
            </w:r>
            <w:r>
              <w:rPr>
                <w:rFonts w:ascii="Arial" w:hAnsi="Arial" w:cs="Arial"/>
                <w:sz w:val="20"/>
                <w:szCs w:val="20"/>
              </w:rPr>
              <w:t xml:space="preserve"> sem gordura</w:t>
            </w:r>
          </w:p>
        </w:tc>
        <w:tc>
          <w:tcPr>
            <w:tcW w:w="284" w:type="dxa"/>
            <w:vMerge/>
          </w:tcPr>
          <w:p w14:paraId="5B841966" w14:textId="77777777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75CF3D70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54" w:type="dxa"/>
          </w:tcPr>
          <w:p w14:paraId="2A74DFC2" w14:textId="40804150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Grelhado(a)/Brasa/Churrasco</w:t>
            </w:r>
          </w:p>
        </w:tc>
      </w:tr>
      <w:tr w:rsidR="000E1836" w:rsidRPr="0072161F" w14:paraId="6870A9DF" w14:textId="77777777" w:rsidTr="00F41D81">
        <w:trPr>
          <w:jc w:val="center"/>
        </w:trPr>
        <w:tc>
          <w:tcPr>
            <w:tcW w:w="850" w:type="dxa"/>
          </w:tcPr>
          <w:p w14:paraId="30CA9339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56" w:type="dxa"/>
          </w:tcPr>
          <w:p w14:paraId="667EADDF" w14:textId="24F1A8C2" w:rsidR="000E1836" w:rsidRPr="0072161F" w:rsidRDefault="000E1836" w:rsidP="000E18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Cru(a)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vMerge/>
          </w:tcPr>
          <w:p w14:paraId="24E13EBF" w14:textId="77777777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7030ED17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254" w:type="dxa"/>
          </w:tcPr>
          <w:p w14:paraId="2004850B" w14:textId="13566E96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Refogado(a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E1836" w:rsidRPr="0072161F" w14:paraId="0D8FDCB3" w14:textId="77777777" w:rsidTr="00F41D81">
        <w:trPr>
          <w:jc w:val="center"/>
        </w:trPr>
        <w:tc>
          <w:tcPr>
            <w:tcW w:w="850" w:type="dxa"/>
          </w:tcPr>
          <w:p w14:paraId="4531B6AA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56" w:type="dxa"/>
          </w:tcPr>
          <w:p w14:paraId="1F396BC1" w14:textId="09BC9081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Empanado(a) / à milanesa</w:t>
            </w:r>
          </w:p>
        </w:tc>
        <w:tc>
          <w:tcPr>
            <w:tcW w:w="284" w:type="dxa"/>
            <w:vMerge/>
          </w:tcPr>
          <w:p w14:paraId="78E79657" w14:textId="77777777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7F6F87" w14:textId="77777777" w:rsidR="000E1836" w:rsidRPr="0072161F" w:rsidRDefault="000E1836" w:rsidP="00F41D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254" w:type="dxa"/>
          </w:tcPr>
          <w:p w14:paraId="1EE68BDA" w14:textId="77777777" w:rsidR="000E1836" w:rsidRPr="0072161F" w:rsidRDefault="000E1836" w:rsidP="00F41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F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</w:tbl>
    <w:p w14:paraId="0180F4C1" w14:textId="77777777" w:rsidR="000E1836" w:rsidRDefault="000E1836" w:rsidP="006843F2">
      <w:pPr>
        <w:jc w:val="both"/>
        <w:rPr>
          <w:rFonts w:ascii="Arial" w:hAnsi="Arial" w:cs="Arial"/>
          <w:b/>
          <w:sz w:val="24"/>
          <w:szCs w:val="24"/>
        </w:rPr>
      </w:pPr>
    </w:p>
    <w:p w14:paraId="32FC5D87" w14:textId="0B63D612" w:rsidR="004D3C6F" w:rsidRDefault="000E1836" w:rsidP="006843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Etapa 3 </w:t>
      </w:r>
      <w:r w:rsidR="00B522BC">
        <w:rPr>
          <w:rFonts w:ascii="Arial" w:hAnsi="Arial" w:cs="Arial"/>
          <w:b/>
          <w:sz w:val="24"/>
          <w:szCs w:val="24"/>
        </w:rPr>
        <w:t>–</w:t>
      </w:r>
      <w:r w:rsidR="004D3C6F" w:rsidRPr="00DC7AF9">
        <w:rPr>
          <w:rFonts w:ascii="Arial" w:hAnsi="Arial" w:cs="Arial"/>
          <w:b/>
          <w:sz w:val="24"/>
          <w:szCs w:val="24"/>
        </w:rPr>
        <w:t xml:space="preserve"> </w:t>
      </w:r>
      <w:r w:rsidR="00CD5D77">
        <w:rPr>
          <w:rFonts w:ascii="Arial" w:hAnsi="Arial" w:cs="Arial"/>
          <w:b/>
          <w:sz w:val="24"/>
          <w:szCs w:val="24"/>
        </w:rPr>
        <w:t>Exclusão</w:t>
      </w:r>
      <w:r w:rsidR="004D3C6F" w:rsidRPr="00DC7AF9">
        <w:rPr>
          <w:rFonts w:ascii="Arial" w:hAnsi="Arial" w:cs="Arial"/>
          <w:b/>
          <w:sz w:val="24"/>
          <w:szCs w:val="24"/>
        </w:rPr>
        <w:t xml:space="preserve"> </w:t>
      </w:r>
      <w:r w:rsidR="0053699D">
        <w:rPr>
          <w:rFonts w:ascii="Arial" w:hAnsi="Arial" w:cs="Arial"/>
          <w:b/>
          <w:sz w:val="24"/>
          <w:szCs w:val="24"/>
        </w:rPr>
        <w:t>e padronização das unidades de medida</w:t>
      </w:r>
    </w:p>
    <w:p w14:paraId="2C17A6E3" w14:textId="25E01E88" w:rsidR="007C1D08" w:rsidRDefault="0053699D" w:rsidP="005369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699D">
        <w:rPr>
          <w:rFonts w:ascii="Arial" w:hAnsi="Arial" w:cs="Arial"/>
          <w:sz w:val="24"/>
          <w:szCs w:val="20"/>
        </w:rPr>
        <w:t xml:space="preserve">Para o registro da </w:t>
      </w:r>
      <w:r w:rsidR="000E1836">
        <w:rPr>
          <w:rFonts w:ascii="Arial" w:hAnsi="Arial" w:cs="Arial"/>
          <w:sz w:val="24"/>
          <w:szCs w:val="20"/>
        </w:rPr>
        <w:t>unidade de medida do alimento consumido</w:t>
      </w:r>
      <w:r w:rsidRPr="0053699D">
        <w:rPr>
          <w:rFonts w:ascii="Arial" w:hAnsi="Arial" w:cs="Arial"/>
          <w:sz w:val="24"/>
          <w:szCs w:val="20"/>
        </w:rPr>
        <w:t xml:space="preserve">, </w:t>
      </w:r>
      <w:r w:rsidR="000E1836">
        <w:rPr>
          <w:rFonts w:ascii="Arial" w:hAnsi="Arial" w:cs="Arial"/>
          <w:sz w:val="24"/>
          <w:szCs w:val="24"/>
        </w:rPr>
        <w:t xml:space="preserve">a quantidade de opções de medidas por alimento foi reduzida de 106 na POF 2008-2009 para </w:t>
      </w:r>
      <w:r w:rsidR="00D61763">
        <w:rPr>
          <w:rFonts w:ascii="Arial" w:hAnsi="Arial" w:cs="Arial"/>
          <w:sz w:val="24"/>
          <w:szCs w:val="24"/>
        </w:rPr>
        <w:t xml:space="preserve">64 unidades </w:t>
      </w:r>
      <w:r w:rsidR="000E1836">
        <w:rPr>
          <w:rFonts w:ascii="Arial" w:hAnsi="Arial" w:cs="Arial"/>
          <w:sz w:val="24"/>
          <w:szCs w:val="24"/>
        </w:rPr>
        <w:t xml:space="preserve">na POF 2017-2018 </w:t>
      </w:r>
      <w:r w:rsidR="00D61763">
        <w:rPr>
          <w:rFonts w:ascii="Arial" w:hAnsi="Arial" w:cs="Arial"/>
          <w:sz w:val="24"/>
          <w:szCs w:val="24"/>
        </w:rPr>
        <w:t xml:space="preserve">(Quadro </w:t>
      </w:r>
      <w:r w:rsidR="00E26899">
        <w:rPr>
          <w:rFonts w:ascii="Arial" w:hAnsi="Arial" w:cs="Arial"/>
          <w:sz w:val="24"/>
          <w:szCs w:val="24"/>
        </w:rPr>
        <w:t>3</w:t>
      </w:r>
      <w:r w:rsidR="00D61763">
        <w:rPr>
          <w:rFonts w:ascii="Arial" w:hAnsi="Arial" w:cs="Arial"/>
          <w:sz w:val="24"/>
          <w:szCs w:val="24"/>
        </w:rPr>
        <w:t>)</w:t>
      </w:r>
      <w:r w:rsidR="00CD5D77">
        <w:rPr>
          <w:rFonts w:ascii="Arial" w:hAnsi="Arial" w:cs="Arial"/>
          <w:sz w:val="24"/>
          <w:szCs w:val="24"/>
        </w:rPr>
        <w:t xml:space="preserve">. </w:t>
      </w:r>
      <w:r w:rsidR="000E1836">
        <w:rPr>
          <w:rFonts w:ascii="Arial" w:hAnsi="Arial" w:cs="Arial"/>
          <w:sz w:val="24"/>
          <w:szCs w:val="24"/>
        </w:rPr>
        <w:t xml:space="preserve">Assim, </w:t>
      </w:r>
      <w:r w:rsidR="00541C06">
        <w:rPr>
          <w:rFonts w:ascii="Arial" w:hAnsi="Arial" w:cs="Arial"/>
          <w:sz w:val="24"/>
          <w:szCs w:val="24"/>
        </w:rPr>
        <w:t xml:space="preserve">inicialmente </w:t>
      </w:r>
      <w:r w:rsidR="00975446">
        <w:rPr>
          <w:rFonts w:ascii="Arial" w:hAnsi="Arial" w:cs="Arial"/>
          <w:sz w:val="24"/>
          <w:szCs w:val="24"/>
        </w:rPr>
        <w:t>foram excluídas</w:t>
      </w:r>
      <w:r w:rsidR="00541C06">
        <w:rPr>
          <w:rFonts w:ascii="Arial" w:hAnsi="Arial" w:cs="Arial"/>
          <w:sz w:val="24"/>
          <w:szCs w:val="24"/>
        </w:rPr>
        <w:t xml:space="preserve"> </w:t>
      </w:r>
      <w:r w:rsidR="000E1836">
        <w:rPr>
          <w:rFonts w:ascii="Arial" w:hAnsi="Arial" w:cs="Arial"/>
          <w:sz w:val="24"/>
          <w:szCs w:val="24"/>
        </w:rPr>
        <w:t xml:space="preserve">as </w:t>
      </w:r>
      <w:r w:rsidR="00A34ECE">
        <w:rPr>
          <w:rFonts w:ascii="Arial" w:hAnsi="Arial" w:cs="Arial"/>
          <w:sz w:val="24"/>
          <w:szCs w:val="24"/>
        </w:rPr>
        <w:t>42</w:t>
      </w:r>
      <w:r w:rsidR="00CD5D77">
        <w:rPr>
          <w:rFonts w:ascii="Arial" w:hAnsi="Arial" w:cs="Arial"/>
          <w:sz w:val="24"/>
          <w:szCs w:val="24"/>
        </w:rPr>
        <w:t xml:space="preserve"> medidas não contempladas n</w:t>
      </w:r>
      <w:r w:rsidR="000E1836">
        <w:rPr>
          <w:rFonts w:ascii="Arial" w:hAnsi="Arial" w:cs="Arial"/>
          <w:sz w:val="24"/>
          <w:szCs w:val="24"/>
        </w:rPr>
        <w:t xml:space="preserve">o inquérito atual, </w:t>
      </w:r>
      <w:r w:rsidR="00975446">
        <w:rPr>
          <w:rFonts w:ascii="Arial" w:hAnsi="Arial" w:cs="Arial"/>
          <w:sz w:val="24"/>
          <w:szCs w:val="24"/>
        </w:rPr>
        <w:t>restando</w:t>
      </w:r>
      <w:r w:rsidR="00290742">
        <w:rPr>
          <w:rFonts w:ascii="Arial" w:hAnsi="Arial" w:cs="Arial"/>
          <w:sz w:val="24"/>
          <w:szCs w:val="24"/>
        </w:rPr>
        <w:t xml:space="preserve"> 56 </w:t>
      </w:r>
      <w:r w:rsidR="000E1836">
        <w:rPr>
          <w:rFonts w:ascii="Arial" w:hAnsi="Arial" w:cs="Arial"/>
          <w:sz w:val="24"/>
          <w:szCs w:val="24"/>
        </w:rPr>
        <w:t xml:space="preserve">opções de </w:t>
      </w:r>
      <w:r w:rsidR="00290742">
        <w:rPr>
          <w:rFonts w:ascii="Arial" w:hAnsi="Arial" w:cs="Arial"/>
          <w:sz w:val="24"/>
          <w:szCs w:val="24"/>
        </w:rPr>
        <w:t>medidas</w:t>
      </w:r>
      <w:r w:rsidR="00CD5D77">
        <w:rPr>
          <w:rFonts w:ascii="Arial" w:hAnsi="Arial" w:cs="Arial"/>
          <w:sz w:val="24"/>
          <w:szCs w:val="24"/>
        </w:rPr>
        <w:t xml:space="preserve"> e, em s</w:t>
      </w:r>
      <w:r w:rsidR="00A34ECE">
        <w:rPr>
          <w:rFonts w:ascii="Arial" w:hAnsi="Arial" w:cs="Arial"/>
          <w:sz w:val="24"/>
          <w:szCs w:val="24"/>
        </w:rPr>
        <w:t xml:space="preserve">eguida, </w:t>
      </w:r>
      <w:r w:rsidR="000E1836">
        <w:rPr>
          <w:rFonts w:ascii="Arial" w:hAnsi="Arial" w:cs="Arial"/>
          <w:sz w:val="24"/>
          <w:szCs w:val="24"/>
        </w:rPr>
        <w:t>oito</w:t>
      </w:r>
      <w:r w:rsidR="00290742">
        <w:rPr>
          <w:rFonts w:ascii="Arial" w:hAnsi="Arial" w:cs="Arial"/>
          <w:sz w:val="24"/>
          <w:szCs w:val="24"/>
        </w:rPr>
        <w:t xml:space="preserve"> </w:t>
      </w:r>
      <w:r w:rsidR="000E1836">
        <w:rPr>
          <w:rFonts w:ascii="Arial" w:hAnsi="Arial" w:cs="Arial"/>
          <w:sz w:val="24"/>
          <w:szCs w:val="24"/>
        </w:rPr>
        <w:t>novas opções foram inserida</w:t>
      </w:r>
      <w:r w:rsidR="00A34ECE">
        <w:rPr>
          <w:rFonts w:ascii="Arial" w:hAnsi="Arial" w:cs="Arial"/>
          <w:sz w:val="24"/>
          <w:szCs w:val="24"/>
        </w:rPr>
        <w:t>s</w:t>
      </w:r>
      <w:r w:rsidR="007C1D08">
        <w:rPr>
          <w:rFonts w:ascii="Arial" w:hAnsi="Arial" w:cs="Arial"/>
          <w:sz w:val="24"/>
          <w:szCs w:val="24"/>
        </w:rPr>
        <w:t xml:space="preserve">, </w:t>
      </w:r>
      <w:r w:rsidR="000E1836">
        <w:rPr>
          <w:rFonts w:ascii="Arial" w:hAnsi="Arial" w:cs="Arial"/>
          <w:sz w:val="24"/>
          <w:szCs w:val="24"/>
        </w:rPr>
        <w:t xml:space="preserve">resultando nas </w:t>
      </w:r>
      <w:r w:rsidR="007C1D08">
        <w:rPr>
          <w:rFonts w:ascii="Arial" w:hAnsi="Arial" w:cs="Arial"/>
          <w:sz w:val="24"/>
          <w:szCs w:val="24"/>
        </w:rPr>
        <w:t xml:space="preserve">64 </w:t>
      </w:r>
      <w:r w:rsidR="000E1836">
        <w:rPr>
          <w:rFonts w:ascii="Arial" w:hAnsi="Arial" w:cs="Arial"/>
          <w:sz w:val="24"/>
          <w:szCs w:val="24"/>
        </w:rPr>
        <w:t xml:space="preserve">opções de </w:t>
      </w:r>
      <w:r w:rsidR="007C1D08">
        <w:rPr>
          <w:rFonts w:ascii="Arial" w:hAnsi="Arial" w:cs="Arial"/>
          <w:sz w:val="24"/>
          <w:szCs w:val="24"/>
        </w:rPr>
        <w:t>unidades de medidas</w:t>
      </w:r>
      <w:r w:rsidR="00541C06">
        <w:rPr>
          <w:rFonts w:ascii="Arial" w:hAnsi="Arial" w:cs="Arial"/>
          <w:sz w:val="24"/>
          <w:szCs w:val="24"/>
        </w:rPr>
        <w:t>.</w:t>
      </w:r>
      <w:r w:rsidR="007C1D08">
        <w:rPr>
          <w:rFonts w:ascii="Arial" w:hAnsi="Arial" w:cs="Arial"/>
          <w:sz w:val="24"/>
          <w:szCs w:val="24"/>
        </w:rPr>
        <w:t xml:space="preserve"> </w:t>
      </w:r>
      <w:r w:rsidR="00541C06">
        <w:rPr>
          <w:rFonts w:ascii="Arial" w:hAnsi="Arial" w:cs="Arial"/>
          <w:sz w:val="24"/>
          <w:szCs w:val="24"/>
        </w:rPr>
        <w:t>A</w:t>
      </w:r>
      <w:r w:rsidR="004A0963">
        <w:rPr>
          <w:rFonts w:ascii="Arial" w:hAnsi="Arial" w:cs="Arial"/>
          <w:sz w:val="24"/>
          <w:szCs w:val="24"/>
        </w:rPr>
        <w:t>s</w:t>
      </w:r>
      <w:r w:rsidR="007C1D08">
        <w:rPr>
          <w:rFonts w:ascii="Arial" w:hAnsi="Arial" w:cs="Arial"/>
          <w:sz w:val="24"/>
          <w:szCs w:val="24"/>
        </w:rPr>
        <w:t xml:space="preserve"> medida</w:t>
      </w:r>
      <w:r w:rsidR="004A0963">
        <w:rPr>
          <w:rFonts w:ascii="Arial" w:hAnsi="Arial" w:cs="Arial"/>
          <w:sz w:val="24"/>
          <w:szCs w:val="24"/>
        </w:rPr>
        <w:t>s</w:t>
      </w:r>
      <w:r w:rsidR="007C1D08">
        <w:rPr>
          <w:rFonts w:ascii="Arial" w:hAnsi="Arial" w:cs="Arial"/>
          <w:sz w:val="24"/>
          <w:szCs w:val="24"/>
        </w:rPr>
        <w:t xml:space="preserve"> “29 – Espetinho” e “30 – Espeto” foram condensadas em um só código “24 – Espetinho/ espeto”. </w:t>
      </w:r>
      <w:r w:rsidR="00541C06">
        <w:rPr>
          <w:rFonts w:ascii="Arial" w:hAnsi="Arial" w:cs="Arial"/>
          <w:sz w:val="24"/>
          <w:szCs w:val="24"/>
        </w:rPr>
        <w:t>A</w:t>
      </w:r>
      <w:r w:rsidR="000E1836">
        <w:rPr>
          <w:rFonts w:ascii="Arial" w:hAnsi="Arial" w:cs="Arial"/>
          <w:sz w:val="24"/>
          <w:szCs w:val="24"/>
        </w:rPr>
        <w:t xml:space="preserve"> codificação das medidas existentes com os novos códigos</w:t>
      </w:r>
      <w:r w:rsidR="00541C06">
        <w:rPr>
          <w:rFonts w:ascii="Arial" w:hAnsi="Arial" w:cs="Arial"/>
          <w:sz w:val="24"/>
          <w:szCs w:val="24"/>
        </w:rPr>
        <w:t xml:space="preserve"> encontra-se no quadro 3</w:t>
      </w:r>
      <w:r w:rsidR="000E1836">
        <w:rPr>
          <w:rFonts w:ascii="Arial" w:hAnsi="Arial" w:cs="Arial"/>
          <w:sz w:val="24"/>
          <w:szCs w:val="24"/>
        </w:rPr>
        <w:t xml:space="preserve">. </w:t>
      </w:r>
      <w:r w:rsidR="007C1D08">
        <w:rPr>
          <w:rFonts w:ascii="Arial" w:hAnsi="Arial" w:cs="Arial"/>
          <w:sz w:val="24"/>
          <w:szCs w:val="24"/>
        </w:rPr>
        <w:t xml:space="preserve"> </w:t>
      </w:r>
    </w:p>
    <w:p w14:paraId="005330C1" w14:textId="77777777" w:rsidR="007C1D08" w:rsidRDefault="007C1D08" w:rsidP="005369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CB7814" w14:textId="140A3DEF" w:rsidR="00025671" w:rsidRDefault="00A34ECE" w:rsidP="00025671">
      <w:pPr>
        <w:jc w:val="center"/>
        <w:rPr>
          <w:rFonts w:ascii="Univers-Bold" w:hAnsi="Univers-Bold" w:cs="Univers-Bold"/>
          <w:b/>
          <w:bCs/>
          <w:sz w:val="18"/>
          <w:szCs w:val="18"/>
        </w:rPr>
      </w:pPr>
      <w:r>
        <w:rPr>
          <w:rFonts w:ascii="Univers-Bold" w:hAnsi="Univers-Bold" w:cs="Univers-Bold"/>
          <w:b/>
          <w:bCs/>
          <w:sz w:val="18"/>
          <w:szCs w:val="18"/>
        </w:rPr>
        <w:t>Qu</w:t>
      </w:r>
      <w:r w:rsidR="00D61763">
        <w:rPr>
          <w:rFonts w:ascii="Univers-Bold" w:hAnsi="Univers-Bold" w:cs="Univers-Bold"/>
          <w:b/>
          <w:bCs/>
          <w:sz w:val="18"/>
          <w:szCs w:val="18"/>
        </w:rPr>
        <w:t xml:space="preserve">adro </w:t>
      </w:r>
      <w:r w:rsidR="00E26899">
        <w:rPr>
          <w:rFonts w:ascii="Univers-Bold" w:hAnsi="Univers-Bold" w:cs="Univers-Bold"/>
          <w:b/>
          <w:bCs/>
          <w:sz w:val="18"/>
          <w:szCs w:val="18"/>
        </w:rPr>
        <w:t>3</w:t>
      </w:r>
      <w:r w:rsidR="00025671">
        <w:rPr>
          <w:rFonts w:ascii="Univers-Bold" w:hAnsi="Univers-Bold" w:cs="Univers-Bold"/>
          <w:b/>
          <w:bCs/>
          <w:sz w:val="18"/>
          <w:szCs w:val="18"/>
        </w:rPr>
        <w:t xml:space="preserve"> - Cadastro de unidades de medida </w:t>
      </w:r>
    </w:p>
    <w:tbl>
      <w:tblPr>
        <w:tblStyle w:val="Tabelacomgrade"/>
        <w:tblW w:w="8359" w:type="dxa"/>
        <w:jc w:val="center"/>
        <w:tblLook w:val="04A0" w:firstRow="1" w:lastRow="0" w:firstColumn="1" w:lastColumn="0" w:noHBand="0" w:noVBand="1"/>
      </w:tblPr>
      <w:tblGrid>
        <w:gridCol w:w="850"/>
        <w:gridCol w:w="3495"/>
        <w:gridCol w:w="239"/>
        <w:gridCol w:w="850"/>
        <w:gridCol w:w="2925"/>
      </w:tblGrid>
      <w:tr w:rsidR="001307D4" w:rsidRPr="001307D4" w14:paraId="1CDFDC8F" w14:textId="77777777" w:rsidTr="009D76CF">
        <w:trPr>
          <w:trHeight w:val="255"/>
          <w:jc w:val="center"/>
        </w:trPr>
        <w:tc>
          <w:tcPr>
            <w:tcW w:w="850" w:type="dxa"/>
            <w:noWrap/>
          </w:tcPr>
          <w:p w14:paraId="3EB2D912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495" w:type="dxa"/>
            <w:noWrap/>
          </w:tcPr>
          <w:p w14:paraId="6E3E4EA5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Medidas</w:t>
            </w:r>
          </w:p>
        </w:tc>
        <w:tc>
          <w:tcPr>
            <w:tcW w:w="239" w:type="dxa"/>
            <w:vMerge w:val="restart"/>
          </w:tcPr>
          <w:p w14:paraId="675C03B4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500702A8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925" w:type="dxa"/>
          </w:tcPr>
          <w:p w14:paraId="37FDC0F2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Medidas</w:t>
            </w:r>
          </w:p>
        </w:tc>
      </w:tr>
      <w:tr w:rsidR="001307D4" w:rsidRPr="001307D4" w14:paraId="31D57DA0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531D08DA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95" w:type="dxa"/>
            <w:noWrap/>
            <w:hideMark/>
          </w:tcPr>
          <w:p w14:paraId="1BE98829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Bife</w:t>
            </w:r>
          </w:p>
        </w:tc>
        <w:tc>
          <w:tcPr>
            <w:tcW w:w="239" w:type="dxa"/>
            <w:vMerge/>
          </w:tcPr>
          <w:p w14:paraId="69195520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0BE38A5D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2925" w:type="dxa"/>
          </w:tcPr>
          <w:p w14:paraId="333FCE2E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Garrafa de 350 ml</w:t>
            </w:r>
          </w:p>
        </w:tc>
      </w:tr>
      <w:tr w:rsidR="001307D4" w:rsidRPr="001307D4" w14:paraId="59613E88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66411E77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95" w:type="dxa"/>
            <w:noWrap/>
            <w:hideMark/>
          </w:tcPr>
          <w:p w14:paraId="6B3AB609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239" w:type="dxa"/>
            <w:vMerge/>
          </w:tcPr>
          <w:p w14:paraId="46666C4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6255E20C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2925" w:type="dxa"/>
          </w:tcPr>
          <w:p w14:paraId="13CDCDEA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Garrafa de 500 ml</w:t>
            </w:r>
          </w:p>
        </w:tc>
      </w:tr>
      <w:tr w:rsidR="001307D4" w:rsidRPr="001307D4" w14:paraId="234647F4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02A8CDEA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95" w:type="dxa"/>
            <w:noWrap/>
            <w:hideMark/>
          </w:tcPr>
          <w:p w14:paraId="20F029B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Bola</w:t>
            </w:r>
          </w:p>
        </w:tc>
        <w:tc>
          <w:tcPr>
            <w:tcW w:w="239" w:type="dxa"/>
            <w:vMerge/>
          </w:tcPr>
          <w:p w14:paraId="387CB1DD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22C0431A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925" w:type="dxa"/>
          </w:tcPr>
          <w:p w14:paraId="44DB11CA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Garrafa de 600 ml</w:t>
            </w:r>
          </w:p>
        </w:tc>
      </w:tr>
      <w:tr w:rsidR="001307D4" w:rsidRPr="001307D4" w14:paraId="599D0102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5A431FC0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95" w:type="dxa"/>
            <w:noWrap/>
            <w:hideMark/>
          </w:tcPr>
          <w:p w14:paraId="5C25E6DC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Cacho</w:t>
            </w:r>
          </w:p>
        </w:tc>
        <w:tc>
          <w:tcPr>
            <w:tcW w:w="239" w:type="dxa"/>
            <w:vMerge/>
          </w:tcPr>
          <w:p w14:paraId="35166528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37338433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2925" w:type="dxa"/>
          </w:tcPr>
          <w:p w14:paraId="4E637C1B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Gotas</w:t>
            </w:r>
          </w:p>
        </w:tc>
      </w:tr>
      <w:tr w:rsidR="001307D4" w:rsidRPr="001307D4" w14:paraId="59F20186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773C8476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495" w:type="dxa"/>
            <w:noWrap/>
            <w:hideMark/>
          </w:tcPr>
          <w:p w14:paraId="67B2A1CB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Caixinha de 200 ml</w:t>
            </w:r>
          </w:p>
        </w:tc>
        <w:tc>
          <w:tcPr>
            <w:tcW w:w="239" w:type="dxa"/>
            <w:vMerge/>
          </w:tcPr>
          <w:p w14:paraId="4AF5DD8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5541979B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2925" w:type="dxa"/>
          </w:tcPr>
          <w:p w14:paraId="5061FB49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Lata de 250 ml</w:t>
            </w:r>
          </w:p>
        </w:tc>
      </w:tr>
      <w:tr w:rsidR="001307D4" w:rsidRPr="001307D4" w14:paraId="53B0F311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34316200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3495" w:type="dxa"/>
            <w:noWrap/>
            <w:hideMark/>
          </w:tcPr>
          <w:p w14:paraId="65895830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Caneca</w:t>
            </w:r>
          </w:p>
        </w:tc>
        <w:tc>
          <w:tcPr>
            <w:tcW w:w="239" w:type="dxa"/>
            <w:vMerge/>
          </w:tcPr>
          <w:p w14:paraId="6109207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36309A07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2925" w:type="dxa"/>
          </w:tcPr>
          <w:p w14:paraId="0191DBFC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Lata de 269 ml</w:t>
            </w:r>
          </w:p>
        </w:tc>
      </w:tr>
      <w:tr w:rsidR="001307D4" w:rsidRPr="001307D4" w14:paraId="68BE4F35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4669A692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3495" w:type="dxa"/>
            <w:noWrap/>
            <w:hideMark/>
          </w:tcPr>
          <w:p w14:paraId="5E281AB6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Colher de arroz/servir</w:t>
            </w:r>
          </w:p>
        </w:tc>
        <w:tc>
          <w:tcPr>
            <w:tcW w:w="239" w:type="dxa"/>
            <w:vMerge/>
          </w:tcPr>
          <w:p w14:paraId="439592A1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5C271483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2925" w:type="dxa"/>
          </w:tcPr>
          <w:p w14:paraId="624AC040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Lata de 310 ml</w:t>
            </w:r>
          </w:p>
        </w:tc>
      </w:tr>
      <w:tr w:rsidR="001307D4" w:rsidRPr="001307D4" w14:paraId="09D14196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67F19D09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3495" w:type="dxa"/>
            <w:noWrap/>
            <w:hideMark/>
          </w:tcPr>
          <w:p w14:paraId="3B225AFB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Colher de café</w:t>
            </w:r>
          </w:p>
        </w:tc>
        <w:tc>
          <w:tcPr>
            <w:tcW w:w="239" w:type="dxa"/>
            <w:vMerge/>
          </w:tcPr>
          <w:p w14:paraId="30091A90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684CD5C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925" w:type="dxa"/>
          </w:tcPr>
          <w:p w14:paraId="66B35BA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Lata de 350 ml</w:t>
            </w:r>
          </w:p>
        </w:tc>
      </w:tr>
      <w:tr w:rsidR="001307D4" w:rsidRPr="001307D4" w14:paraId="67FFC4DA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3BCDD861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3495" w:type="dxa"/>
            <w:noWrap/>
            <w:hideMark/>
          </w:tcPr>
          <w:p w14:paraId="62F2E69D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Colher de chá</w:t>
            </w:r>
          </w:p>
        </w:tc>
        <w:tc>
          <w:tcPr>
            <w:tcW w:w="239" w:type="dxa"/>
            <w:vMerge/>
          </w:tcPr>
          <w:p w14:paraId="1B860C06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008806BE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2925" w:type="dxa"/>
          </w:tcPr>
          <w:p w14:paraId="7D776237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Lata de 473 ml</w:t>
            </w:r>
          </w:p>
        </w:tc>
      </w:tr>
      <w:tr w:rsidR="001307D4" w:rsidRPr="001307D4" w14:paraId="31279960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5A2FC1BA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495" w:type="dxa"/>
            <w:noWrap/>
            <w:hideMark/>
          </w:tcPr>
          <w:p w14:paraId="7527D0F0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Colher de sobremesa</w:t>
            </w:r>
          </w:p>
        </w:tc>
        <w:tc>
          <w:tcPr>
            <w:tcW w:w="239" w:type="dxa"/>
            <w:vMerge/>
          </w:tcPr>
          <w:p w14:paraId="13877543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4EAA385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2925" w:type="dxa"/>
          </w:tcPr>
          <w:p w14:paraId="734174B8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Lata de 500 ml</w:t>
            </w:r>
          </w:p>
        </w:tc>
      </w:tr>
      <w:tr w:rsidR="001307D4" w:rsidRPr="001307D4" w14:paraId="393D180D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5733CC51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495" w:type="dxa"/>
            <w:noWrap/>
            <w:hideMark/>
          </w:tcPr>
          <w:p w14:paraId="79323476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Colher de sopa</w:t>
            </w:r>
          </w:p>
        </w:tc>
        <w:tc>
          <w:tcPr>
            <w:tcW w:w="239" w:type="dxa"/>
            <w:vMerge/>
          </w:tcPr>
          <w:p w14:paraId="1613886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0665BDA7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2925" w:type="dxa"/>
          </w:tcPr>
          <w:p w14:paraId="08297368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Metade</w:t>
            </w:r>
          </w:p>
        </w:tc>
      </w:tr>
      <w:tr w:rsidR="001307D4" w:rsidRPr="001307D4" w14:paraId="6E039F08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77D07832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495" w:type="dxa"/>
            <w:noWrap/>
            <w:hideMark/>
          </w:tcPr>
          <w:p w14:paraId="13A00F53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Concha</w:t>
            </w:r>
          </w:p>
        </w:tc>
        <w:tc>
          <w:tcPr>
            <w:tcW w:w="239" w:type="dxa"/>
            <w:vMerge/>
          </w:tcPr>
          <w:p w14:paraId="7E78B20C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775380D3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2925" w:type="dxa"/>
          </w:tcPr>
          <w:p w14:paraId="5982124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Pacote</w:t>
            </w:r>
          </w:p>
        </w:tc>
      </w:tr>
      <w:tr w:rsidR="001307D4" w:rsidRPr="001307D4" w14:paraId="1FAF3E2F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1BF8D811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495" w:type="dxa"/>
            <w:noWrap/>
            <w:hideMark/>
          </w:tcPr>
          <w:p w14:paraId="3485B5DB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Copo americano</w:t>
            </w:r>
          </w:p>
        </w:tc>
        <w:tc>
          <w:tcPr>
            <w:tcW w:w="239" w:type="dxa"/>
            <w:vMerge/>
          </w:tcPr>
          <w:p w14:paraId="089E5673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3D671C9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2925" w:type="dxa"/>
          </w:tcPr>
          <w:p w14:paraId="37C1C4F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Pacote pequeno</w:t>
            </w:r>
          </w:p>
        </w:tc>
      </w:tr>
      <w:tr w:rsidR="001307D4" w:rsidRPr="001307D4" w14:paraId="1429AB0F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20F158DC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495" w:type="dxa"/>
            <w:noWrap/>
            <w:hideMark/>
          </w:tcPr>
          <w:p w14:paraId="65EAA3D8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Copo de cafezinho</w:t>
            </w:r>
          </w:p>
        </w:tc>
        <w:tc>
          <w:tcPr>
            <w:tcW w:w="239" w:type="dxa"/>
            <w:vMerge/>
          </w:tcPr>
          <w:p w14:paraId="759C90F3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1271A14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2925" w:type="dxa"/>
          </w:tcPr>
          <w:p w14:paraId="2C45FDE3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Pedaço</w:t>
            </w:r>
          </w:p>
        </w:tc>
      </w:tr>
      <w:tr w:rsidR="001307D4" w:rsidRPr="001307D4" w14:paraId="07D3A461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1D941DC4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495" w:type="dxa"/>
            <w:noWrap/>
            <w:hideMark/>
          </w:tcPr>
          <w:p w14:paraId="5646AE56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Copo de requeijão</w:t>
            </w:r>
          </w:p>
        </w:tc>
        <w:tc>
          <w:tcPr>
            <w:tcW w:w="239" w:type="dxa"/>
            <w:vMerge/>
          </w:tcPr>
          <w:p w14:paraId="709AF3AE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03833D45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2925" w:type="dxa"/>
          </w:tcPr>
          <w:p w14:paraId="5CD238A3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Pegador</w:t>
            </w:r>
          </w:p>
        </w:tc>
      </w:tr>
      <w:tr w:rsidR="001307D4" w:rsidRPr="001307D4" w14:paraId="4DC5FB52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5D55C493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495" w:type="dxa"/>
            <w:noWrap/>
            <w:hideMark/>
          </w:tcPr>
          <w:p w14:paraId="3E63231B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Copo de 200 ml</w:t>
            </w:r>
          </w:p>
        </w:tc>
        <w:tc>
          <w:tcPr>
            <w:tcW w:w="239" w:type="dxa"/>
            <w:vMerge/>
          </w:tcPr>
          <w:p w14:paraId="7C46854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38738654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2925" w:type="dxa"/>
          </w:tcPr>
          <w:p w14:paraId="42F50B79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Pires</w:t>
            </w:r>
          </w:p>
        </w:tc>
      </w:tr>
      <w:tr w:rsidR="001307D4" w:rsidRPr="001307D4" w14:paraId="597B873F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3F4754E0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495" w:type="dxa"/>
            <w:noWrap/>
            <w:hideMark/>
          </w:tcPr>
          <w:p w14:paraId="2E8FF848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Copo de 300ml</w:t>
            </w:r>
          </w:p>
        </w:tc>
        <w:tc>
          <w:tcPr>
            <w:tcW w:w="239" w:type="dxa"/>
            <w:vMerge/>
          </w:tcPr>
          <w:p w14:paraId="6434B301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54C406D4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2925" w:type="dxa"/>
          </w:tcPr>
          <w:p w14:paraId="7F46C835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Ponta de faca</w:t>
            </w:r>
          </w:p>
        </w:tc>
      </w:tr>
      <w:tr w:rsidR="001307D4" w:rsidRPr="001307D4" w14:paraId="6B8C9961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73006E99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495" w:type="dxa"/>
            <w:noWrap/>
            <w:hideMark/>
          </w:tcPr>
          <w:p w14:paraId="729FE74E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Copo grande</w:t>
            </w:r>
          </w:p>
        </w:tc>
        <w:tc>
          <w:tcPr>
            <w:tcW w:w="239" w:type="dxa"/>
            <w:vMerge/>
          </w:tcPr>
          <w:p w14:paraId="7B7981C2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7F73FB5D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925" w:type="dxa"/>
          </w:tcPr>
          <w:p w14:paraId="1F7F23C9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Porção</w:t>
            </w:r>
          </w:p>
        </w:tc>
      </w:tr>
      <w:tr w:rsidR="001307D4" w:rsidRPr="001307D4" w14:paraId="563C48E9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0BE50365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495" w:type="dxa"/>
            <w:noWrap/>
            <w:hideMark/>
          </w:tcPr>
          <w:p w14:paraId="6BBFF58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Copo médio</w:t>
            </w:r>
          </w:p>
        </w:tc>
        <w:tc>
          <w:tcPr>
            <w:tcW w:w="239" w:type="dxa"/>
            <w:vMerge/>
          </w:tcPr>
          <w:p w14:paraId="3E3C4DC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2A81D68B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2925" w:type="dxa"/>
          </w:tcPr>
          <w:p w14:paraId="52104BE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Punhado</w:t>
            </w:r>
          </w:p>
        </w:tc>
      </w:tr>
      <w:tr w:rsidR="001307D4" w:rsidRPr="001307D4" w14:paraId="22341EC2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61C5FFBD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495" w:type="dxa"/>
            <w:noWrap/>
            <w:hideMark/>
          </w:tcPr>
          <w:p w14:paraId="03F0E17C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Copo tulipa</w:t>
            </w:r>
          </w:p>
        </w:tc>
        <w:tc>
          <w:tcPr>
            <w:tcW w:w="239" w:type="dxa"/>
            <w:vMerge/>
          </w:tcPr>
          <w:p w14:paraId="4B071422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699C3E21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2925" w:type="dxa"/>
          </w:tcPr>
          <w:p w14:paraId="2A0879C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Prato de sobremesa</w:t>
            </w:r>
          </w:p>
        </w:tc>
      </w:tr>
      <w:tr w:rsidR="001307D4" w:rsidRPr="001307D4" w14:paraId="038257D1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448CC80D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495" w:type="dxa"/>
            <w:noWrap/>
            <w:hideMark/>
          </w:tcPr>
          <w:p w14:paraId="67E370D0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Cumbuca</w:t>
            </w:r>
          </w:p>
        </w:tc>
        <w:tc>
          <w:tcPr>
            <w:tcW w:w="239" w:type="dxa"/>
            <w:vMerge/>
          </w:tcPr>
          <w:p w14:paraId="1B6BD07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1228B368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2925" w:type="dxa"/>
          </w:tcPr>
          <w:p w14:paraId="3E775846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Prato fundo</w:t>
            </w:r>
          </w:p>
        </w:tc>
      </w:tr>
      <w:tr w:rsidR="001307D4" w:rsidRPr="001307D4" w14:paraId="5E0B6797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3A6F8CF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495" w:type="dxa"/>
            <w:noWrap/>
            <w:hideMark/>
          </w:tcPr>
          <w:p w14:paraId="6480E295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Dose</w:t>
            </w:r>
          </w:p>
        </w:tc>
        <w:tc>
          <w:tcPr>
            <w:tcW w:w="239" w:type="dxa"/>
            <w:vMerge/>
          </w:tcPr>
          <w:p w14:paraId="3F816710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625BB118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2925" w:type="dxa"/>
          </w:tcPr>
          <w:p w14:paraId="72A5CF37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Prato raso</w:t>
            </w:r>
          </w:p>
        </w:tc>
      </w:tr>
      <w:tr w:rsidR="001307D4" w:rsidRPr="001307D4" w14:paraId="2CF11561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7691FA5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495" w:type="dxa"/>
            <w:noWrap/>
            <w:hideMark/>
          </w:tcPr>
          <w:p w14:paraId="593F0BA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Escumadeira</w:t>
            </w:r>
          </w:p>
        </w:tc>
        <w:tc>
          <w:tcPr>
            <w:tcW w:w="239" w:type="dxa"/>
            <w:vMerge/>
          </w:tcPr>
          <w:p w14:paraId="62AE799A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5A7BFFC8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2925" w:type="dxa"/>
          </w:tcPr>
          <w:p w14:paraId="621078A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Rodela</w:t>
            </w:r>
          </w:p>
        </w:tc>
      </w:tr>
      <w:tr w:rsidR="001307D4" w:rsidRPr="001307D4" w14:paraId="4EE4CA7C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37CDEFF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495" w:type="dxa"/>
            <w:noWrap/>
            <w:hideMark/>
          </w:tcPr>
          <w:p w14:paraId="727CE798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Espetinho/espeto</w:t>
            </w:r>
          </w:p>
        </w:tc>
        <w:tc>
          <w:tcPr>
            <w:tcW w:w="239" w:type="dxa"/>
            <w:vMerge/>
          </w:tcPr>
          <w:p w14:paraId="3CCDA9E1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38FAF9BA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2925" w:type="dxa"/>
          </w:tcPr>
          <w:p w14:paraId="0F4B1802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Sachê</w:t>
            </w:r>
          </w:p>
        </w:tc>
      </w:tr>
      <w:tr w:rsidR="001307D4" w:rsidRPr="001307D4" w14:paraId="28A14AE2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3A38D502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495" w:type="dxa"/>
            <w:noWrap/>
            <w:hideMark/>
          </w:tcPr>
          <w:p w14:paraId="31507F06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Espiga</w:t>
            </w:r>
          </w:p>
        </w:tc>
        <w:tc>
          <w:tcPr>
            <w:tcW w:w="239" w:type="dxa"/>
            <w:vMerge/>
          </w:tcPr>
          <w:p w14:paraId="7825E616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60F8E32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2925" w:type="dxa"/>
          </w:tcPr>
          <w:p w14:paraId="4730726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Saco</w:t>
            </w:r>
          </w:p>
        </w:tc>
      </w:tr>
      <w:tr w:rsidR="001307D4" w:rsidRPr="001307D4" w14:paraId="02A39289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4EC290CC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3495" w:type="dxa"/>
            <w:noWrap/>
            <w:hideMark/>
          </w:tcPr>
          <w:p w14:paraId="1939D401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Fatia</w:t>
            </w:r>
          </w:p>
        </w:tc>
        <w:tc>
          <w:tcPr>
            <w:tcW w:w="239" w:type="dxa"/>
            <w:vMerge/>
          </w:tcPr>
          <w:p w14:paraId="5A86E16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03834C93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2925" w:type="dxa"/>
          </w:tcPr>
          <w:p w14:paraId="5F1D506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Tablete</w:t>
            </w:r>
          </w:p>
        </w:tc>
      </w:tr>
      <w:tr w:rsidR="001307D4" w:rsidRPr="001307D4" w14:paraId="6BE7D3B9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58394DF0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3495" w:type="dxa"/>
            <w:noWrap/>
            <w:hideMark/>
          </w:tcPr>
          <w:p w14:paraId="296FC490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Folha</w:t>
            </w:r>
          </w:p>
        </w:tc>
        <w:tc>
          <w:tcPr>
            <w:tcW w:w="239" w:type="dxa"/>
            <w:vMerge/>
          </w:tcPr>
          <w:p w14:paraId="3FD480A9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56589DA6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2925" w:type="dxa"/>
          </w:tcPr>
          <w:p w14:paraId="20A4C35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Taca</w:t>
            </w:r>
          </w:p>
        </w:tc>
      </w:tr>
      <w:tr w:rsidR="001307D4" w:rsidRPr="001307D4" w14:paraId="405BA136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37B25399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28</w:t>
            </w:r>
          </w:p>
        </w:tc>
        <w:tc>
          <w:tcPr>
            <w:tcW w:w="3495" w:type="dxa"/>
            <w:noWrap/>
            <w:hideMark/>
          </w:tcPr>
          <w:p w14:paraId="4F3DE3EE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Garrafa de 200 ml</w:t>
            </w:r>
          </w:p>
        </w:tc>
        <w:tc>
          <w:tcPr>
            <w:tcW w:w="239" w:type="dxa"/>
            <w:vMerge/>
          </w:tcPr>
          <w:p w14:paraId="145E090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768C92FA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925" w:type="dxa"/>
          </w:tcPr>
          <w:p w14:paraId="09EF6753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Tigela</w:t>
            </w:r>
          </w:p>
        </w:tc>
      </w:tr>
      <w:tr w:rsidR="001307D4" w:rsidRPr="001307D4" w14:paraId="7A68CC24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16446817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3495" w:type="dxa"/>
            <w:noWrap/>
            <w:hideMark/>
          </w:tcPr>
          <w:p w14:paraId="5959FB2B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Garrafa de 250 ml</w:t>
            </w:r>
          </w:p>
        </w:tc>
        <w:tc>
          <w:tcPr>
            <w:tcW w:w="239" w:type="dxa"/>
            <w:vMerge/>
          </w:tcPr>
          <w:p w14:paraId="6C057F07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29E72AA7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2925" w:type="dxa"/>
          </w:tcPr>
          <w:p w14:paraId="245C0CEE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Unidade</w:t>
            </w:r>
          </w:p>
        </w:tc>
      </w:tr>
      <w:tr w:rsidR="001307D4" w:rsidRPr="001307D4" w14:paraId="6C236D95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216C7E6F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3495" w:type="dxa"/>
            <w:noWrap/>
            <w:hideMark/>
          </w:tcPr>
          <w:p w14:paraId="5A3B3DD1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Garrafa de 275 ml</w:t>
            </w:r>
          </w:p>
        </w:tc>
        <w:tc>
          <w:tcPr>
            <w:tcW w:w="239" w:type="dxa"/>
            <w:vMerge/>
          </w:tcPr>
          <w:p w14:paraId="2DBF5E6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21968432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2925" w:type="dxa"/>
          </w:tcPr>
          <w:p w14:paraId="265A2AA9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Unidade pequena</w:t>
            </w:r>
          </w:p>
        </w:tc>
      </w:tr>
      <w:tr w:rsidR="001307D4" w:rsidRPr="001307D4" w14:paraId="0C0D21B6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262FE551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3495" w:type="dxa"/>
            <w:noWrap/>
            <w:hideMark/>
          </w:tcPr>
          <w:p w14:paraId="167D1564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Garrafa de 300 ml</w:t>
            </w:r>
          </w:p>
        </w:tc>
        <w:tc>
          <w:tcPr>
            <w:tcW w:w="239" w:type="dxa"/>
            <w:vMerge/>
          </w:tcPr>
          <w:p w14:paraId="57AA634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3EB0C091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2925" w:type="dxa"/>
          </w:tcPr>
          <w:p w14:paraId="1DD83F9D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Xicara de café</w:t>
            </w:r>
          </w:p>
        </w:tc>
      </w:tr>
      <w:tr w:rsidR="001307D4" w:rsidRPr="001307D4" w14:paraId="29FABE82" w14:textId="77777777" w:rsidTr="009D76CF">
        <w:trPr>
          <w:trHeight w:val="255"/>
          <w:jc w:val="center"/>
        </w:trPr>
        <w:tc>
          <w:tcPr>
            <w:tcW w:w="850" w:type="dxa"/>
            <w:noWrap/>
            <w:hideMark/>
          </w:tcPr>
          <w:p w14:paraId="6ED2F504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3495" w:type="dxa"/>
            <w:noWrap/>
            <w:hideMark/>
          </w:tcPr>
          <w:p w14:paraId="2E0E999C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Garrafa de 330 ml</w:t>
            </w:r>
          </w:p>
        </w:tc>
        <w:tc>
          <w:tcPr>
            <w:tcW w:w="239" w:type="dxa"/>
            <w:vMerge/>
          </w:tcPr>
          <w:p w14:paraId="0127B298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</w:tcPr>
          <w:p w14:paraId="6AFB182E" w14:textId="77777777" w:rsidR="00025671" w:rsidRPr="001307D4" w:rsidRDefault="00025671" w:rsidP="009D76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2925" w:type="dxa"/>
          </w:tcPr>
          <w:p w14:paraId="3DDB87EF" w14:textId="77777777" w:rsidR="00025671" w:rsidRPr="001307D4" w:rsidRDefault="00025671" w:rsidP="009D76CF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307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Xicara de chá</w:t>
            </w:r>
          </w:p>
        </w:tc>
      </w:tr>
    </w:tbl>
    <w:p w14:paraId="630FA83B" w14:textId="77777777" w:rsidR="008754D7" w:rsidRDefault="008754D7" w:rsidP="006843F2">
      <w:pPr>
        <w:jc w:val="both"/>
        <w:rPr>
          <w:rFonts w:ascii="Arial" w:hAnsi="Arial" w:cs="Arial"/>
          <w:sz w:val="24"/>
          <w:szCs w:val="24"/>
        </w:rPr>
      </w:pPr>
    </w:p>
    <w:p w14:paraId="6AAAC2F4" w14:textId="5B4FF522" w:rsidR="008754D7" w:rsidRDefault="008754D7" w:rsidP="006843F2">
      <w:pPr>
        <w:jc w:val="both"/>
        <w:rPr>
          <w:rFonts w:ascii="Arial" w:hAnsi="Arial" w:cs="Arial"/>
          <w:b/>
          <w:sz w:val="24"/>
          <w:szCs w:val="24"/>
        </w:rPr>
      </w:pPr>
    </w:p>
    <w:p w14:paraId="257C0AF2" w14:textId="77777777" w:rsidR="00C5520F" w:rsidRDefault="00C5520F" w:rsidP="006843F2">
      <w:pPr>
        <w:jc w:val="both"/>
        <w:rPr>
          <w:rFonts w:ascii="Arial" w:hAnsi="Arial" w:cs="Arial"/>
          <w:b/>
          <w:sz w:val="24"/>
          <w:szCs w:val="24"/>
        </w:rPr>
      </w:pPr>
    </w:p>
    <w:p w14:paraId="68B58A96" w14:textId="33B1034C" w:rsidR="006843F2" w:rsidRDefault="000E1836" w:rsidP="006843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Etapa</w:t>
      </w:r>
      <w:r w:rsidR="006736DC">
        <w:rPr>
          <w:rFonts w:ascii="Arial" w:hAnsi="Arial" w:cs="Arial"/>
          <w:b/>
          <w:sz w:val="24"/>
          <w:szCs w:val="24"/>
        </w:rPr>
        <w:t xml:space="preserve"> 4</w:t>
      </w:r>
      <w:r w:rsidR="006843F2" w:rsidRPr="00DC7AF9">
        <w:rPr>
          <w:rFonts w:ascii="Arial" w:hAnsi="Arial" w:cs="Arial"/>
          <w:b/>
          <w:sz w:val="24"/>
          <w:szCs w:val="24"/>
        </w:rPr>
        <w:t xml:space="preserve"> – Inserção d</w:t>
      </w:r>
      <w:r w:rsidR="006C0EC4">
        <w:rPr>
          <w:rFonts w:ascii="Arial" w:hAnsi="Arial" w:cs="Arial"/>
          <w:b/>
          <w:sz w:val="24"/>
          <w:szCs w:val="24"/>
        </w:rPr>
        <w:t>e alimentos novos (preparações</w:t>
      </w:r>
      <w:r>
        <w:rPr>
          <w:rFonts w:ascii="Arial" w:hAnsi="Arial" w:cs="Arial"/>
          <w:b/>
          <w:sz w:val="24"/>
          <w:szCs w:val="24"/>
        </w:rPr>
        <w:t>,</w:t>
      </w:r>
      <w:r w:rsidR="006C0EC4">
        <w:rPr>
          <w:rFonts w:ascii="Arial" w:hAnsi="Arial" w:cs="Arial"/>
          <w:b/>
          <w:sz w:val="24"/>
          <w:szCs w:val="24"/>
        </w:rPr>
        <w:t xml:space="preserve"> medidas</w:t>
      </w:r>
      <w:r>
        <w:rPr>
          <w:rFonts w:ascii="Arial" w:hAnsi="Arial" w:cs="Arial"/>
          <w:b/>
          <w:sz w:val="24"/>
          <w:szCs w:val="24"/>
        </w:rPr>
        <w:t xml:space="preserve"> e</w:t>
      </w:r>
      <w:r w:rsidRPr="000E1836">
        <w:rPr>
          <w:rFonts w:ascii="Arial" w:hAnsi="Arial" w:cs="Arial"/>
          <w:b/>
          <w:sz w:val="24"/>
          <w:szCs w:val="24"/>
        </w:rPr>
        <w:t xml:space="preserve"> </w:t>
      </w:r>
      <w:r w:rsidRPr="00DC7AF9">
        <w:rPr>
          <w:rFonts w:ascii="Arial" w:hAnsi="Arial" w:cs="Arial"/>
          <w:b/>
          <w:sz w:val="24"/>
          <w:szCs w:val="24"/>
        </w:rPr>
        <w:t>gramatura</w:t>
      </w:r>
      <w:r>
        <w:rPr>
          <w:rFonts w:ascii="Arial" w:hAnsi="Arial" w:cs="Arial"/>
          <w:b/>
          <w:sz w:val="24"/>
          <w:szCs w:val="24"/>
        </w:rPr>
        <w:t>s</w:t>
      </w:r>
      <w:r w:rsidR="006C0EC4">
        <w:rPr>
          <w:rFonts w:ascii="Arial" w:hAnsi="Arial" w:cs="Arial"/>
          <w:b/>
          <w:sz w:val="24"/>
          <w:szCs w:val="24"/>
        </w:rPr>
        <w:t>)</w:t>
      </w:r>
    </w:p>
    <w:p w14:paraId="40F8E1A3" w14:textId="77777777" w:rsidR="000E1836" w:rsidRDefault="000E1836" w:rsidP="00684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etapa, f</w:t>
      </w:r>
      <w:r w:rsidR="006C0EC4">
        <w:rPr>
          <w:rFonts w:ascii="Arial" w:hAnsi="Arial" w:cs="Arial"/>
          <w:sz w:val="24"/>
          <w:szCs w:val="24"/>
        </w:rPr>
        <w:t>oram inserido</w:t>
      </w:r>
      <w:r w:rsidR="00AE37AD" w:rsidRPr="00AE37AD">
        <w:rPr>
          <w:rFonts w:ascii="Arial" w:hAnsi="Arial" w:cs="Arial"/>
          <w:sz w:val="24"/>
          <w:szCs w:val="24"/>
        </w:rPr>
        <w:t>s</w:t>
      </w:r>
      <w:r w:rsidR="006C0EC4">
        <w:rPr>
          <w:rFonts w:ascii="Arial" w:hAnsi="Arial" w:cs="Arial"/>
          <w:sz w:val="24"/>
          <w:szCs w:val="24"/>
        </w:rPr>
        <w:t xml:space="preserve"> os novos alimentos citados</w:t>
      </w:r>
      <w:r>
        <w:rPr>
          <w:rFonts w:ascii="Arial" w:hAnsi="Arial" w:cs="Arial"/>
          <w:sz w:val="24"/>
          <w:szCs w:val="24"/>
        </w:rPr>
        <w:t xml:space="preserve"> no inquérito</w:t>
      </w:r>
      <w:r w:rsidR="006C0EC4">
        <w:rPr>
          <w:rFonts w:ascii="Arial" w:hAnsi="Arial" w:cs="Arial"/>
          <w:sz w:val="24"/>
          <w:szCs w:val="24"/>
        </w:rPr>
        <w:t xml:space="preserve">, juntamente com </w:t>
      </w:r>
      <w:r>
        <w:rPr>
          <w:rFonts w:ascii="Arial" w:hAnsi="Arial" w:cs="Arial"/>
          <w:sz w:val="24"/>
          <w:szCs w:val="24"/>
        </w:rPr>
        <w:t xml:space="preserve">as opções de preparações, opções de medidas e </w:t>
      </w:r>
      <w:r w:rsidR="006C0EC4">
        <w:rPr>
          <w:rFonts w:ascii="Arial" w:hAnsi="Arial" w:cs="Arial"/>
          <w:sz w:val="24"/>
          <w:szCs w:val="24"/>
        </w:rPr>
        <w:t xml:space="preserve">suas respectivas </w:t>
      </w:r>
      <w:r w:rsidR="00AE37AD" w:rsidRPr="00AE37AD">
        <w:rPr>
          <w:rFonts w:ascii="Arial" w:hAnsi="Arial" w:cs="Arial"/>
          <w:sz w:val="24"/>
          <w:szCs w:val="24"/>
        </w:rPr>
        <w:t>gramaturas.</w:t>
      </w:r>
      <w:r w:rsidR="00AE37AD">
        <w:rPr>
          <w:rFonts w:ascii="Arial" w:hAnsi="Arial" w:cs="Arial"/>
          <w:sz w:val="24"/>
          <w:szCs w:val="24"/>
        </w:rPr>
        <w:t xml:space="preserve"> </w:t>
      </w:r>
    </w:p>
    <w:p w14:paraId="55A2BEE5" w14:textId="5F50E4D4" w:rsidR="00AE37AD" w:rsidRDefault="000E1836" w:rsidP="000E1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explanado anteriormente, utilizou-se a mesma metodologia da POF anterior</w:t>
      </w:r>
      <w:r w:rsidRPr="000E18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0E1836">
        <w:rPr>
          <w:rFonts w:ascii="Arial" w:hAnsi="Arial" w:cs="Arial"/>
          <w:sz w:val="24"/>
          <w:szCs w:val="24"/>
        </w:rPr>
        <w:t>ara a determinação da gramatura de todas as medidas caseiras citadas na</w:t>
      </w:r>
      <w:r>
        <w:rPr>
          <w:rFonts w:ascii="Arial" w:hAnsi="Arial" w:cs="Arial"/>
          <w:sz w:val="24"/>
          <w:szCs w:val="24"/>
        </w:rPr>
        <w:t xml:space="preserve"> POF 2017</w:t>
      </w:r>
      <w:r w:rsidRPr="000E1836">
        <w:rPr>
          <w:rFonts w:ascii="Arial" w:hAnsi="Arial" w:cs="Arial"/>
          <w:sz w:val="24"/>
          <w:szCs w:val="24"/>
        </w:rPr>
        <w:t>-20</w:t>
      </w:r>
      <w:r>
        <w:rPr>
          <w:rFonts w:ascii="Arial" w:hAnsi="Arial" w:cs="Arial"/>
          <w:sz w:val="24"/>
          <w:szCs w:val="24"/>
        </w:rPr>
        <w:t xml:space="preserve">18 que não tinham sido estimadas na POF 2008-2009. Algumas </w:t>
      </w:r>
      <w:r w:rsidRPr="000E1836">
        <w:rPr>
          <w:rFonts w:ascii="Arial" w:hAnsi="Arial" w:cs="Arial"/>
          <w:sz w:val="24"/>
          <w:szCs w:val="24"/>
        </w:rPr>
        <w:t>considerações realizadas estão descritas abaixo por tipo de</w:t>
      </w:r>
      <w:r>
        <w:rPr>
          <w:rFonts w:ascii="Arial" w:hAnsi="Arial" w:cs="Arial"/>
          <w:sz w:val="24"/>
          <w:szCs w:val="24"/>
        </w:rPr>
        <w:t xml:space="preserve"> </w:t>
      </w:r>
      <w:r w:rsidRPr="000E1836">
        <w:rPr>
          <w:rFonts w:ascii="Arial" w:hAnsi="Arial" w:cs="Arial"/>
          <w:sz w:val="24"/>
          <w:szCs w:val="24"/>
        </w:rPr>
        <w:t>medida ou por grupo de alimento.</w:t>
      </w:r>
    </w:p>
    <w:p w14:paraId="6E4A2DAC" w14:textId="2B170BC9" w:rsidR="00BF24B5" w:rsidRDefault="00BF24B5" w:rsidP="00BF24B5">
      <w:pPr>
        <w:jc w:val="both"/>
        <w:rPr>
          <w:rFonts w:ascii="Arial" w:hAnsi="Arial" w:cs="Arial"/>
          <w:sz w:val="24"/>
          <w:szCs w:val="24"/>
        </w:rPr>
      </w:pPr>
      <w:r w:rsidRPr="00BF24B5">
        <w:rPr>
          <w:rFonts w:ascii="Arial" w:hAnsi="Arial" w:cs="Arial"/>
          <w:sz w:val="24"/>
          <w:szCs w:val="24"/>
        </w:rPr>
        <w:t>Quanto às variações nos tamanhos das medidas, optou-se pelas medidas de tamanho médio. Quando a unidade pequena não estava disponível,</w:t>
      </w:r>
      <w:r>
        <w:rPr>
          <w:rFonts w:ascii="Arial" w:hAnsi="Arial" w:cs="Arial"/>
          <w:sz w:val="24"/>
          <w:szCs w:val="24"/>
        </w:rPr>
        <w:t xml:space="preserve"> </w:t>
      </w:r>
      <w:r w:rsidRPr="00BF24B5">
        <w:rPr>
          <w:rFonts w:ascii="Arial" w:hAnsi="Arial" w:cs="Arial"/>
          <w:sz w:val="24"/>
          <w:szCs w:val="24"/>
        </w:rPr>
        <w:t>esta foi considerada como 75% da unidade média ou 50% da unidade grande do</w:t>
      </w:r>
      <w:r>
        <w:rPr>
          <w:rFonts w:ascii="Arial" w:hAnsi="Arial" w:cs="Arial"/>
          <w:sz w:val="24"/>
          <w:szCs w:val="24"/>
        </w:rPr>
        <w:t xml:space="preserve"> </w:t>
      </w:r>
      <w:r w:rsidRPr="00BF24B5">
        <w:rPr>
          <w:rFonts w:ascii="Arial" w:hAnsi="Arial" w:cs="Arial"/>
          <w:sz w:val="24"/>
          <w:szCs w:val="24"/>
        </w:rPr>
        <w:t>alimento (FISBERG; VILLAR, 2002).</w:t>
      </w:r>
    </w:p>
    <w:p w14:paraId="65A89D6C" w14:textId="49EB34AE" w:rsidR="00BF24B5" w:rsidRDefault="00BF24B5" w:rsidP="00BF24B5">
      <w:pPr>
        <w:jc w:val="both"/>
        <w:rPr>
          <w:rFonts w:ascii="Arial" w:hAnsi="Arial" w:cs="Arial"/>
          <w:sz w:val="24"/>
          <w:szCs w:val="24"/>
        </w:rPr>
      </w:pPr>
      <w:r w:rsidRPr="00BF24B5">
        <w:rPr>
          <w:rFonts w:ascii="Arial" w:hAnsi="Arial" w:cs="Arial"/>
          <w:sz w:val="24"/>
          <w:szCs w:val="24"/>
        </w:rPr>
        <w:t>Para os sanduíches citados na pesquisa, que não possuíam a gramatura da</w:t>
      </w:r>
      <w:r>
        <w:rPr>
          <w:rFonts w:ascii="Arial" w:hAnsi="Arial" w:cs="Arial"/>
          <w:sz w:val="24"/>
          <w:szCs w:val="24"/>
        </w:rPr>
        <w:t xml:space="preserve"> </w:t>
      </w:r>
      <w:r w:rsidRPr="00BF24B5">
        <w:rPr>
          <w:rFonts w:ascii="Arial" w:hAnsi="Arial" w:cs="Arial"/>
          <w:sz w:val="24"/>
          <w:szCs w:val="24"/>
        </w:rPr>
        <w:t>unidade nas tabelas de referência, estabeleceu-se a gramatura dos mesmos somando</w:t>
      </w:r>
      <w:r>
        <w:rPr>
          <w:rFonts w:ascii="Arial" w:hAnsi="Arial" w:cs="Arial"/>
          <w:sz w:val="24"/>
          <w:szCs w:val="24"/>
        </w:rPr>
        <w:t xml:space="preserve"> </w:t>
      </w:r>
      <w:r w:rsidRPr="00BF24B5">
        <w:rPr>
          <w:rFonts w:ascii="Arial" w:hAnsi="Arial" w:cs="Arial"/>
          <w:sz w:val="24"/>
          <w:szCs w:val="24"/>
        </w:rPr>
        <w:t>os itens presentes no sanduíche descrito</w:t>
      </w:r>
      <w:r>
        <w:rPr>
          <w:rFonts w:ascii="Arial" w:hAnsi="Arial" w:cs="Arial"/>
          <w:sz w:val="24"/>
          <w:szCs w:val="24"/>
        </w:rPr>
        <w:t>, considerando a receita utilizada para estimar a composição nutricional.</w:t>
      </w:r>
    </w:p>
    <w:p w14:paraId="3B8B48E8" w14:textId="4D973CB0" w:rsidR="00FB2576" w:rsidRDefault="00BF24B5" w:rsidP="00BF24B5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Para preparações referentes às carnes, que não possuíam gramatura da unidade </w:t>
      </w:r>
      <w:r w:rsidRPr="00BF24B5">
        <w:rPr>
          <w:rFonts w:ascii="Arial" w:hAnsi="Arial" w:cs="Arial"/>
          <w:sz w:val="24"/>
          <w:szCs w:val="24"/>
        </w:rPr>
        <w:t xml:space="preserve">nas tabelas de referência, estabeleceu-se a gramatura </w:t>
      </w:r>
      <w:r>
        <w:rPr>
          <w:rFonts w:ascii="Arial" w:hAnsi="Arial" w:cs="Arial"/>
          <w:sz w:val="24"/>
          <w:szCs w:val="24"/>
        </w:rPr>
        <w:t>com base em outra preparação disponível. Por exemplo, a</w:t>
      </w:r>
      <w:r w:rsidR="000E1836">
        <w:rPr>
          <w:rFonts w:ascii="Arial" w:eastAsia="Times New Roman" w:hAnsi="Arial" w:cs="Arial"/>
          <w:sz w:val="24"/>
          <w:szCs w:val="24"/>
          <w:lang w:eastAsia="pt-BR"/>
        </w:rPr>
        <w:t>s medidas das preparações g</w:t>
      </w:r>
      <w:r w:rsidR="00FB2576" w:rsidRPr="00316928">
        <w:rPr>
          <w:rFonts w:ascii="Arial" w:eastAsia="Times New Roman" w:hAnsi="Arial" w:cs="Arial"/>
          <w:sz w:val="24"/>
          <w:szCs w:val="24"/>
          <w:lang w:eastAsia="pt-BR"/>
        </w:rPr>
        <w:t xml:space="preserve">relhado, assado e frito </w:t>
      </w:r>
      <w:r w:rsidR="000E1836">
        <w:rPr>
          <w:rFonts w:ascii="Arial" w:eastAsia="Times New Roman" w:hAnsi="Arial" w:cs="Arial"/>
          <w:sz w:val="24"/>
          <w:szCs w:val="24"/>
          <w:lang w:eastAsia="pt-BR"/>
        </w:rPr>
        <w:t xml:space="preserve">receberam a mesma gramatura da preparação </w:t>
      </w:r>
      <w:r w:rsidR="00FB2576" w:rsidRPr="00316928">
        <w:rPr>
          <w:rFonts w:ascii="Arial" w:eastAsia="Times New Roman" w:hAnsi="Arial" w:cs="Arial"/>
          <w:sz w:val="24"/>
          <w:szCs w:val="24"/>
          <w:lang w:eastAsia="pt-BR"/>
        </w:rPr>
        <w:t>assada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Para preparações à milanesa, considerou-se a gramatura do </w:t>
      </w:r>
      <w:r w:rsidRPr="00316928">
        <w:rPr>
          <w:rFonts w:ascii="Arial" w:eastAsia="Times New Roman" w:hAnsi="Arial" w:cs="Arial"/>
          <w:sz w:val="24"/>
          <w:szCs w:val="24"/>
          <w:lang w:eastAsia="pt-BR"/>
        </w:rPr>
        <w:t>bife bovino à milanesa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as medidas fatia e pedaço. </w:t>
      </w:r>
    </w:p>
    <w:p w14:paraId="4BF157BD" w14:textId="7168D894" w:rsidR="00BF24B5" w:rsidRDefault="00BF24B5" w:rsidP="00BF24B5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24B5">
        <w:rPr>
          <w:rFonts w:ascii="Arial" w:eastAsia="Times New Roman" w:hAnsi="Arial" w:cs="Arial"/>
          <w:sz w:val="24"/>
          <w:szCs w:val="24"/>
          <w:lang w:eastAsia="pt-BR"/>
        </w:rPr>
        <w:t>Para todas as bebidas, foi considerada a capacidade máxima do volume 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BF24B5">
        <w:rPr>
          <w:rFonts w:ascii="Arial" w:eastAsia="Times New Roman" w:hAnsi="Arial" w:cs="Arial"/>
          <w:sz w:val="24"/>
          <w:szCs w:val="24"/>
          <w:lang w:eastAsia="pt-BR"/>
        </w:rPr>
        <w:t>recipiente com base na densidade da água (1,0 g/ml), com exceção para os itens que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possuíam medida específica nas tabelas de referência. Logo, as medidas para copo,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 xml:space="preserve">caneca(o), dose e xícara foram as mesmas para a maioria das bebidas. O Quadro </w:t>
      </w:r>
      <w:r w:rsidR="002A1BB0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a seguir, apresenta a descrição dessas medidas:</w:t>
      </w:r>
    </w:p>
    <w:p w14:paraId="4182ACDE" w14:textId="58A3E128" w:rsidR="00444C62" w:rsidRDefault="00444C62" w:rsidP="00BF24B5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Quadro </w:t>
      </w:r>
      <w:r w:rsidR="002A1BB0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444C62">
        <w:rPr>
          <w:rFonts w:ascii="Arial" w:eastAsia="Times New Roman" w:hAnsi="Arial" w:cs="Arial"/>
          <w:sz w:val="24"/>
          <w:szCs w:val="24"/>
          <w:lang w:eastAsia="pt-BR"/>
        </w:rPr>
        <w:t xml:space="preserve"> - Descrição das medidas para líquidos e suas respectivas quantidades</w:t>
      </w:r>
    </w:p>
    <w:tbl>
      <w:tblPr>
        <w:tblStyle w:val="Tabelacomgrade"/>
        <w:tblW w:w="8570" w:type="dxa"/>
        <w:tblLook w:val="04A0" w:firstRow="1" w:lastRow="0" w:firstColumn="1" w:lastColumn="0" w:noHBand="0" w:noVBand="1"/>
      </w:tblPr>
      <w:tblGrid>
        <w:gridCol w:w="2569"/>
        <w:gridCol w:w="1533"/>
        <w:gridCol w:w="236"/>
        <w:gridCol w:w="2774"/>
        <w:gridCol w:w="1458"/>
      </w:tblGrid>
      <w:tr w:rsidR="00444C62" w14:paraId="6684802F" w14:textId="77777777" w:rsidTr="00AE7F60"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725A6487" w14:textId="77777777" w:rsidR="00D91F09" w:rsidRDefault="00D91F09" w:rsidP="00AE7F6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A6B20FF" w14:textId="53294C21" w:rsidR="00444C62" w:rsidRDefault="00444C62" w:rsidP="00AE7F6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6E7E3112" w14:textId="77777777" w:rsidR="00444C62" w:rsidRDefault="00444C62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Quantidade</w:t>
            </w:r>
          </w:p>
          <w:p w14:paraId="6ADDA2B0" w14:textId="270D2975" w:rsidR="00444C62" w:rsidRDefault="00444C62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(ml)</w:t>
            </w:r>
          </w:p>
        </w:tc>
        <w:tc>
          <w:tcPr>
            <w:tcW w:w="236" w:type="dxa"/>
          </w:tcPr>
          <w:p w14:paraId="53B721CA" w14:textId="77777777" w:rsidR="00444C62" w:rsidRDefault="00444C62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774" w:type="dxa"/>
            <w:vAlign w:val="center"/>
          </w:tcPr>
          <w:p w14:paraId="0489634B" w14:textId="77777777" w:rsidR="00D91F09" w:rsidRDefault="00D91F09" w:rsidP="00AE7F6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39812EF" w14:textId="10CF8762" w:rsidR="00444C62" w:rsidRDefault="00444C62" w:rsidP="00AE7F6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458" w:type="dxa"/>
          </w:tcPr>
          <w:p w14:paraId="286D66BA" w14:textId="77777777" w:rsidR="00444C62" w:rsidRDefault="00444C62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Quantidade</w:t>
            </w:r>
          </w:p>
          <w:p w14:paraId="6C1B186A" w14:textId="080AB595" w:rsidR="00444C62" w:rsidRDefault="00444C62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(ml)</w:t>
            </w:r>
          </w:p>
        </w:tc>
      </w:tr>
      <w:tr w:rsidR="00D91F09" w14:paraId="6ABC903F" w14:textId="77777777" w:rsidTr="00D91F09">
        <w:tc>
          <w:tcPr>
            <w:tcW w:w="2569" w:type="dxa"/>
            <w:tcBorders>
              <w:bottom w:val="nil"/>
            </w:tcBorders>
          </w:tcPr>
          <w:p w14:paraId="043677A6" w14:textId="1491E139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Caneca</w:t>
            </w:r>
          </w:p>
        </w:tc>
        <w:tc>
          <w:tcPr>
            <w:tcW w:w="1533" w:type="dxa"/>
            <w:tcBorders>
              <w:bottom w:val="nil"/>
            </w:tcBorders>
          </w:tcPr>
          <w:p w14:paraId="3898D659" w14:textId="611FF54A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236" w:type="dxa"/>
            <w:vMerge w:val="restart"/>
          </w:tcPr>
          <w:p w14:paraId="5A63F344" w14:textId="77777777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774" w:type="dxa"/>
            <w:tcBorders>
              <w:bottom w:val="nil"/>
            </w:tcBorders>
          </w:tcPr>
          <w:p w14:paraId="477856DD" w14:textId="4B6D5F1F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bottom w:val="nil"/>
            </w:tcBorders>
          </w:tcPr>
          <w:p w14:paraId="6EA929FC" w14:textId="77777777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91F09" w14:paraId="559A107D" w14:textId="77777777" w:rsidTr="00D91F09">
        <w:tc>
          <w:tcPr>
            <w:tcW w:w="2569" w:type="dxa"/>
            <w:tcBorders>
              <w:top w:val="nil"/>
              <w:bottom w:val="nil"/>
            </w:tcBorders>
          </w:tcPr>
          <w:p w14:paraId="5EF6A9B6" w14:textId="2457375D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Caneco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37D98961" w14:textId="7DD3FEA4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236" w:type="dxa"/>
            <w:vMerge/>
          </w:tcPr>
          <w:p w14:paraId="2F78150C" w14:textId="77777777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2CCC39CA" w14:textId="0A385609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Copo médio</w:t>
            </w:r>
          </w:p>
        </w:tc>
        <w:tc>
          <w:tcPr>
            <w:tcW w:w="1458" w:type="dxa"/>
            <w:tcBorders>
              <w:top w:val="nil"/>
              <w:bottom w:val="nil"/>
            </w:tcBorders>
          </w:tcPr>
          <w:p w14:paraId="31D1B85A" w14:textId="3416E2E7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240</w:t>
            </w:r>
          </w:p>
        </w:tc>
      </w:tr>
      <w:tr w:rsidR="00D91F09" w14:paraId="5B5CE5B0" w14:textId="77777777" w:rsidTr="00D91F09">
        <w:tc>
          <w:tcPr>
            <w:tcW w:w="2569" w:type="dxa"/>
            <w:tcBorders>
              <w:top w:val="nil"/>
              <w:bottom w:val="nil"/>
            </w:tcBorders>
          </w:tcPr>
          <w:p w14:paraId="1277634E" w14:textId="0B6023C2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Copo americano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9295D4A" w14:textId="0067525C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236" w:type="dxa"/>
            <w:vMerge/>
          </w:tcPr>
          <w:p w14:paraId="12EC8AF8" w14:textId="77777777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179C1095" w14:textId="2E4946B3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Copo tulipa</w:t>
            </w:r>
          </w:p>
        </w:tc>
        <w:tc>
          <w:tcPr>
            <w:tcW w:w="1458" w:type="dxa"/>
            <w:tcBorders>
              <w:top w:val="nil"/>
              <w:bottom w:val="nil"/>
            </w:tcBorders>
          </w:tcPr>
          <w:p w14:paraId="5934D85A" w14:textId="00898AE9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290</w:t>
            </w:r>
          </w:p>
        </w:tc>
      </w:tr>
      <w:tr w:rsidR="00D91F09" w14:paraId="7731DD3D" w14:textId="77777777" w:rsidTr="00D91F09">
        <w:tc>
          <w:tcPr>
            <w:tcW w:w="2569" w:type="dxa"/>
            <w:tcBorders>
              <w:top w:val="nil"/>
              <w:bottom w:val="nil"/>
            </w:tcBorders>
          </w:tcPr>
          <w:p w14:paraId="15E4677C" w14:textId="7EB29BD9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Copo de cafezinho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7662ABA7" w14:textId="25FA1899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236" w:type="dxa"/>
            <w:vMerge/>
          </w:tcPr>
          <w:p w14:paraId="42601AEE" w14:textId="77777777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7BF600A3" w14:textId="4C2A1A0B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Dose</w:t>
            </w:r>
          </w:p>
        </w:tc>
        <w:tc>
          <w:tcPr>
            <w:tcW w:w="1458" w:type="dxa"/>
            <w:tcBorders>
              <w:top w:val="nil"/>
              <w:bottom w:val="nil"/>
            </w:tcBorders>
          </w:tcPr>
          <w:p w14:paraId="278367CD" w14:textId="7A522FB0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</w:t>
            </w:r>
          </w:p>
        </w:tc>
      </w:tr>
      <w:tr w:rsidR="00D91F09" w14:paraId="0EA631B1" w14:textId="77777777" w:rsidTr="00D91F09">
        <w:tc>
          <w:tcPr>
            <w:tcW w:w="2569" w:type="dxa"/>
            <w:tcBorders>
              <w:top w:val="nil"/>
              <w:bottom w:val="nil"/>
            </w:tcBorders>
          </w:tcPr>
          <w:p w14:paraId="4F016F16" w14:textId="591E2149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Copo de requeijão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50F77A3" w14:textId="2959B693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240</w:t>
            </w:r>
          </w:p>
        </w:tc>
        <w:tc>
          <w:tcPr>
            <w:tcW w:w="236" w:type="dxa"/>
            <w:vMerge/>
          </w:tcPr>
          <w:p w14:paraId="3D6D571F" w14:textId="77777777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26B40EDD" w14:textId="0635E9BF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Xícara de café</w:t>
            </w:r>
          </w:p>
        </w:tc>
        <w:tc>
          <w:tcPr>
            <w:tcW w:w="1458" w:type="dxa"/>
            <w:tcBorders>
              <w:top w:val="nil"/>
              <w:bottom w:val="nil"/>
            </w:tcBorders>
          </w:tcPr>
          <w:p w14:paraId="64AAFC84" w14:textId="1A698BED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</w:t>
            </w:r>
          </w:p>
        </w:tc>
      </w:tr>
      <w:tr w:rsidR="00D91F09" w14:paraId="2DF07941" w14:textId="77777777" w:rsidTr="00D91F09">
        <w:tc>
          <w:tcPr>
            <w:tcW w:w="2569" w:type="dxa"/>
            <w:tcBorders>
              <w:top w:val="nil"/>
            </w:tcBorders>
          </w:tcPr>
          <w:p w14:paraId="18CD0FB2" w14:textId="1E0F081A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Copo grande</w:t>
            </w:r>
          </w:p>
        </w:tc>
        <w:tc>
          <w:tcPr>
            <w:tcW w:w="1533" w:type="dxa"/>
            <w:tcBorders>
              <w:top w:val="nil"/>
            </w:tcBorders>
          </w:tcPr>
          <w:p w14:paraId="0DDFE294" w14:textId="7FBBD441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236" w:type="dxa"/>
            <w:vMerge/>
          </w:tcPr>
          <w:p w14:paraId="6104031B" w14:textId="77777777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71F81D9D" w14:textId="5D54FE61" w:rsidR="00D91F09" w:rsidRDefault="00D91F09" w:rsidP="00444C6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Xícara de chá</w:t>
            </w:r>
          </w:p>
        </w:tc>
        <w:tc>
          <w:tcPr>
            <w:tcW w:w="1458" w:type="dxa"/>
            <w:tcBorders>
              <w:top w:val="nil"/>
            </w:tcBorders>
          </w:tcPr>
          <w:p w14:paraId="56950512" w14:textId="442F5BC9" w:rsidR="00D91F09" w:rsidRDefault="00D91F09" w:rsidP="00444C6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</w:p>
        </w:tc>
      </w:tr>
    </w:tbl>
    <w:p w14:paraId="36460BBB" w14:textId="5D22ED0E" w:rsidR="00444C62" w:rsidRDefault="00444C62" w:rsidP="00BF24B5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44C62">
        <w:rPr>
          <w:rFonts w:ascii="Arial" w:eastAsia="Times New Roman" w:hAnsi="Arial" w:cs="Arial"/>
          <w:sz w:val="24"/>
          <w:szCs w:val="24"/>
          <w:lang w:eastAsia="pt-BR"/>
        </w:rPr>
        <w:t>Fonte: IBGE,  Diretoria de Pesquisas,  Coordenação de Trabalho e Rendimento,  Pesqu</w:t>
      </w:r>
      <w:r>
        <w:rPr>
          <w:rFonts w:ascii="Arial" w:eastAsia="Times New Roman" w:hAnsi="Arial" w:cs="Arial"/>
          <w:sz w:val="24"/>
          <w:szCs w:val="24"/>
          <w:lang w:eastAsia="pt-BR"/>
        </w:rPr>
        <w:t>isa de Orçamentos Familiares 2017-2018</w:t>
      </w:r>
      <w:r w:rsidRPr="00444C6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1E36853" w14:textId="77777777" w:rsidR="00444C62" w:rsidRDefault="00444C62" w:rsidP="00BF24B5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C3CCD9" w14:textId="40F91C31" w:rsidR="00BF24B5" w:rsidRDefault="00BF24B5" w:rsidP="00BF24B5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Nesta POF, </w:t>
      </w:r>
      <w:r w:rsidR="0016441C">
        <w:rPr>
          <w:rFonts w:ascii="Arial" w:eastAsia="Times New Roman" w:hAnsi="Arial" w:cs="Arial"/>
          <w:sz w:val="24"/>
          <w:szCs w:val="24"/>
          <w:lang w:eastAsia="pt-BR"/>
        </w:rPr>
        <w:t>alguns itens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6441C">
        <w:rPr>
          <w:rFonts w:ascii="Arial" w:eastAsia="Times New Roman" w:hAnsi="Arial" w:cs="Arial"/>
          <w:sz w:val="24"/>
          <w:szCs w:val="24"/>
          <w:lang w:eastAsia="pt-BR"/>
        </w:rPr>
        <w:t xml:space="preserve">sólidos (frutas, achocolatados, cereais infantis, diet shakes dentre outros) </w:t>
      </w:r>
      <w:r>
        <w:rPr>
          <w:rFonts w:ascii="Arial" w:eastAsia="Times New Roman" w:hAnsi="Arial" w:cs="Arial"/>
          <w:sz w:val="24"/>
          <w:szCs w:val="24"/>
          <w:lang w:eastAsia="pt-BR"/>
        </w:rPr>
        <w:t>também foram citadas com medidas de “copo”</w:t>
      </w:r>
      <w:r w:rsidR="0016441C">
        <w:rPr>
          <w:rFonts w:ascii="Arial" w:eastAsia="Times New Roman" w:hAnsi="Arial" w:cs="Arial"/>
          <w:sz w:val="24"/>
          <w:szCs w:val="24"/>
          <w:lang w:eastAsia="pt-BR"/>
        </w:rPr>
        <w:t xml:space="preserve"> ou “xícara”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Nessas situações,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inferiu-s</w:t>
      </w:r>
      <w:r w:rsidR="0016441C">
        <w:rPr>
          <w:rFonts w:ascii="Arial" w:eastAsia="Times New Roman" w:hAnsi="Arial" w:cs="Arial"/>
          <w:sz w:val="24"/>
          <w:szCs w:val="24"/>
          <w:lang w:eastAsia="pt-BR"/>
        </w:rPr>
        <w:t>e que o consumo era referente à bebida preparada com esses itens e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stimou-se a quantidade </w:t>
      </w:r>
      <w:r w:rsidR="0016441C">
        <w:rPr>
          <w:rFonts w:ascii="Arial" w:eastAsia="Times New Roman" w:hAnsi="Arial" w:cs="Arial"/>
          <w:sz w:val="24"/>
          <w:szCs w:val="24"/>
          <w:lang w:eastAsia="pt-BR"/>
        </w:rPr>
        <w:t>consumida a par</w:t>
      </w:r>
      <w:r>
        <w:rPr>
          <w:rFonts w:ascii="Arial" w:eastAsia="Times New Roman" w:hAnsi="Arial" w:cs="Arial"/>
          <w:sz w:val="24"/>
          <w:szCs w:val="24"/>
          <w:lang w:eastAsia="pt-BR"/>
        </w:rPr>
        <w:t>tir da diluição para o preparo d</w:t>
      </w:r>
      <w:r w:rsidR="0016441C">
        <w:rPr>
          <w:rFonts w:ascii="Arial" w:eastAsia="Times New Roman" w:hAnsi="Arial" w:cs="Arial"/>
          <w:sz w:val="24"/>
          <w:szCs w:val="24"/>
          <w:lang w:eastAsia="pt-BR"/>
        </w:rPr>
        <w:t>a bebida.</w:t>
      </w:r>
    </w:p>
    <w:p w14:paraId="1280F656" w14:textId="6C01D167" w:rsidR="002B27C0" w:rsidRPr="00E26899" w:rsidRDefault="00BA6474" w:rsidP="002B27C0">
      <w:pPr>
        <w:jc w:val="both"/>
        <w:rPr>
          <w:rFonts w:ascii="Arial" w:hAnsi="Arial" w:cs="Arial"/>
          <w:sz w:val="24"/>
          <w:szCs w:val="24"/>
        </w:rPr>
      </w:pPr>
      <w:r w:rsidRPr="00E26899">
        <w:rPr>
          <w:rFonts w:ascii="Arial" w:hAnsi="Arial" w:cs="Arial"/>
          <w:sz w:val="24"/>
          <w:szCs w:val="24"/>
        </w:rPr>
        <w:t>Quando a</w:t>
      </w:r>
      <w:r w:rsidR="00E634F0" w:rsidRPr="00E26899">
        <w:rPr>
          <w:rFonts w:ascii="Arial" w:hAnsi="Arial" w:cs="Arial"/>
          <w:sz w:val="24"/>
          <w:szCs w:val="24"/>
        </w:rPr>
        <w:t xml:space="preserve">s medidas para </w:t>
      </w:r>
      <w:r w:rsidRPr="00E26899">
        <w:rPr>
          <w:rFonts w:ascii="Arial" w:hAnsi="Arial" w:cs="Arial"/>
          <w:sz w:val="24"/>
          <w:szCs w:val="24"/>
        </w:rPr>
        <w:t>“</w:t>
      </w:r>
      <w:r w:rsidR="00E634F0" w:rsidRPr="00E26899">
        <w:rPr>
          <w:rFonts w:ascii="Arial" w:hAnsi="Arial" w:cs="Arial"/>
          <w:sz w:val="24"/>
          <w:szCs w:val="24"/>
        </w:rPr>
        <w:t>cumbuca</w:t>
      </w:r>
      <w:r w:rsidRPr="00E26899">
        <w:rPr>
          <w:rFonts w:ascii="Arial" w:hAnsi="Arial" w:cs="Arial"/>
          <w:sz w:val="24"/>
          <w:szCs w:val="24"/>
        </w:rPr>
        <w:t>”</w:t>
      </w:r>
      <w:r w:rsidR="00E634F0" w:rsidRPr="00E26899">
        <w:rPr>
          <w:rFonts w:ascii="Arial" w:hAnsi="Arial" w:cs="Arial"/>
          <w:sz w:val="24"/>
          <w:szCs w:val="24"/>
        </w:rPr>
        <w:t xml:space="preserve">, </w:t>
      </w:r>
      <w:r w:rsidRPr="00E26899">
        <w:rPr>
          <w:rFonts w:ascii="Arial" w:hAnsi="Arial" w:cs="Arial"/>
          <w:sz w:val="24"/>
          <w:szCs w:val="24"/>
        </w:rPr>
        <w:t>“</w:t>
      </w:r>
      <w:r w:rsidR="00E634F0" w:rsidRPr="00E26899">
        <w:rPr>
          <w:rFonts w:ascii="Arial" w:hAnsi="Arial" w:cs="Arial"/>
          <w:sz w:val="24"/>
          <w:szCs w:val="24"/>
        </w:rPr>
        <w:t>caneca</w:t>
      </w:r>
      <w:r w:rsidRPr="00E26899">
        <w:rPr>
          <w:rFonts w:ascii="Arial" w:hAnsi="Arial" w:cs="Arial"/>
          <w:sz w:val="24"/>
          <w:szCs w:val="24"/>
        </w:rPr>
        <w:t>”</w:t>
      </w:r>
      <w:r w:rsidR="00E634F0" w:rsidRPr="00E26899">
        <w:rPr>
          <w:rFonts w:ascii="Arial" w:hAnsi="Arial" w:cs="Arial"/>
          <w:sz w:val="24"/>
          <w:szCs w:val="24"/>
        </w:rPr>
        <w:t xml:space="preserve"> e </w:t>
      </w:r>
      <w:r w:rsidRPr="00E26899">
        <w:rPr>
          <w:rFonts w:ascii="Arial" w:hAnsi="Arial" w:cs="Arial"/>
          <w:sz w:val="24"/>
          <w:szCs w:val="24"/>
        </w:rPr>
        <w:t>“</w:t>
      </w:r>
      <w:r w:rsidR="00E634F0" w:rsidRPr="00E26899">
        <w:rPr>
          <w:rFonts w:ascii="Arial" w:hAnsi="Arial" w:cs="Arial"/>
          <w:sz w:val="24"/>
          <w:szCs w:val="24"/>
        </w:rPr>
        <w:t>tigela</w:t>
      </w:r>
      <w:r w:rsidRPr="00E26899">
        <w:rPr>
          <w:rFonts w:ascii="Arial" w:hAnsi="Arial" w:cs="Arial"/>
          <w:sz w:val="24"/>
          <w:szCs w:val="24"/>
        </w:rPr>
        <w:t>”</w:t>
      </w:r>
      <w:r w:rsidR="00E634F0" w:rsidRPr="00E26899">
        <w:rPr>
          <w:rFonts w:ascii="Arial" w:hAnsi="Arial" w:cs="Arial"/>
          <w:sz w:val="24"/>
          <w:szCs w:val="24"/>
        </w:rPr>
        <w:t xml:space="preserve"> não estavam disponíveis nas tabelas de referências, </w:t>
      </w:r>
      <w:r w:rsidR="002E7A9A" w:rsidRPr="00E26899">
        <w:rPr>
          <w:rFonts w:ascii="Arial" w:hAnsi="Arial" w:cs="Arial"/>
          <w:sz w:val="24"/>
          <w:szCs w:val="24"/>
        </w:rPr>
        <w:t xml:space="preserve">considerou-se a gramatura com base nos utensílios </w:t>
      </w:r>
      <w:r w:rsidR="00F7381E" w:rsidRPr="00E26899">
        <w:rPr>
          <w:rFonts w:ascii="Arial" w:hAnsi="Arial" w:cs="Arial"/>
          <w:sz w:val="24"/>
          <w:szCs w:val="24"/>
        </w:rPr>
        <w:t xml:space="preserve">domésticos </w:t>
      </w:r>
      <w:r w:rsidR="00E53673" w:rsidRPr="00E26899">
        <w:rPr>
          <w:rFonts w:ascii="Arial" w:hAnsi="Arial" w:cs="Arial"/>
          <w:sz w:val="24"/>
          <w:szCs w:val="24"/>
        </w:rPr>
        <w:t>citados</w:t>
      </w:r>
      <w:r w:rsidR="002E7A9A" w:rsidRPr="00E26899">
        <w:rPr>
          <w:rFonts w:ascii="Arial" w:hAnsi="Arial" w:cs="Arial"/>
          <w:sz w:val="24"/>
          <w:szCs w:val="24"/>
        </w:rPr>
        <w:t xml:space="preserve">. </w:t>
      </w:r>
      <w:r w:rsidR="00E634F0" w:rsidRPr="00E26899">
        <w:rPr>
          <w:rFonts w:ascii="Arial" w:hAnsi="Arial" w:cs="Arial"/>
          <w:sz w:val="24"/>
          <w:szCs w:val="24"/>
        </w:rPr>
        <w:t>E</w:t>
      </w:r>
      <w:r w:rsidR="00E53673" w:rsidRPr="00E26899">
        <w:rPr>
          <w:rFonts w:ascii="Arial" w:hAnsi="Arial" w:cs="Arial"/>
          <w:sz w:val="24"/>
          <w:szCs w:val="24"/>
        </w:rPr>
        <w:t xml:space="preserve">stabeleceu-se </w:t>
      </w:r>
      <w:r w:rsidR="00E634F0" w:rsidRPr="00E26899">
        <w:rPr>
          <w:rFonts w:ascii="Arial" w:hAnsi="Arial" w:cs="Arial"/>
          <w:sz w:val="24"/>
          <w:szCs w:val="24"/>
        </w:rPr>
        <w:t xml:space="preserve">que o equivalente a essas medidas seriam: </w:t>
      </w:r>
      <w:r w:rsidR="00E53673" w:rsidRPr="00E26899">
        <w:rPr>
          <w:rFonts w:ascii="Arial" w:hAnsi="Arial" w:cs="Arial"/>
          <w:sz w:val="24"/>
          <w:szCs w:val="24"/>
        </w:rPr>
        <w:t>2 conchas médias</w:t>
      </w:r>
      <w:r w:rsidR="00E634F0" w:rsidRPr="00E26899">
        <w:rPr>
          <w:rFonts w:ascii="Arial" w:hAnsi="Arial" w:cs="Arial"/>
          <w:sz w:val="24"/>
          <w:szCs w:val="24"/>
        </w:rPr>
        <w:t>,</w:t>
      </w:r>
      <w:r w:rsidR="00E53673" w:rsidRPr="00E26899">
        <w:rPr>
          <w:rFonts w:ascii="Arial" w:hAnsi="Arial" w:cs="Arial"/>
          <w:sz w:val="24"/>
          <w:szCs w:val="24"/>
        </w:rPr>
        <w:t xml:space="preserve"> 4 colheres de servir de sopa</w:t>
      </w:r>
      <w:r w:rsidR="00E634F0" w:rsidRPr="00E26899">
        <w:rPr>
          <w:rFonts w:ascii="Arial" w:hAnsi="Arial" w:cs="Arial"/>
          <w:sz w:val="24"/>
          <w:szCs w:val="24"/>
        </w:rPr>
        <w:t xml:space="preserve">, </w:t>
      </w:r>
      <w:r w:rsidR="00E53673" w:rsidRPr="00E26899">
        <w:rPr>
          <w:rFonts w:ascii="Arial" w:hAnsi="Arial" w:cs="Arial"/>
          <w:sz w:val="24"/>
          <w:szCs w:val="24"/>
        </w:rPr>
        <w:t>prato fundo raso</w:t>
      </w:r>
      <w:r w:rsidR="00E634F0" w:rsidRPr="00E26899">
        <w:rPr>
          <w:rFonts w:ascii="Arial" w:hAnsi="Arial" w:cs="Arial"/>
          <w:sz w:val="24"/>
          <w:szCs w:val="24"/>
        </w:rPr>
        <w:t xml:space="preserve">, </w:t>
      </w:r>
      <w:r w:rsidR="00E53673" w:rsidRPr="00E26899">
        <w:rPr>
          <w:rFonts w:ascii="Arial" w:hAnsi="Arial" w:cs="Arial"/>
          <w:sz w:val="24"/>
          <w:szCs w:val="24"/>
        </w:rPr>
        <w:t>prato raso cheio</w:t>
      </w:r>
      <w:r w:rsidR="00E634F0" w:rsidRPr="00E26899">
        <w:rPr>
          <w:rFonts w:ascii="Arial" w:hAnsi="Arial" w:cs="Arial"/>
          <w:sz w:val="24"/>
          <w:szCs w:val="24"/>
        </w:rPr>
        <w:t>,</w:t>
      </w:r>
      <w:r w:rsidR="00E53673" w:rsidRPr="00E26899">
        <w:rPr>
          <w:rFonts w:ascii="Arial" w:hAnsi="Arial" w:cs="Arial"/>
          <w:sz w:val="24"/>
          <w:szCs w:val="24"/>
        </w:rPr>
        <w:t xml:space="preserve"> 2 escumadeiras</w:t>
      </w:r>
      <w:r w:rsidR="00E634F0" w:rsidRPr="00E26899">
        <w:rPr>
          <w:rFonts w:ascii="Arial" w:hAnsi="Arial" w:cs="Arial"/>
          <w:sz w:val="24"/>
          <w:szCs w:val="24"/>
        </w:rPr>
        <w:t>,</w:t>
      </w:r>
      <w:r w:rsidR="00E53673" w:rsidRPr="00E26899">
        <w:rPr>
          <w:rFonts w:ascii="Arial" w:hAnsi="Arial" w:cs="Arial"/>
          <w:sz w:val="24"/>
          <w:szCs w:val="24"/>
        </w:rPr>
        <w:t xml:space="preserve"> 2 colheres de </w:t>
      </w:r>
      <w:r w:rsidR="00E634F0" w:rsidRPr="00E26899">
        <w:rPr>
          <w:rFonts w:ascii="Arial" w:hAnsi="Arial" w:cs="Arial"/>
          <w:sz w:val="24"/>
          <w:szCs w:val="24"/>
        </w:rPr>
        <w:t>a</w:t>
      </w:r>
      <w:r w:rsidR="00E53673" w:rsidRPr="00E26899">
        <w:rPr>
          <w:rFonts w:ascii="Arial" w:hAnsi="Arial" w:cs="Arial"/>
          <w:sz w:val="24"/>
          <w:szCs w:val="24"/>
        </w:rPr>
        <w:t>rro</w:t>
      </w:r>
      <w:r w:rsidR="00E634F0" w:rsidRPr="00E26899">
        <w:rPr>
          <w:rFonts w:ascii="Arial" w:hAnsi="Arial" w:cs="Arial"/>
          <w:sz w:val="24"/>
          <w:szCs w:val="24"/>
        </w:rPr>
        <w:t>z,</w:t>
      </w:r>
      <w:r w:rsidR="00E53673" w:rsidRPr="00E26899">
        <w:rPr>
          <w:rFonts w:ascii="Arial" w:hAnsi="Arial" w:cs="Arial"/>
          <w:sz w:val="24"/>
          <w:szCs w:val="24"/>
        </w:rPr>
        <w:t xml:space="preserve"> pacote pequeno ou punhado. </w:t>
      </w:r>
      <w:r w:rsidR="00E634F0" w:rsidRPr="00E26899">
        <w:rPr>
          <w:rFonts w:ascii="Arial" w:hAnsi="Arial" w:cs="Arial"/>
          <w:sz w:val="24"/>
          <w:szCs w:val="24"/>
        </w:rPr>
        <w:t>Especificamente, pa</w:t>
      </w:r>
      <w:r w:rsidR="00E53673" w:rsidRPr="00E26899">
        <w:rPr>
          <w:rFonts w:ascii="Arial" w:hAnsi="Arial" w:cs="Arial"/>
          <w:sz w:val="24"/>
          <w:szCs w:val="24"/>
        </w:rPr>
        <w:t>ra os alimentos</w:t>
      </w:r>
      <w:r w:rsidR="00E02082" w:rsidRPr="00E26899">
        <w:rPr>
          <w:rFonts w:ascii="Arial" w:hAnsi="Arial" w:cs="Arial"/>
          <w:sz w:val="24"/>
          <w:szCs w:val="24"/>
        </w:rPr>
        <w:t xml:space="preserve"> mingau, </w:t>
      </w:r>
      <w:proofErr w:type="spellStart"/>
      <w:r w:rsidR="00E02082" w:rsidRPr="00E26899">
        <w:rPr>
          <w:rFonts w:ascii="Arial" w:hAnsi="Arial" w:cs="Arial"/>
          <w:sz w:val="24"/>
          <w:szCs w:val="24"/>
        </w:rPr>
        <w:t>sucrilhos</w:t>
      </w:r>
      <w:proofErr w:type="spellEnd"/>
      <w:r w:rsidR="00E02082" w:rsidRPr="00E26899">
        <w:rPr>
          <w:rFonts w:ascii="Arial" w:hAnsi="Arial" w:cs="Arial"/>
          <w:sz w:val="24"/>
          <w:szCs w:val="24"/>
        </w:rPr>
        <w:t xml:space="preserve"> de milho e cereal matinal de milho </w:t>
      </w:r>
      <w:r w:rsidR="00E634F0" w:rsidRPr="00E26899">
        <w:rPr>
          <w:rFonts w:ascii="Arial" w:hAnsi="Arial" w:cs="Arial"/>
          <w:sz w:val="24"/>
          <w:szCs w:val="24"/>
        </w:rPr>
        <w:t xml:space="preserve">em </w:t>
      </w:r>
      <w:r w:rsidR="00E02082" w:rsidRPr="00E26899">
        <w:rPr>
          <w:rFonts w:ascii="Arial" w:hAnsi="Arial" w:cs="Arial"/>
          <w:sz w:val="24"/>
          <w:szCs w:val="24"/>
        </w:rPr>
        <w:t>flocos a medida “caneca” foi substituída por “copo duplo cheio” e</w:t>
      </w:r>
      <w:r w:rsidRPr="00E26899">
        <w:rPr>
          <w:rFonts w:ascii="Arial" w:hAnsi="Arial" w:cs="Arial"/>
          <w:sz w:val="24"/>
          <w:szCs w:val="24"/>
        </w:rPr>
        <w:t>,</w:t>
      </w:r>
      <w:r w:rsidR="00E02082" w:rsidRPr="00E26899">
        <w:rPr>
          <w:rFonts w:ascii="Arial" w:hAnsi="Arial" w:cs="Arial"/>
          <w:sz w:val="24"/>
          <w:szCs w:val="24"/>
        </w:rPr>
        <w:t xml:space="preserve"> as medidas “cumbuca” e “tigela” do alimento mingau </w:t>
      </w:r>
      <w:r w:rsidRPr="00E26899">
        <w:rPr>
          <w:rFonts w:ascii="Arial" w:hAnsi="Arial" w:cs="Arial"/>
          <w:sz w:val="24"/>
          <w:szCs w:val="24"/>
        </w:rPr>
        <w:t xml:space="preserve">e </w:t>
      </w:r>
      <w:r w:rsidR="00E02082" w:rsidRPr="00E26899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E02082" w:rsidRPr="00E26899">
        <w:rPr>
          <w:rFonts w:ascii="Arial" w:hAnsi="Arial" w:cs="Arial"/>
          <w:sz w:val="24"/>
          <w:szCs w:val="24"/>
        </w:rPr>
        <w:t>sucrilhos</w:t>
      </w:r>
      <w:proofErr w:type="spellEnd"/>
      <w:r w:rsidR="00E02082" w:rsidRPr="00E26899">
        <w:rPr>
          <w:rFonts w:ascii="Arial" w:hAnsi="Arial" w:cs="Arial"/>
          <w:sz w:val="24"/>
          <w:szCs w:val="24"/>
        </w:rPr>
        <w:t xml:space="preserve"> de milho e cereal matinal de milho </w:t>
      </w:r>
      <w:r w:rsidRPr="00E26899">
        <w:rPr>
          <w:rFonts w:ascii="Arial" w:hAnsi="Arial" w:cs="Arial"/>
          <w:sz w:val="24"/>
          <w:szCs w:val="24"/>
        </w:rPr>
        <w:t xml:space="preserve">em </w:t>
      </w:r>
      <w:r w:rsidR="00E02082" w:rsidRPr="00E26899">
        <w:rPr>
          <w:rFonts w:ascii="Arial" w:hAnsi="Arial" w:cs="Arial"/>
          <w:sz w:val="24"/>
          <w:szCs w:val="24"/>
        </w:rPr>
        <w:t>flocos</w:t>
      </w:r>
      <w:r w:rsidRPr="00E26899">
        <w:rPr>
          <w:rFonts w:ascii="Arial" w:hAnsi="Arial" w:cs="Arial"/>
          <w:sz w:val="24"/>
          <w:szCs w:val="24"/>
        </w:rPr>
        <w:t>,</w:t>
      </w:r>
      <w:r w:rsidR="00E02082" w:rsidRPr="00E26899">
        <w:rPr>
          <w:rFonts w:ascii="Arial" w:hAnsi="Arial" w:cs="Arial"/>
          <w:sz w:val="24"/>
          <w:szCs w:val="24"/>
        </w:rPr>
        <w:t xml:space="preserve"> </w:t>
      </w:r>
      <w:r w:rsidRPr="00E26899">
        <w:rPr>
          <w:rFonts w:ascii="Arial" w:hAnsi="Arial" w:cs="Arial"/>
          <w:sz w:val="24"/>
          <w:szCs w:val="24"/>
        </w:rPr>
        <w:t xml:space="preserve">foram substituídas, respectivamente, por “prato raso” e </w:t>
      </w:r>
      <w:r w:rsidR="00E02082" w:rsidRPr="00E26899">
        <w:rPr>
          <w:rFonts w:ascii="Arial" w:hAnsi="Arial" w:cs="Arial"/>
          <w:sz w:val="24"/>
          <w:szCs w:val="24"/>
        </w:rPr>
        <w:t>“xícara”. Para as sementes, considerou-se “cumbuca” como 2 colheres de sopa</w:t>
      </w:r>
      <w:r w:rsidRPr="00E26899">
        <w:rPr>
          <w:rFonts w:ascii="Arial" w:hAnsi="Arial" w:cs="Arial"/>
          <w:sz w:val="24"/>
          <w:szCs w:val="24"/>
        </w:rPr>
        <w:t>.</w:t>
      </w:r>
    </w:p>
    <w:p w14:paraId="4CA9E881" w14:textId="34F8FE29" w:rsidR="00E634F0" w:rsidRPr="00E53673" w:rsidRDefault="00E634F0" w:rsidP="00E634F0">
      <w:pPr>
        <w:jc w:val="both"/>
        <w:rPr>
          <w:rFonts w:ascii="Arial" w:hAnsi="Arial" w:cs="Arial"/>
          <w:sz w:val="24"/>
          <w:szCs w:val="24"/>
        </w:rPr>
      </w:pPr>
      <w:r w:rsidRPr="00E26899">
        <w:rPr>
          <w:rFonts w:ascii="Arial" w:hAnsi="Arial" w:cs="Arial"/>
          <w:sz w:val="24"/>
          <w:szCs w:val="24"/>
        </w:rPr>
        <w:t xml:space="preserve">As medidas </w:t>
      </w:r>
      <w:r w:rsidR="00BA6474" w:rsidRPr="00E26899">
        <w:rPr>
          <w:rFonts w:ascii="Arial" w:hAnsi="Arial" w:cs="Arial"/>
          <w:sz w:val="24"/>
          <w:szCs w:val="24"/>
        </w:rPr>
        <w:t>“fatia”, “pedaço” e “pedaço médio” foram consideradas equivalentes. Para o alimento batata inglesa, considerou-se equivalentes as medidas da “fatia”, “rodela” e “pedaço”.</w:t>
      </w:r>
    </w:p>
    <w:p w14:paraId="40179C9B" w14:textId="77777777" w:rsidR="00BA6474" w:rsidRDefault="00BA6474" w:rsidP="00BF24B5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C47FF8" w14:textId="10C4F1AE" w:rsidR="00BF24B5" w:rsidRPr="00316928" w:rsidRDefault="00BF24B5" w:rsidP="00BF24B5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Todas as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 xml:space="preserve"> adaptações </w:t>
      </w:r>
      <w:r>
        <w:rPr>
          <w:rFonts w:ascii="Arial" w:eastAsia="Times New Roman" w:hAnsi="Arial" w:cs="Arial"/>
          <w:sz w:val="24"/>
          <w:szCs w:val="24"/>
          <w:lang w:eastAsia="pt-BR"/>
        </w:rPr>
        <w:t>e considerações r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 xml:space="preserve">ealizadas </w:t>
      </w:r>
      <w:r>
        <w:rPr>
          <w:rFonts w:ascii="Arial" w:eastAsia="Times New Roman" w:hAnsi="Arial" w:cs="Arial"/>
          <w:sz w:val="24"/>
          <w:szCs w:val="24"/>
          <w:lang w:eastAsia="pt-BR"/>
        </w:rPr>
        <w:t>para itens ou preparações dos a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limentos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estão descritas na tabela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incluindo 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as medidas que serviram de referência para as medidas citadas na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24B5">
        <w:rPr>
          <w:rFonts w:ascii="Arial" w:eastAsia="Times New Roman" w:hAnsi="Arial" w:cs="Arial"/>
          <w:sz w:val="24"/>
          <w:szCs w:val="24"/>
          <w:lang w:eastAsia="pt-BR"/>
        </w:rPr>
        <w:t>pesquisa.</w:t>
      </w:r>
    </w:p>
    <w:p w14:paraId="036D07C9" w14:textId="77777777" w:rsidR="00805EEA" w:rsidRDefault="00805EEA" w:rsidP="006843F2">
      <w:pPr>
        <w:jc w:val="both"/>
        <w:rPr>
          <w:rFonts w:ascii="Arial" w:hAnsi="Arial" w:cs="Arial"/>
          <w:sz w:val="24"/>
          <w:szCs w:val="24"/>
        </w:rPr>
      </w:pPr>
    </w:p>
    <w:p w14:paraId="718665DC" w14:textId="06F786A7" w:rsidR="00BF24B5" w:rsidRDefault="00BF24B5" w:rsidP="006843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Etapa 5</w:t>
      </w:r>
      <w:r w:rsidRPr="00DC7AF9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Determinação da medida padrão</w:t>
      </w:r>
    </w:p>
    <w:p w14:paraId="2451E6BD" w14:textId="77777777" w:rsidR="002912CF" w:rsidRDefault="0016441C" w:rsidP="0016441C">
      <w:pPr>
        <w:jc w:val="both"/>
        <w:rPr>
          <w:rFonts w:ascii="Arial" w:hAnsi="Arial" w:cs="Arial"/>
          <w:sz w:val="24"/>
          <w:szCs w:val="24"/>
        </w:rPr>
      </w:pPr>
      <w:r w:rsidRPr="0016441C">
        <w:rPr>
          <w:rFonts w:ascii="Arial" w:hAnsi="Arial" w:cs="Arial"/>
          <w:sz w:val="24"/>
          <w:szCs w:val="24"/>
        </w:rPr>
        <w:t xml:space="preserve">Semelhante à POF 2008-2009, </w:t>
      </w:r>
      <w:r>
        <w:rPr>
          <w:rFonts w:ascii="Arial" w:hAnsi="Arial" w:cs="Arial"/>
          <w:sz w:val="24"/>
          <w:szCs w:val="24"/>
        </w:rPr>
        <w:t>p</w:t>
      </w:r>
      <w:r w:rsidRPr="0016441C">
        <w:rPr>
          <w:rFonts w:ascii="Arial" w:hAnsi="Arial" w:cs="Arial"/>
          <w:sz w:val="24"/>
          <w:szCs w:val="24"/>
        </w:rPr>
        <w:t>ara cada alimento foi definida uma unidade de medida</w:t>
      </w:r>
      <w:r>
        <w:rPr>
          <w:rFonts w:ascii="Arial" w:hAnsi="Arial" w:cs="Arial"/>
          <w:sz w:val="24"/>
          <w:szCs w:val="24"/>
        </w:rPr>
        <w:t xml:space="preserve"> </w:t>
      </w:r>
      <w:r w:rsidRPr="0016441C">
        <w:rPr>
          <w:rFonts w:ascii="Arial" w:hAnsi="Arial" w:cs="Arial"/>
          <w:sz w:val="24"/>
          <w:szCs w:val="24"/>
        </w:rPr>
        <w:t>padrão a ser considerada naquelas situações onde os registros alimentares foram</w:t>
      </w:r>
      <w:r>
        <w:rPr>
          <w:rFonts w:ascii="Arial" w:hAnsi="Arial" w:cs="Arial"/>
          <w:sz w:val="24"/>
          <w:szCs w:val="24"/>
        </w:rPr>
        <w:t xml:space="preserve"> </w:t>
      </w:r>
      <w:r w:rsidRPr="0016441C">
        <w:rPr>
          <w:rFonts w:ascii="Arial" w:hAnsi="Arial" w:cs="Arial"/>
          <w:sz w:val="24"/>
          <w:szCs w:val="24"/>
        </w:rPr>
        <w:t xml:space="preserve">feitos com unidades de medidas caseiras pouco usuais. </w:t>
      </w:r>
    </w:p>
    <w:p w14:paraId="171752AE" w14:textId="616AFAF1" w:rsidR="002912CF" w:rsidRDefault="0016441C" w:rsidP="0016441C">
      <w:pPr>
        <w:jc w:val="both"/>
        <w:rPr>
          <w:rFonts w:ascii="Arial" w:hAnsi="Arial" w:cs="Arial"/>
          <w:sz w:val="24"/>
          <w:szCs w:val="24"/>
        </w:rPr>
      </w:pPr>
      <w:r w:rsidRPr="0016441C">
        <w:rPr>
          <w:rFonts w:ascii="Arial" w:hAnsi="Arial" w:cs="Arial"/>
          <w:sz w:val="24"/>
          <w:szCs w:val="24"/>
        </w:rPr>
        <w:t>Para a definição da medida</w:t>
      </w:r>
      <w:r>
        <w:rPr>
          <w:rFonts w:ascii="Arial" w:hAnsi="Arial" w:cs="Arial"/>
          <w:sz w:val="24"/>
          <w:szCs w:val="24"/>
        </w:rPr>
        <w:t xml:space="preserve"> </w:t>
      </w:r>
      <w:r w:rsidRPr="0016441C">
        <w:rPr>
          <w:rFonts w:ascii="Arial" w:hAnsi="Arial" w:cs="Arial"/>
          <w:sz w:val="24"/>
          <w:szCs w:val="24"/>
        </w:rPr>
        <w:t>padrão,</w:t>
      </w:r>
      <w:r>
        <w:rPr>
          <w:rFonts w:ascii="Arial" w:hAnsi="Arial" w:cs="Arial"/>
          <w:sz w:val="24"/>
          <w:szCs w:val="24"/>
        </w:rPr>
        <w:t xml:space="preserve"> </w:t>
      </w:r>
      <w:r w:rsidRPr="0016441C">
        <w:rPr>
          <w:rFonts w:ascii="Arial" w:hAnsi="Arial" w:cs="Arial"/>
          <w:sz w:val="24"/>
          <w:szCs w:val="24"/>
        </w:rPr>
        <w:t>identific</w:t>
      </w:r>
      <w:r>
        <w:rPr>
          <w:rFonts w:ascii="Arial" w:hAnsi="Arial" w:cs="Arial"/>
          <w:sz w:val="24"/>
          <w:szCs w:val="24"/>
        </w:rPr>
        <w:t>ou-se</w:t>
      </w:r>
      <w:r w:rsidRPr="0016441C">
        <w:rPr>
          <w:rFonts w:ascii="Arial" w:hAnsi="Arial" w:cs="Arial"/>
          <w:sz w:val="24"/>
          <w:szCs w:val="24"/>
        </w:rPr>
        <w:t xml:space="preserve"> a medida referida com maior frequência</w:t>
      </w:r>
      <w:r>
        <w:rPr>
          <w:rFonts w:ascii="Arial" w:hAnsi="Arial" w:cs="Arial"/>
          <w:sz w:val="24"/>
          <w:szCs w:val="24"/>
        </w:rPr>
        <w:t xml:space="preserve"> de citação </w:t>
      </w:r>
      <w:r w:rsidRPr="0016441C">
        <w:rPr>
          <w:rFonts w:ascii="Arial" w:hAnsi="Arial" w:cs="Arial"/>
          <w:sz w:val="24"/>
          <w:szCs w:val="24"/>
        </w:rPr>
        <w:t>para cada</w:t>
      </w:r>
      <w:r>
        <w:rPr>
          <w:rFonts w:ascii="Arial" w:hAnsi="Arial" w:cs="Arial"/>
          <w:sz w:val="24"/>
          <w:szCs w:val="24"/>
        </w:rPr>
        <w:t xml:space="preserve"> </w:t>
      </w:r>
      <w:r w:rsidRPr="0016441C">
        <w:rPr>
          <w:rFonts w:ascii="Arial" w:hAnsi="Arial" w:cs="Arial"/>
          <w:sz w:val="24"/>
          <w:szCs w:val="24"/>
        </w:rPr>
        <w:t xml:space="preserve">alimento </w:t>
      </w:r>
      <w:r w:rsidR="002912CF">
        <w:rPr>
          <w:rFonts w:ascii="Arial" w:hAnsi="Arial" w:cs="Arial"/>
          <w:sz w:val="24"/>
          <w:szCs w:val="24"/>
        </w:rPr>
        <w:t>No caso de</w:t>
      </w:r>
      <w:r>
        <w:rPr>
          <w:rFonts w:ascii="Arial" w:hAnsi="Arial" w:cs="Arial"/>
          <w:sz w:val="24"/>
          <w:szCs w:val="24"/>
        </w:rPr>
        <w:t xml:space="preserve"> alimentos novos, inseridos na POF atual, e os que não tinham sido citados na POF anterior, considerou-se a medida de maior frequência de citação para ser a medida </w:t>
      </w:r>
      <w:r>
        <w:rPr>
          <w:rFonts w:ascii="Arial" w:hAnsi="Arial" w:cs="Arial"/>
          <w:sz w:val="24"/>
          <w:szCs w:val="24"/>
        </w:rPr>
        <w:lastRenderedPageBreak/>
        <w:t xml:space="preserve">padrão. </w:t>
      </w:r>
      <w:r w:rsidR="00E2689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ara as bebidas optou-se por considerar o copo médio como a medida padrão para todas elas. </w:t>
      </w:r>
    </w:p>
    <w:p w14:paraId="705B3851" w14:textId="74CBA943" w:rsidR="00BF24B5" w:rsidRDefault="0016441C" w:rsidP="0016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a quantidade consumida nas situações em que foram utilizadas a medida padrão foi imputada a partir da quantidade citada com maior frequência para a medida caseira considerada padrão.  </w:t>
      </w:r>
    </w:p>
    <w:p w14:paraId="39F49FF3" w14:textId="154EADD7" w:rsidR="00A368F7" w:rsidRDefault="00A368F7" w:rsidP="00992626">
      <w:pPr>
        <w:rPr>
          <w:rFonts w:ascii="Arial" w:hAnsi="Arial" w:cs="Arial"/>
          <w:sz w:val="24"/>
          <w:szCs w:val="24"/>
        </w:rPr>
      </w:pPr>
    </w:p>
    <w:sectPr w:rsidR="00A36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D2C8A" w16cex:dateUtc="2020-08-11T17:4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13" w:csb1="00000000"/>
  </w:font>
  <w:font w:name="Univers-Identity-H">
    <w:altName w:val="Univers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  <w:font w:name="Univers-Oblique">
    <w:altName w:val="Univers"/>
    <w:panose1 w:val="00000000000000000000"/>
    <w:charset w:val="00"/>
    <w:family w:val="roman"/>
    <w:notTrueType/>
    <w:pitch w:val="default"/>
  </w:font>
  <w:font w:name="Univer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FA7"/>
    <w:rsid w:val="00025671"/>
    <w:rsid w:val="000552AA"/>
    <w:rsid w:val="000776F3"/>
    <w:rsid w:val="00084A68"/>
    <w:rsid w:val="000E1836"/>
    <w:rsid w:val="001157E4"/>
    <w:rsid w:val="00115C4A"/>
    <w:rsid w:val="00126026"/>
    <w:rsid w:val="001307D4"/>
    <w:rsid w:val="001367B3"/>
    <w:rsid w:val="00155307"/>
    <w:rsid w:val="0016441C"/>
    <w:rsid w:val="001E09FB"/>
    <w:rsid w:val="00203930"/>
    <w:rsid w:val="00210770"/>
    <w:rsid w:val="002148CC"/>
    <w:rsid w:val="00244D8F"/>
    <w:rsid w:val="0026750B"/>
    <w:rsid w:val="00271CAE"/>
    <w:rsid w:val="00290742"/>
    <w:rsid w:val="002912CF"/>
    <w:rsid w:val="00294FAB"/>
    <w:rsid w:val="002A1BB0"/>
    <w:rsid w:val="002A2E66"/>
    <w:rsid w:val="002A417A"/>
    <w:rsid w:val="002B27C0"/>
    <w:rsid w:val="002E4A95"/>
    <w:rsid w:val="002E7A9A"/>
    <w:rsid w:val="00316928"/>
    <w:rsid w:val="0032669B"/>
    <w:rsid w:val="003273F3"/>
    <w:rsid w:val="00357848"/>
    <w:rsid w:val="00373365"/>
    <w:rsid w:val="00382518"/>
    <w:rsid w:val="003C5684"/>
    <w:rsid w:val="003D7947"/>
    <w:rsid w:val="003E6864"/>
    <w:rsid w:val="00412181"/>
    <w:rsid w:val="00422C98"/>
    <w:rsid w:val="00425951"/>
    <w:rsid w:val="00444C62"/>
    <w:rsid w:val="00452E6C"/>
    <w:rsid w:val="00457D3C"/>
    <w:rsid w:val="00472BFF"/>
    <w:rsid w:val="004A0963"/>
    <w:rsid w:val="004B21B0"/>
    <w:rsid w:val="004D3C6F"/>
    <w:rsid w:val="0053699D"/>
    <w:rsid w:val="00541C06"/>
    <w:rsid w:val="00567523"/>
    <w:rsid w:val="00570617"/>
    <w:rsid w:val="00575CB9"/>
    <w:rsid w:val="00623E45"/>
    <w:rsid w:val="00642144"/>
    <w:rsid w:val="0065301E"/>
    <w:rsid w:val="00655496"/>
    <w:rsid w:val="00660430"/>
    <w:rsid w:val="006736DC"/>
    <w:rsid w:val="006820F0"/>
    <w:rsid w:val="006843F2"/>
    <w:rsid w:val="006A11D7"/>
    <w:rsid w:val="006C04CF"/>
    <w:rsid w:val="006C0EC4"/>
    <w:rsid w:val="006D428E"/>
    <w:rsid w:val="00706002"/>
    <w:rsid w:val="00707F17"/>
    <w:rsid w:val="0071279A"/>
    <w:rsid w:val="0072161F"/>
    <w:rsid w:val="00732C29"/>
    <w:rsid w:val="00777DA8"/>
    <w:rsid w:val="007C1D08"/>
    <w:rsid w:val="00805EEA"/>
    <w:rsid w:val="00827B69"/>
    <w:rsid w:val="008754D7"/>
    <w:rsid w:val="00886A03"/>
    <w:rsid w:val="008E4E9C"/>
    <w:rsid w:val="00905A84"/>
    <w:rsid w:val="0091510B"/>
    <w:rsid w:val="00916240"/>
    <w:rsid w:val="0092517C"/>
    <w:rsid w:val="00955BDB"/>
    <w:rsid w:val="00972EC1"/>
    <w:rsid w:val="00975197"/>
    <w:rsid w:val="00975446"/>
    <w:rsid w:val="00986184"/>
    <w:rsid w:val="00992626"/>
    <w:rsid w:val="009D2531"/>
    <w:rsid w:val="009D76CF"/>
    <w:rsid w:val="009E4288"/>
    <w:rsid w:val="009F7AE2"/>
    <w:rsid w:val="00A15216"/>
    <w:rsid w:val="00A34ECE"/>
    <w:rsid w:val="00A368F7"/>
    <w:rsid w:val="00A60745"/>
    <w:rsid w:val="00A6257C"/>
    <w:rsid w:val="00A63998"/>
    <w:rsid w:val="00A6763E"/>
    <w:rsid w:val="00AB0E40"/>
    <w:rsid w:val="00AE37AD"/>
    <w:rsid w:val="00AE7F60"/>
    <w:rsid w:val="00AF71D7"/>
    <w:rsid w:val="00B1021A"/>
    <w:rsid w:val="00B36538"/>
    <w:rsid w:val="00B522BC"/>
    <w:rsid w:val="00B82FA7"/>
    <w:rsid w:val="00BA095C"/>
    <w:rsid w:val="00BA6474"/>
    <w:rsid w:val="00BB5B90"/>
    <w:rsid w:val="00BE149D"/>
    <w:rsid w:val="00BF24B5"/>
    <w:rsid w:val="00BF5AD1"/>
    <w:rsid w:val="00BF6DBE"/>
    <w:rsid w:val="00C15E2F"/>
    <w:rsid w:val="00C5520F"/>
    <w:rsid w:val="00C731F9"/>
    <w:rsid w:val="00C8076E"/>
    <w:rsid w:val="00CD299D"/>
    <w:rsid w:val="00CD5D77"/>
    <w:rsid w:val="00D05E51"/>
    <w:rsid w:val="00D23C64"/>
    <w:rsid w:val="00D61763"/>
    <w:rsid w:val="00D91F09"/>
    <w:rsid w:val="00DC7AF9"/>
    <w:rsid w:val="00DF33FC"/>
    <w:rsid w:val="00E02082"/>
    <w:rsid w:val="00E241A2"/>
    <w:rsid w:val="00E26899"/>
    <w:rsid w:val="00E34F66"/>
    <w:rsid w:val="00E53673"/>
    <w:rsid w:val="00E62046"/>
    <w:rsid w:val="00E634F0"/>
    <w:rsid w:val="00E7595F"/>
    <w:rsid w:val="00F17E45"/>
    <w:rsid w:val="00F34879"/>
    <w:rsid w:val="00F41D81"/>
    <w:rsid w:val="00F46DC2"/>
    <w:rsid w:val="00F50DE4"/>
    <w:rsid w:val="00F7381E"/>
    <w:rsid w:val="00F83862"/>
    <w:rsid w:val="00F96FB8"/>
    <w:rsid w:val="00FB0F70"/>
    <w:rsid w:val="00FB2576"/>
    <w:rsid w:val="00FE4C7D"/>
    <w:rsid w:val="00FE61BA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11FB"/>
  <w15:docId w15:val="{2E4CD2FA-9604-4294-BBA0-975B04F1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2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707F17"/>
    <w:rPr>
      <w:rFonts w:ascii="Univers" w:hAnsi="Univers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Fontepargpadro"/>
    <w:rsid w:val="00707F17"/>
    <w:rPr>
      <w:rFonts w:ascii="Univers-Identity-H" w:hAnsi="Univers-Identity-H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Fontepargpadro"/>
    <w:rsid w:val="00707F17"/>
    <w:rPr>
      <w:rFonts w:ascii="MyriadPro-Regular" w:hAnsi="Myriad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41">
    <w:name w:val="fontstyle41"/>
    <w:basedOn w:val="Fontepargpadro"/>
    <w:rsid w:val="00707F17"/>
    <w:rPr>
      <w:rFonts w:ascii="Univers-Oblique" w:hAnsi="Univers-Oblique" w:hint="default"/>
      <w:b w:val="0"/>
      <w:bCs w:val="0"/>
      <w:i/>
      <w:iCs/>
      <w:color w:val="242021"/>
      <w:sz w:val="20"/>
      <w:szCs w:val="20"/>
    </w:rPr>
  </w:style>
  <w:style w:type="character" w:customStyle="1" w:styleId="fontstyle51">
    <w:name w:val="fontstyle51"/>
    <w:basedOn w:val="Fontepargpadro"/>
    <w:rsid w:val="00707F17"/>
    <w:rPr>
      <w:rFonts w:ascii="Univers-Bold" w:hAnsi="Univers-Bold" w:hint="default"/>
      <w:b/>
      <w:bCs/>
      <w:i w:val="0"/>
      <w:iCs w:val="0"/>
      <w:color w:val="242021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A64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64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64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64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647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ortal.revistas.bvs.br/transf.php?xsl=xsl/titles.xsl&amp;xml=http://catserver.bireme.br/cgi-bin/wxis1660.exe/?IsisScript=../cgi-bin/catrevistas/catrevistas.xis%7Cdatabase_name=TITLES%7Clist_type=title%7Ccat_name=ALL%7Cfrom=1%7Ccount=50&amp;lang=pt&amp;comefrom=home&amp;home=false&amp;task=show_magazines&amp;request_made_adv_search=false&amp;lang=pt&amp;show_adv_search=false&amp;help_file=/help_pt.htm&amp;connector=ET&amp;search_exp=Bol.%20Centro%20Pesqui.%20Process.%20Aliment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0B12-A58A-4C89-9114-000EEFC8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1802</Words>
  <Characters>9736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ariston queiroz</dc:creator>
  <cp:lastModifiedBy>Andre Luiz Martins Costa</cp:lastModifiedBy>
  <cp:revision>3</cp:revision>
  <dcterms:created xsi:type="dcterms:W3CDTF">2020-08-13T17:43:00Z</dcterms:created>
  <dcterms:modified xsi:type="dcterms:W3CDTF">2020-08-18T15:06:00Z</dcterms:modified>
</cp:coreProperties>
</file>