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Toc400277878"/>
      <w:bookmarkStart w:id="3" w:name="_Ref274054259"/>
      <w:proofErr w:type="gramStart"/>
      <w:r w:rsidRPr="00937F02">
        <w:t xml:space="preserve">Table </w:t>
      </w:r>
      <w:proofErr w:type="gramEnd"/>
      <w:r w:rsidR="0068282D">
        <w:fldChar w:fldCharType="begin"/>
      </w:r>
      <w:r w:rsidR="0068282D">
        <w:instrText xml:space="preserve"> SEQ Table \* ARABIC </w:instrText>
      </w:r>
      <w:r w:rsidR="0068282D">
        <w:fldChar w:fldCharType="separate"/>
      </w:r>
      <w:r w:rsidR="0068282D">
        <w:rPr>
          <w:noProof/>
        </w:rPr>
        <w:t>1</w:t>
      </w:r>
      <w:r w:rsidR="0068282D">
        <w:rPr>
          <w:noProof/>
        </w:rPr>
        <w:fldChar w:fldCharType="end"/>
      </w:r>
      <w:bookmarkEnd w:id="3"/>
      <w:proofErr w:type="gramStart"/>
      <w:r w:rsidRPr="00937F02">
        <w:t>.</w:t>
      </w:r>
      <w:proofErr w:type="gramEnd"/>
      <w:r w:rsidRPr="00937F02">
        <w:t xml:space="preserve"> Revision History</w:t>
      </w:r>
      <w:bookmarkEnd w:id="2"/>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68282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68282D"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68282D"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68282D"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68282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68282D"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Toc400277879"/>
      <w:bookmarkStart w:id="18" w:name="_Ref274054200"/>
      <w:proofErr w:type="gramStart"/>
      <w:r w:rsidRPr="00937F02">
        <w:t xml:space="preserve">Table </w:t>
      </w:r>
      <w:proofErr w:type="gramEnd"/>
      <w:r w:rsidR="0068282D">
        <w:fldChar w:fldCharType="begin"/>
      </w:r>
      <w:r w:rsidR="0068282D">
        <w:instrText xml:space="preserve"> SEQ Table \* ARABIC </w:instrText>
      </w:r>
      <w:r w:rsidR="0068282D">
        <w:fldChar w:fldCharType="separate"/>
      </w:r>
      <w:r w:rsidR="0068282D">
        <w:rPr>
          <w:noProof/>
        </w:rPr>
        <w:t>2</w:t>
      </w:r>
      <w:r w:rsidR="0068282D">
        <w:rPr>
          <w:noProof/>
        </w:rPr>
        <w:fldChar w:fldCharType="end"/>
      </w:r>
      <w:bookmarkEnd w:id="18"/>
      <w:proofErr w:type="gramStart"/>
      <w:r w:rsidRPr="00937F02">
        <w:t>.</w:t>
      </w:r>
      <w:proofErr w:type="gramEnd"/>
      <w:r w:rsidRPr="00937F02">
        <w:t xml:space="preserve"> Team Information</w:t>
      </w:r>
      <w:bookmarkEnd w:id="17"/>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04"/>
      <w:bookmarkStart w:id="34" w:name="_Toc400277880"/>
      <w:bookmarkStart w:id="35" w:name="_Ref274053213"/>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w:t>
      </w:r>
      <w:r w:rsidR="0068282D">
        <w:rPr>
          <w:noProof/>
        </w:rPr>
        <w:fldChar w:fldCharType="end"/>
      </w:r>
      <w:bookmarkEnd w:id="35"/>
      <w:proofErr w:type="gramStart"/>
      <w:r>
        <w:t>.</w:t>
      </w:r>
      <w:proofErr w:type="gramEnd"/>
      <w:r>
        <w:t xml:space="preserve"> </w:t>
      </w:r>
      <w:bookmarkStart w:id="36" w:name="_Ref274053218"/>
      <w:r>
        <w:t>Items under consideration for the microcontroller</w:t>
      </w:r>
      <w:bookmarkEnd w:id="33"/>
      <w:bookmarkEnd w:id="34"/>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4</w:t>
      </w:r>
      <w:r w:rsidR="0068282D">
        <w:rPr>
          <w:noProof/>
        </w:rPr>
        <w:fldChar w:fldCharType="end"/>
      </w:r>
      <w:proofErr w:type="gramStart"/>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7777777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on table 5 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proofErr w:type="gramStart"/>
      <w:r>
        <w:t xml:space="preserve">Table </w:t>
      </w:r>
      <w:proofErr w:type="gramEnd"/>
      <w:r>
        <w:fldChar w:fldCharType="begin"/>
      </w:r>
      <w:r>
        <w:instrText xml:space="preserve"> SEQ Table \* ARABIC </w:instrText>
      </w:r>
      <w:r>
        <w:fldChar w:fldCharType="separate"/>
      </w:r>
      <w:r>
        <w:rPr>
          <w:noProof/>
        </w:rPr>
        <w:t>5</w:t>
      </w:r>
      <w:r>
        <w:fldChar w:fldCharType="end"/>
      </w:r>
      <w:proofErr w:type="gramStart"/>
      <w:r>
        <w:t>.</w:t>
      </w:r>
      <w:proofErr w:type="gramEnd"/>
      <w:r>
        <w:t xml:space="preserve"> Items under consideration for the sensor</w:t>
      </w:r>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6" w:name="_Toc274055907"/>
      <w:bookmarkStart w:id="47" w:name="_Toc400280071"/>
      <w:r w:rsidRPr="0068282D">
        <w:rPr>
          <w:rFonts w:cs="Times New Roman"/>
          <w:szCs w:val="22"/>
        </w:rPr>
        <w:t>Decision Matrix</w:t>
      </w:r>
      <w:bookmarkEnd w:id="46"/>
      <w:bookmarkEnd w:id="47"/>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Toc400277882"/>
      <w:bookmarkStart w:id="49" w:name="_Ref274054559"/>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6</w:t>
      </w:r>
      <w:r w:rsidR="0068282D">
        <w:rPr>
          <w:noProof/>
        </w:rPr>
        <w:fldChar w:fldCharType="end"/>
      </w:r>
      <w:bookmarkEnd w:id="49"/>
      <w:proofErr w:type="gramStart"/>
      <w:r w:rsidR="007868C8">
        <w:t>.</w:t>
      </w:r>
      <w:proofErr w:type="gramEnd"/>
      <w:r>
        <w:t xml:space="preserve"> Decision matrix for the sensors</w:t>
      </w:r>
      <w:bookmarkEnd w:id="48"/>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0" w:name="_Toc274055908"/>
      <w:bookmarkStart w:id="51" w:name="_Toc400280072"/>
      <w:r w:rsidRPr="00624902">
        <w:rPr>
          <w:rFonts w:cs="Times New Roman"/>
          <w:szCs w:val="22"/>
        </w:rPr>
        <w:lastRenderedPageBreak/>
        <w:t>Justification</w:t>
      </w:r>
      <w:bookmarkEnd w:id="50"/>
      <w:bookmarkEnd w:id="51"/>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430A13">
        <w:tc>
          <w:tcPr>
            <w:tcW w:w="3192" w:type="dxa"/>
            <w:shd w:val="clear" w:color="auto" w:fill="A5A5A5" w:themeFill="accent3"/>
          </w:tcPr>
          <w:p w14:paraId="171E75F6"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430A13">
        <w:tc>
          <w:tcPr>
            <w:tcW w:w="3192" w:type="dxa"/>
          </w:tcPr>
          <w:p w14:paraId="4DB54BEA"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430A13">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430A13">
        <w:tc>
          <w:tcPr>
            <w:tcW w:w="3192" w:type="dxa"/>
          </w:tcPr>
          <w:p w14:paraId="11B7F070"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430A13">
        <w:tc>
          <w:tcPr>
            <w:tcW w:w="3192" w:type="dxa"/>
          </w:tcPr>
          <w:p w14:paraId="7F4DCDAC"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430A13">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430A13">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430A13">
        <w:tc>
          <w:tcPr>
            <w:tcW w:w="3192" w:type="dxa"/>
          </w:tcPr>
          <w:p w14:paraId="152849B6"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430A13">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430A13">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proofErr w:type="gramStart"/>
      <w:r>
        <w:t xml:space="preserve">Table </w:t>
      </w:r>
      <w:proofErr w:type="gramEnd"/>
      <w:r>
        <w:fldChar w:fldCharType="begin"/>
      </w:r>
      <w:r>
        <w:instrText xml:space="preserve"> SEQ Table \* ARABIC </w:instrText>
      </w:r>
      <w:r>
        <w:fldChar w:fldCharType="separate"/>
      </w:r>
      <w:r>
        <w:rPr>
          <w:noProof/>
        </w:rPr>
        <w:t>7</w:t>
      </w:r>
      <w:r>
        <w:rPr>
          <w:noProof/>
        </w:rPr>
        <w:fldChar w:fldCharType="end"/>
      </w:r>
      <w:proofErr w:type="gramStart"/>
      <w:r>
        <w:t>.</w:t>
      </w:r>
      <w:proofErr w:type="gramEnd"/>
      <w:r>
        <w:t xml:space="preserve">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for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77777777"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Pr>
          <w:rFonts w:ascii="Times New Roman" w:hAnsi="Times New Roman" w:cs="Times New Roman"/>
        </w:rPr>
        <w:t xml:space="preserve">Table 8 shows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430A13">
        <w:tc>
          <w:tcPr>
            <w:tcW w:w="3192" w:type="dxa"/>
            <w:shd w:val="clear" w:color="auto" w:fill="A5A5A5" w:themeFill="accent3"/>
          </w:tcPr>
          <w:p w14:paraId="63A635E8"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430A13">
        <w:tc>
          <w:tcPr>
            <w:tcW w:w="3192" w:type="dxa"/>
          </w:tcPr>
          <w:p w14:paraId="4AEB3888" w14:textId="77777777" w:rsidR="0068282D" w:rsidRPr="00392201" w:rsidRDefault="0068282D" w:rsidP="00430A13">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430A13">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9</w:t>
            </w:r>
          </w:p>
        </w:tc>
      </w:tr>
      <w:tr w:rsidR="0068282D" w14:paraId="5D160D9D" w14:textId="77777777" w:rsidTr="00430A13">
        <w:tc>
          <w:tcPr>
            <w:tcW w:w="3192" w:type="dxa"/>
          </w:tcPr>
          <w:p w14:paraId="1F341E6A"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r w:rsidR="0068282D" w14:paraId="62D9006C" w14:textId="77777777" w:rsidTr="00430A13">
        <w:tc>
          <w:tcPr>
            <w:tcW w:w="3192" w:type="dxa"/>
          </w:tcPr>
          <w:p w14:paraId="32152CD5"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r w:rsidR="0068282D" w14:paraId="04670111" w14:textId="77777777" w:rsidTr="00430A13">
        <w:tc>
          <w:tcPr>
            <w:tcW w:w="3192" w:type="dxa"/>
          </w:tcPr>
          <w:p w14:paraId="39F226AC"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proofErr w:type="gramStart"/>
      <w:r>
        <w:t xml:space="preserve">Table </w:t>
      </w:r>
      <w:proofErr w:type="gramEnd"/>
      <w:r>
        <w:fldChar w:fldCharType="begin"/>
      </w:r>
      <w:r>
        <w:instrText xml:space="preserve"> SEQ Table \* ARABIC </w:instrText>
      </w:r>
      <w:r>
        <w:fldChar w:fldCharType="separate"/>
      </w:r>
      <w:r>
        <w:rPr>
          <w:noProof/>
        </w:rPr>
        <w:t>8</w:t>
      </w:r>
      <w:r>
        <w:rPr>
          <w:noProof/>
        </w:rPr>
        <w:fldChar w:fldCharType="end"/>
      </w:r>
      <w:proofErr w:type="gramStart"/>
      <w:r>
        <w:t>.</w:t>
      </w:r>
      <w:proofErr w:type="gramEnd"/>
      <w:r>
        <w:t xml:space="preserve">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77777777" w:rsidR="0068282D" w:rsidRDefault="0068282D" w:rsidP="0068282D">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resolution of the sensors are</w:t>
      </w:r>
      <w:proofErr w:type="gramEnd"/>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proofErr w:type="gramStart"/>
      <w:r>
        <w:t>Tabl</w:t>
      </w:r>
      <w:bookmarkStart w:id="52" w:name="_GoBack"/>
      <w:bookmarkEnd w:id="52"/>
      <w:r>
        <w:t xml:space="preserve">e </w:t>
      </w:r>
      <w:fldSimple w:instr=" SEQ Table \* ARABIC ">
        <w:r>
          <w:rPr>
            <w:noProof/>
          </w:rPr>
          <w:t>9</w:t>
        </w:r>
      </w:fldSimple>
      <w:r>
        <w:t>.</w:t>
      </w:r>
      <w:proofErr w:type="gramEnd"/>
      <w:r>
        <w:t xml:space="preserve">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58" w:name="_Toc400277883"/>
      <w:bookmarkStart w:id="59" w:name="_Ref274054598"/>
      <w:proofErr w:type="gramStart"/>
      <w:r>
        <w:lastRenderedPageBreak/>
        <w:t xml:space="preserve">Table </w:t>
      </w:r>
      <w:proofErr w:type="gramEnd"/>
      <w:r w:rsidR="0068282D">
        <w:fldChar w:fldCharType="begin"/>
      </w:r>
      <w:r w:rsidR="0068282D">
        <w:instrText xml:space="preserve"> SEQ Table \* ARABIC </w:instrText>
      </w:r>
      <w:r w:rsidR="0068282D">
        <w:fldChar w:fldCharType="separate"/>
      </w:r>
      <w:r w:rsidR="0068282D">
        <w:rPr>
          <w:noProof/>
        </w:rPr>
        <w:t>10</w:t>
      </w:r>
      <w:r w:rsidR="0068282D">
        <w:rPr>
          <w:noProof/>
        </w:rPr>
        <w:fldChar w:fldCharType="end"/>
      </w:r>
      <w:bookmarkEnd w:id="59"/>
      <w:proofErr w:type="gramStart"/>
      <w:r>
        <w:t>.</w:t>
      </w:r>
      <w:proofErr w:type="gramEnd"/>
      <w:r>
        <w:t xml:space="preserve"> Items under consideration for the motor</w:t>
      </w:r>
      <w:bookmarkEnd w:id="58"/>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Toc400277884"/>
      <w:bookmarkStart w:id="64" w:name="_Ref40027757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11</w:t>
      </w:r>
      <w:r w:rsidR="0068282D">
        <w:rPr>
          <w:noProof/>
        </w:rPr>
        <w:fldChar w:fldCharType="end"/>
      </w:r>
      <w:bookmarkEnd w:id="64"/>
      <w:proofErr w:type="gramStart"/>
      <w:r>
        <w:t>.</w:t>
      </w:r>
      <w:proofErr w:type="gramEnd"/>
      <w:r>
        <w:t xml:space="preserve"> Decision matrix for the motors</w:t>
      </w:r>
      <w:bookmarkEnd w:id="63"/>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lastRenderedPageBreak/>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Toc400277885"/>
      <w:bookmarkStart w:id="68" w:name="_Ref274054729"/>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12</w:t>
      </w:r>
      <w:r w:rsidR="0068282D">
        <w:rPr>
          <w:noProof/>
        </w:rPr>
        <w:fldChar w:fldCharType="end"/>
      </w:r>
      <w:bookmarkEnd w:id="68"/>
      <w:proofErr w:type="gramStart"/>
      <w:r>
        <w:t>.</w:t>
      </w:r>
      <w:proofErr w:type="gramEnd"/>
      <w:r>
        <w:t xml:space="preserve"> Calculations for the price of the motor</w:t>
      </w:r>
      <w:bookmarkEnd w:id="67"/>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Toc400277886"/>
      <w:bookmarkStart w:id="70" w:name="_Ref274054713"/>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13</w:t>
      </w:r>
      <w:r w:rsidR="0068282D">
        <w:rPr>
          <w:noProof/>
        </w:rPr>
        <w:fldChar w:fldCharType="end"/>
      </w:r>
      <w:bookmarkEnd w:id="70"/>
      <w:proofErr w:type="gramStart"/>
      <w:r>
        <w:t>.</w:t>
      </w:r>
      <w:proofErr w:type="gramEnd"/>
      <w:r>
        <w:t xml:space="preserve"> Calculations for the RPM of the motor</w:t>
      </w:r>
      <w:bookmarkEnd w:id="69"/>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lastRenderedPageBreak/>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Toc400277887"/>
      <w:bookmarkStart w:id="74" w:name="_Ref274054696"/>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14</w:t>
      </w:r>
      <w:r w:rsidR="0068282D">
        <w:rPr>
          <w:noProof/>
        </w:rPr>
        <w:fldChar w:fldCharType="end"/>
      </w:r>
      <w:bookmarkEnd w:id="74"/>
      <w:proofErr w:type="gramStart"/>
      <w:r>
        <w:t>.</w:t>
      </w:r>
      <w:proofErr w:type="gramEnd"/>
      <w:r>
        <w:t xml:space="preserve"> Calculations for the stall torque of the motor</w:t>
      </w:r>
      <w:bookmarkEnd w:id="73"/>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Toc400277888"/>
      <w:bookmarkStart w:id="78" w:name="_Ref274056147"/>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15</w:t>
      </w:r>
      <w:r w:rsidR="0068282D">
        <w:rPr>
          <w:noProof/>
        </w:rPr>
        <w:fldChar w:fldCharType="end"/>
      </w:r>
      <w:bookmarkEnd w:id="78"/>
      <w:proofErr w:type="gramStart"/>
      <w:r>
        <w:t>.</w:t>
      </w:r>
      <w:proofErr w:type="gramEnd"/>
      <w:r>
        <w:t xml:space="preserve"> Calculations for the stall current of the motor</w:t>
      </w:r>
      <w:bookmarkEnd w:id="77"/>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Toc400277889"/>
      <w:bookmarkStart w:id="80" w:name="_Ref27405617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16</w:t>
      </w:r>
      <w:r w:rsidR="0068282D">
        <w:rPr>
          <w:noProof/>
        </w:rPr>
        <w:fldChar w:fldCharType="end"/>
      </w:r>
      <w:bookmarkEnd w:id="80"/>
      <w:proofErr w:type="gramStart"/>
      <w:r>
        <w:t>.</w:t>
      </w:r>
      <w:proofErr w:type="gramEnd"/>
      <w:r>
        <w:t xml:space="preserve"> Calculations for the weight of the motor</w:t>
      </w:r>
      <w:bookmarkEnd w:id="79"/>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5" w:name="_Toc400277890"/>
      <w:bookmarkStart w:id="86" w:name="_Ref274055099"/>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17</w:t>
      </w:r>
      <w:r w:rsidR="0068282D">
        <w:rPr>
          <w:noProof/>
        </w:rPr>
        <w:fldChar w:fldCharType="end"/>
      </w:r>
      <w:bookmarkEnd w:id="86"/>
      <w:proofErr w:type="gramStart"/>
      <w:r>
        <w:t>.</w:t>
      </w:r>
      <w:proofErr w:type="gramEnd"/>
      <w:r>
        <w:t xml:space="preserve"> Items under consideration for the </w:t>
      </w:r>
      <w:r w:rsidR="00F4418B">
        <w:t>claw</w:t>
      </w:r>
      <w:bookmarkEnd w:id="85"/>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Toc400277891"/>
      <w:bookmarkStart w:id="90" w:name="_Ref27405529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18</w:t>
      </w:r>
      <w:r w:rsidR="0068282D">
        <w:rPr>
          <w:noProof/>
        </w:rPr>
        <w:fldChar w:fldCharType="end"/>
      </w:r>
      <w:bookmarkEnd w:id="90"/>
      <w:proofErr w:type="gramStart"/>
      <w:r>
        <w:t>.</w:t>
      </w:r>
      <w:proofErr w:type="gramEnd"/>
      <w:r>
        <w:t xml:space="preserve"> Decision matrix for the </w:t>
      </w:r>
      <w:r w:rsidR="00F4418B">
        <w:t>claw</w:t>
      </w:r>
      <w:bookmarkEnd w:id="89"/>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19</w:t>
      </w:r>
      <w:r w:rsidR="0068282D">
        <w:rPr>
          <w:noProof/>
        </w:rPr>
        <w:fldChar w:fldCharType="end"/>
      </w:r>
      <w:proofErr w:type="gramStart"/>
      <w:r>
        <w:t>.</w:t>
      </w:r>
      <w:proofErr w:type="gramEnd"/>
      <w:r>
        <w:t xml:space="preserve">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20</w:t>
      </w:r>
      <w:r w:rsidR="0068282D">
        <w:rPr>
          <w:noProof/>
        </w:rPr>
        <w:fldChar w:fldCharType="end"/>
      </w:r>
      <w:proofErr w:type="gramStart"/>
      <w:r>
        <w:t>.</w:t>
      </w:r>
      <w:proofErr w:type="gramEnd"/>
      <w:r>
        <w:t xml:space="preserve">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0" w:name="_Ref274053755"/>
      <w:bookmarkStart w:id="101" w:name="_Toc400277894"/>
      <w:r w:rsidRPr="00937F02">
        <w:t xml:space="preserve">Table </w:t>
      </w:r>
      <w:r w:rsidR="0068282D">
        <w:fldChar w:fldCharType="begin"/>
      </w:r>
      <w:r w:rsidR="0068282D">
        <w:instrText xml:space="preserve"> SEQ Table \* ARABIC </w:instrText>
      </w:r>
      <w:r w:rsidR="0068282D">
        <w:fldChar w:fldCharType="separate"/>
      </w:r>
      <w:r w:rsidR="0068282D">
        <w:rPr>
          <w:noProof/>
        </w:rPr>
        <w:t>21</w:t>
      </w:r>
      <w:r w:rsidR="0068282D">
        <w:rPr>
          <w:noProof/>
        </w:rPr>
        <w:fldChar w:fldCharType="end"/>
      </w:r>
      <w:bookmarkEnd w:id="99"/>
      <w:bookmarkEnd w:id="100"/>
      <w:r w:rsidR="00937F02">
        <w:t>.</w:t>
      </w:r>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r w:rsidRPr="002C3E77">
        <w:t xml:space="preserve">Table </w:t>
      </w:r>
      <w:r w:rsidR="0068282D">
        <w:fldChar w:fldCharType="begin"/>
      </w:r>
      <w:r w:rsidR="0068282D">
        <w:instrText xml:space="preserve"> SEQ Table \* ARABIC </w:instrText>
      </w:r>
      <w:r w:rsidR="0068282D">
        <w:fldChar w:fldCharType="separate"/>
      </w:r>
      <w:r w:rsidR="0068282D">
        <w:rPr>
          <w:noProof/>
        </w:rPr>
        <w:t>22</w:t>
      </w:r>
      <w:r w:rsidR="0068282D">
        <w:rPr>
          <w:noProof/>
        </w:rPr>
        <w:fldChar w:fldCharType="end"/>
      </w:r>
      <w:bookmarkEnd w:id="104"/>
      <w:bookmarkEnd w:id="105"/>
      <w:r w:rsidR="00937F02" w:rsidRPr="002C3E77">
        <w:t>.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r w:rsidRPr="002C3E77">
        <w:t xml:space="preserve">Table </w:t>
      </w:r>
      <w:r w:rsidR="0068282D">
        <w:fldChar w:fldCharType="begin"/>
      </w:r>
      <w:r w:rsidR="0068282D">
        <w:instrText xml:space="preserve"> SEQ Table \* ARABIC </w:instrText>
      </w:r>
      <w:r w:rsidR="0068282D">
        <w:fldChar w:fldCharType="separate"/>
      </w:r>
      <w:r w:rsidR="0068282D">
        <w:rPr>
          <w:noProof/>
        </w:rPr>
        <w:t>23</w:t>
      </w:r>
      <w:r w:rsidR="0068282D">
        <w:rPr>
          <w:noProof/>
        </w:rPr>
        <w:fldChar w:fldCharType="end"/>
      </w:r>
      <w:bookmarkEnd w:id="109"/>
      <w:bookmarkEnd w:id="110"/>
      <w:r w:rsidR="007868C8">
        <w:t>.</w:t>
      </w:r>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2"/>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2"/>
      <w:r w:rsidR="0058124C">
        <w:rPr>
          <w:rStyle w:val="CommentReference"/>
        </w:rPr>
        <w:commentReference w:id="112"/>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3"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4" w:name="_Ref274053344"/>
      <w:bookmarkStart w:id="115" w:name="_Toc400277897"/>
      <w:r w:rsidRPr="002C3E77">
        <w:t xml:space="preserve">Table </w:t>
      </w:r>
      <w:r w:rsidR="0068282D">
        <w:fldChar w:fldCharType="begin"/>
      </w:r>
      <w:r w:rsidR="0068282D">
        <w:instrText xml:space="preserve"> SEQ Table \* ARABIC </w:instrText>
      </w:r>
      <w:r w:rsidR="0068282D">
        <w:fldChar w:fldCharType="separate"/>
      </w:r>
      <w:r w:rsidR="0068282D">
        <w:rPr>
          <w:noProof/>
        </w:rPr>
        <w:t>24</w:t>
      </w:r>
      <w:r w:rsidR="0068282D">
        <w:rPr>
          <w:noProof/>
        </w:rPr>
        <w:fldChar w:fldCharType="end"/>
      </w:r>
      <w:bookmarkEnd w:id="113"/>
      <w:bookmarkEnd w:id="114"/>
      <w:r w:rsidR="007868C8">
        <w:t>.</w:t>
      </w:r>
      <w:r w:rsidRPr="002C3E77">
        <w:t xml:space="preserve"> Calculation </w:t>
      </w:r>
      <w:r w:rsidR="002C3E77">
        <w:t>for</w:t>
      </w:r>
      <w:r w:rsidRPr="002C3E77">
        <w:t xml:space="preserve"> the weight </w:t>
      </w:r>
      <w:r w:rsidR="002C3E77">
        <w:t>of the wheels</w:t>
      </w:r>
      <w:bookmarkEnd w:id="115"/>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6"/>
      <w:r w:rsidRPr="00624902">
        <w:rPr>
          <w:rFonts w:ascii="Times New Roman" w:hAnsi="Times New Roman" w:cs="Times New Roman"/>
        </w:rPr>
        <w:t xml:space="preserve">robotic arm it </w:t>
      </w:r>
      <w:commentRangeEnd w:id="116"/>
      <w:r w:rsidR="0058124C">
        <w:rPr>
          <w:rStyle w:val="CommentReference"/>
        </w:rPr>
        <w:commentReference w:id="116"/>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2" w:name="_Toc400277898"/>
      <w:bookmarkStart w:id="123" w:name="_Ref274053567"/>
      <w:proofErr w:type="gramStart"/>
      <w:r w:rsidRPr="002C3E77">
        <w:t xml:space="preserve">Table </w:t>
      </w:r>
      <w:proofErr w:type="gramEnd"/>
      <w:r w:rsidR="0068282D">
        <w:fldChar w:fldCharType="begin"/>
      </w:r>
      <w:r w:rsidR="0068282D">
        <w:instrText xml:space="preserve"> SEQ Table \* ARABIC </w:instrText>
      </w:r>
      <w:r w:rsidR="0068282D">
        <w:fldChar w:fldCharType="separate"/>
      </w:r>
      <w:r w:rsidR="0068282D">
        <w:rPr>
          <w:noProof/>
        </w:rPr>
        <w:t>25</w:t>
      </w:r>
      <w:r w:rsidR="0068282D">
        <w:rPr>
          <w:noProof/>
        </w:rPr>
        <w:fldChar w:fldCharType="end"/>
      </w:r>
      <w:bookmarkEnd w:id="123"/>
      <w:proofErr w:type="gramStart"/>
      <w:r w:rsidRPr="002C3E77">
        <w:t>.</w:t>
      </w:r>
      <w:proofErr w:type="gramEnd"/>
      <w:r w:rsidRPr="002C3E77">
        <w:t xml:space="preserve"> The items under consideration for the batteries</w:t>
      </w:r>
      <w:bookmarkEnd w:id="12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6"/>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Toc400277899"/>
      <w:bookmarkStart w:id="128" w:name="_Ref400277460"/>
      <w:proofErr w:type="gramStart"/>
      <w:r w:rsidRPr="002C3E77">
        <w:t xml:space="preserve">Table </w:t>
      </w:r>
      <w:proofErr w:type="gramEnd"/>
      <w:r w:rsidR="0068282D">
        <w:fldChar w:fldCharType="begin"/>
      </w:r>
      <w:r w:rsidR="0068282D">
        <w:instrText xml:space="preserve"> SEQ Table \* ARABIC </w:instrText>
      </w:r>
      <w:r w:rsidR="0068282D">
        <w:fldChar w:fldCharType="separate"/>
      </w:r>
      <w:r w:rsidR="0068282D">
        <w:rPr>
          <w:noProof/>
        </w:rPr>
        <w:t>26</w:t>
      </w:r>
      <w:r w:rsidR="0068282D">
        <w:rPr>
          <w:noProof/>
        </w:rPr>
        <w:fldChar w:fldCharType="end"/>
      </w:r>
      <w:bookmarkEnd w:id="128"/>
      <w:proofErr w:type="gramStart"/>
      <w:r w:rsidRPr="002C3E77">
        <w:t>.</w:t>
      </w:r>
      <w:proofErr w:type="gramEnd"/>
      <w:r w:rsidRPr="002C3E77">
        <w:t xml:space="preserve"> Decision matrix for the batteries</w:t>
      </w:r>
      <w:bookmarkEnd w:id="127"/>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Toc400277900"/>
      <w:bookmarkStart w:id="132" w:name="_Ref274057084"/>
      <w:proofErr w:type="gramStart"/>
      <w:r w:rsidRPr="002C3E77">
        <w:t xml:space="preserve">Table </w:t>
      </w:r>
      <w:proofErr w:type="gramEnd"/>
      <w:r w:rsidR="0068282D">
        <w:fldChar w:fldCharType="begin"/>
      </w:r>
      <w:r w:rsidR="0068282D">
        <w:instrText xml:space="preserve"> SEQ Table \* ARABIC </w:instrText>
      </w:r>
      <w:r w:rsidR="0068282D">
        <w:fldChar w:fldCharType="separate"/>
      </w:r>
      <w:r w:rsidR="0068282D">
        <w:rPr>
          <w:noProof/>
        </w:rPr>
        <w:t>27</w:t>
      </w:r>
      <w:r w:rsidR="0068282D">
        <w:rPr>
          <w:noProof/>
        </w:rPr>
        <w:fldChar w:fldCharType="end"/>
      </w:r>
      <w:bookmarkEnd w:id="132"/>
      <w:proofErr w:type="gramStart"/>
      <w:r w:rsidRPr="002C3E77">
        <w:t>.</w:t>
      </w:r>
      <w:proofErr w:type="gramEnd"/>
      <w:r w:rsidRPr="002C3E77">
        <w:t xml:space="preserve"> Calculations for the price of the batteries</w:t>
      </w:r>
      <w:bookmarkEnd w:id="131"/>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Toc400277901"/>
      <w:bookmarkStart w:id="134" w:name="_Ref274056262"/>
      <w:proofErr w:type="gramStart"/>
      <w:r w:rsidRPr="002C3E77">
        <w:t xml:space="preserve">Table </w:t>
      </w:r>
      <w:proofErr w:type="gramEnd"/>
      <w:r w:rsidR="0068282D">
        <w:fldChar w:fldCharType="begin"/>
      </w:r>
      <w:r w:rsidR="0068282D">
        <w:instrText xml:space="preserve"> SEQ Table \* ARABIC </w:instrText>
      </w:r>
      <w:r w:rsidR="0068282D">
        <w:fldChar w:fldCharType="separate"/>
      </w:r>
      <w:r w:rsidR="0068282D">
        <w:rPr>
          <w:noProof/>
        </w:rPr>
        <w:t>28</w:t>
      </w:r>
      <w:r w:rsidR="0068282D">
        <w:rPr>
          <w:noProof/>
        </w:rPr>
        <w:fldChar w:fldCharType="end"/>
      </w:r>
      <w:bookmarkEnd w:id="134"/>
      <w:proofErr w:type="gramStart"/>
      <w:r w:rsidRPr="002C3E77">
        <w:t>.</w:t>
      </w:r>
      <w:proofErr w:type="gramEnd"/>
      <w:r w:rsidRPr="002C3E77">
        <w:t xml:space="preserve"> Calculations for the discharge rate of the batteries</w:t>
      </w:r>
      <w:bookmarkEnd w:id="133"/>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Toc400277902"/>
      <w:bookmarkStart w:id="136" w:name="_Ref274055665"/>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29</w:t>
      </w:r>
      <w:r w:rsidR="0068282D">
        <w:rPr>
          <w:noProof/>
        </w:rPr>
        <w:fldChar w:fldCharType="end"/>
      </w:r>
      <w:bookmarkEnd w:id="136"/>
      <w:proofErr w:type="gramStart"/>
      <w:r>
        <w:t>.</w:t>
      </w:r>
      <w:proofErr w:type="gramEnd"/>
      <w:r>
        <w:t xml:space="preserve"> Calculations for the voltage of the batteries</w:t>
      </w:r>
      <w:bookmarkEnd w:id="135"/>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Toc400277903"/>
      <w:bookmarkStart w:id="138" w:name="_Ref274055678"/>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30</w:t>
      </w:r>
      <w:r w:rsidR="0068282D">
        <w:rPr>
          <w:noProof/>
        </w:rPr>
        <w:fldChar w:fldCharType="end"/>
      </w:r>
      <w:bookmarkEnd w:id="138"/>
      <w:proofErr w:type="gramStart"/>
      <w:r>
        <w:t>.</w:t>
      </w:r>
      <w:proofErr w:type="gramEnd"/>
      <w:r>
        <w:t xml:space="preserve"> Calculations for the weight of the batteries</w:t>
      </w:r>
      <w:bookmarkEnd w:id="137"/>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Toc400277904"/>
      <w:bookmarkStart w:id="144" w:name="_Ref274054315"/>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31</w:t>
      </w:r>
      <w:r w:rsidR="0068282D">
        <w:rPr>
          <w:noProof/>
        </w:rPr>
        <w:fldChar w:fldCharType="end"/>
      </w:r>
      <w:bookmarkEnd w:id="144"/>
      <w:proofErr w:type="gramStart"/>
      <w:r>
        <w:t>.</w:t>
      </w:r>
      <w:proofErr w:type="gramEnd"/>
      <w:r>
        <w:t xml:space="preserve"> Requirements traceability for the microcontroller</w:t>
      </w:r>
      <w:bookmarkEnd w:id="143"/>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Toc400277905"/>
      <w:bookmarkStart w:id="148" w:name="_Ref274054374"/>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32</w:t>
      </w:r>
      <w:r w:rsidR="0068282D">
        <w:rPr>
          <w:noProof/>
        </w:rPr>
        <w:fldChar w:fldCharType="end"/>
      </w:r>
      <w:bookmarkEnd w:id="148"/>
      <w:proofErr w:type="gramStart"/>
      <w:r>
        <w:t>.</w:t>
      </w:r>
      <w:proofErr w:type="gramEnd"/>
      <w:r>
        <w:t xml:space="preserve"> Requirements traceability for the sensors</w:t>
      </w:r>
      <w:bookmarkEnd w:id="147"/>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Toc400277906"/>
      <w:bookmarkStart w:id="152" w:name="_Ref27405441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33</w:t>
      </w:r>
      <w:r w:rsidR="0068282D">
        <w:rPr>
          <w:noProof/>
        </w:rPr>
        <w:fldChar w:fldCharType="end"/>
      </w:r>
      <w:bookmarkEnd w:id="152"/>
      <w:proofErr w:type="gramStart"/>
      <w:r>
        <w:t>.</w:t>
      </w:r>
      <w:proofErr w:type="gramEnd"/>
      <w:r>
        <w:t xml:space="preserve"> Requirements traceability for the motors</w:t>
      </w:r>
      <w:bookmarkEnd w:id="151"/>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Toc400277907"/>
      <w:bookmarkStart w:id="155" w:name="_Ref274054441"/>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34</w:t>
      </w:r>
      <w:r w:rsidR="0068282D">
        <w:rPr>
          <w:noProof/>
        </w:rPr>
        <w:fldChar w:fldCharType="end"/>
      </w:r>
      <w:bookmarkEnd w:id="155"/>
      <w:proofErr w:type="gramStart"/>
      <w:r>
        <w:t>.</w:t>
      </w:r>
      <w:proofErr w:type="gramEnd"/>
      <w:r>
        <w:t xml:space="preserve"> Requirements traceability for the claw</w:t>
      </w:r>
      <w:bookmarkEnd w:id="154"/>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Toc400277908"/>
      <w:bookmarkStart w:id="159" w:name="_Ref274054469"/>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35</w:t>
      </w:r>
      <w:r w:rsidR="0068282D">
        <w:rPr>
          <w:noProof/>
        </w:rPr>
        <w:fldChar w:fldCharType="end"/>
      </w:r>
      <w:bookmarkEnd w:id="159"/>
      <w:proofErr w:type="gramStart"/>
      <w:r>
        <w:t>.</w:t>
      </w:r>
      <w:proofErr w:type="gramEnd"/>
      <w:r>
        <w:t xml:space="preserve"> Requirements traceability for the frame</w:t>
      </w:r>
      <w:bookmarkEnd w:id="158"/>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Toc400277909"/>
      <w:bookmarkStart w:id="163" w:name="_Ref274054502"/>
      <w:proofErr w:type="gramStart"/>
      <w:r>
        <w:t xml:space="preserve">Table </w:t>
      </w:r>
      <w:proofErr w:type="gramEnd"/>
      <w:r w:rsidR="0068282D">
        <w:fldChar w:fldCharType="begin"/>
      </w:r>
      <w:r w:rsidR="0068282D">
        <w:instrText xml:space="preserve"> SEQ Table \* ARABIC </w:instrText>
      </w:r>
      <w:r w:rsidR="0068282D">
        <w:fldChar w:fldCharType="separate"/>
      </w:r>
      <w:r w:rsidR="0068282D">
        <w:rPr>
          <w:noProof/>
        </w:rPr>
        <w:t>36</w:t>
      </w:r>
      <w:r w:rsidR="0068282D">
        <w:rPr>
          <w:noProof/>
        </w:rPr>
        <w:fldChar w:fldCharType="end"/>
      </w:r>
      <w:bookmarkEnd w:id="163"/>
      <w:proofErr w:type="gramStart"/>
      <w:r>
        <w:t>.</w:t>
      </w:r>
      <w:proofErr w:type="gramEnd"/>
      <w:r>
        <w:t xml:space="preserve"> Requirements traceability for the batteries</w:t>
      </w:r>
      <w:bookmarkEnd w:id="162"/>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r w:rsidR="0068282D">
        <w:fldChar w:fldCharType="begin"/>
      </w:r>
      <w:r w:rsidR="0068282D">
        <w:instrText xml:space="preserve"> SEQ Table \* ARABIC </w:instrText>
      </w:r>
      <w:r w:rsidR="0068282D">
        <w:fldChar w:fldCharType="separate"/>
      </w:r>
      <w:r w:rsidR="0068282D">
        <w:rPr>
          <w:noProof/>
        </w:rPr>
        <w:t>37</w:t>
      </w:r>
      <w:r w:rsidR="0068282D">
        <w:rPr>
          <w:noProof/>
        </w:rPr>
        <w:fldChar w:fldCharType="end"/>
      </w:r>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r w:rsidR="0068282D">
        <w:fldChar w:fldCharType="begin"/>
      </w:r>
      <w:r w:rsidR="0068282D">
        <w:instrText xml:space="preserve"> SEQ Table \* ARABIC </w:instrText>
      </w:r>
      <w:r w:rsidR="0068282D">
        <w:fldChar w:fldCharType="separate"/>
      </w:r>
      <w:r w:rsidR="0068282D">
        <w:rPr>
          <w:noProof/>
        </w:rPr>
        <w:t>38</w:t>
      </w:r>
      <w:r w:rsidR="0068282D">
        <w:rPr>
          <w:noProof/>
        </w:rPr>
        <w:fldChar w:fldCharType="end"/>
      </w:r>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r w:rsidR="0068282D">
        <w:fldChar w:fldCharType="begin"/>
      </w:r>
      <w:r w:rsidR="0068282D">
        <w:instrText xml:space="preserve"> SEQ Table \* ARABIC </w:instrText>
      </w:r>
      <w:r w:rsidR="0068282D">
        <w:fldChar w:fldCharType="separate"/>
      </w:r>
      <w:r w:rsidR="0068282D">
        <w:rPr>
          <w:noProof/>
        </w:rPr>
        <w:t>39</w:t>
      </w:r>
      <w:r w:rsidR="0068282D">
        <w:rPr>
          <w:noProof/>
        </w:rPr>
        <w:fldChar w:fldCharType="end"/>
      </w:r>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r w:rsidR="0068282D">
        <w:fldChar w:fldCharType="begin"/>
      </w:r>
      <w:r w:rsidR="0068282D">
        <w:instrText xml:space="preserve"> SEQ Table \* ARABIC </w:instrText>
      </w:r>
      <w:r w:rsidR="0068282D">
        <w:fldChar w:fldCharType="separate"/>
      </w:r>
      <w:r w:rsidR="0068282D">
        <w:rPr>
          <w:noProof/>
        </w:rPr>
        <w:t>40</w:t>
      </w:r>
      <w:r w:rsidR="0068282D">
        <w:rPr>
          <w:noProof/>
        </w:rPr>
        <w:fldChar w:fldCharType="end"/>
      </w:r>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r w:rsidR="0068282D">
        <w:fldChar w:fldCharType="begin"/>
      </w:r>
      <w:r w:rsidR="0068282D">
        <w:instrText xml:space="preserve"> SEQ Table \* ARABIC </w:instrText>
      </w:r>
      <w:r w:rsidR="0068282D">
        <w:fldChar w:fldCharType="separate"/>
      </w:r>
      <w:r w:rsidR="0068282D">
        <w:rPr>
          <w:noProof/>
        </w:rPr>
        <w:t>41</w:t>
      </w:r>
      <w:r w:rsidR="0068282D">
        <w:rPr>
          <w:noProof/>
        </w:rPr>
        <w:fldChar w:fldCharType="end"/>
      </w:r>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r w:rsidR="0068282D">
        <w:fldChar w:fldCharType="begin"/>
      </w:r>
      <w:r w:rsidR="0068282D">
        <w:instrText xml:space="preserve"> SEQ Table \* ARABIC </w:instrText>
      </w:r>
      <w:r w:rsidR="0068282D">
        <w:fldChar w:fldCharType="separate"/>
      </w:r>
      <w:r w:rsidR="0068282D">
        <w:rPr>
          <w:noProof/>
        </w:rPr>
        <w:t>42</w:t>
      </w:r>
      <w:r w:rsidR="0068282D">
        <w:rPr>
          <w:noProof/>
        </w:rPr>
        <w:fldChar w:fldCharType="end"/>
      </w:r>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r w:rsidR="0068282D">
        <w:fldChar w:fldCharType="begin"/>
      </w:r>
      <w:r w:rsidR="0068282D">
        <w:instrText xml:space="preserve"> SEQ Table \* ARABIC </w:instrText>
      </w:r>
      <w:r w:rsidR="0068282D">
        <w:fldChar w:fldCharType="separate"/>
      </w:r>
      <w:r w:rsidR="0068282D">
        <w:rPr>
          <w:noProof/>
        </w:rPr>
        <w:t>43</w:t>
      </w:r>
      <w:r w:rsidR="0068282D">
        <w:rPr>
          <w:noProof/>
        </w:rPr>
        <w:fldChar w:fldCharType="end"/>
      </w:r>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lastRenderedPageBreak/>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proofErr w:type="gramStart"/>
      <w:r w:rsidRPr="008D76C8">
        <w:rPr>
          <w:rFonts w:cs="Arial"/>
        </w:rPr>
        <w:t xml:space="preserve">Table </w:t>
      </w:r>
      <w:proofErr w:type="gramEnd"/>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proofErr w:type="gramStart"/>
      <w:r w:rsidRPr="008D76C8">
        <w:rPr>
          <w:rFonts w:cs="Arial"/>
        </w:rPr>
        <w:t>.</w:t>
      </w:r>
      <w:proofErr w:type="gramEnd"/>
      <w:r w:rsidRPr="008D76C8">
        <w:rPr>
          <w:rFonts w:cs="Arial"/>
        </w:rPr>
        <w:t xml:space="preserve">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r w:rsidR="0068282D">
        <w:fldChar w:fldCharType="begin"/>
      </w:r>
      <w:r w:rsidR="0068282D">
        <w:instrText xml:space="preserve"> SEQ Table \* ARABIC </w:instrText>
      </w:r>
      <w:r w:rsidR="0068282D">
        <w:fldChar w:fldCharType="separate"/>
      </w:r>
      <w:r w:rsidR="0068282D">
        <w:rPr>
          <w:noProof/>
        </w:rPr>
        <w:t>45</w:t>
      </w:r>
      <w:r w:rsidR="0068282D">
        <w:rPr>
          <w:noProof/>
        </w:rPr>
        <w:fldChar w:fldCharType="end"/>
      </w:r>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68282D"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68282D"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68282D"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proofErr w:type="gramStart"/>
      <w:r w:rsidRPr="005F1A88">
        <w:rPr>
          <w:rStyle w:val="apple-converted-space"/>
          <w:rFonts w:ascii="Times New Roman" w:hAnsi="Times New Roman" w:cs="Times New Roman"/>
          <w:color w:val="000000"/>
        </w:rPr>
        <w:t>index.jsp</w:t>
      </w:r>
      <w:proofErr w:type="gramEnd"/>
      <w:r w:rsidRPr="005F1A88">
        <w:rPr>
          <w:rStyle w:val="apple-converted-space"/>
          <w:rFonts w:ascii="Times New Roman" w:hAnsi="Times New Roman" w:cs="Times New Roman"/>
          <w:color w:val="000000"/>
        </w:rPr>
        <w:t>?productId</w:t>
      </w:r>
      <w:proofErr w:type="spell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w:t>
      </w:r>
      <w:proofErr w:type="gramEnd"/>
      <w:r w:rsidRPr="005F1A88">
        <w:rPr>
          <w:rFonts w:ascii="Times New Roman" w:hAnsi="Times New Roman" w:cs="Times New Roman"/>
        </w:rPr>
        <w:t>-teasers/rubik-s-3x3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lastRenderedPageBreak/>
        <w:t>card</w:t>
      </w:r>
      <w:proofErr w:type="gramEnd"/>
      <w:r w:rsidRPr="005F1A88">
        <w:rPr>
          <w:rFonts w:ascii="Times New Roman" w:hAnsi="Times New Roman" w:cs="Times New Roman"/>
        </w:rPr>
        <w:t>-</w:t>
      </w:r>
      <w:proofErr w:type="spellStart"/>
      <w:r w:rsidRPr="005F1A88">
        <w:rPr>
          <w:rFonts w:ascii="Times New Roman" w:hAnsi="Times New Roman" w:cs="Times New Roman"/>
        </w:rPr>
        <w:t>puzzlegames</w:t>
      </w:r>
      <w:proofErr w:type="spell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w:t>
      </w:r>
      <w:proofErr w:type="gramEnd"/>
      <w:r w:rsidRPr="005F1A88">
        <w:rPr>
          <w:rFonts w:ascii="Times New Roman" w:hAnsi="Times New Roman" w:cs="Times New Roman"/>
        </w:rPr>
        <w:t>-cards-18545272.jpg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Tan, Kok Peng" w:date="2014-10-05T14:53:00Z" w:initials="TKP">
    <w:p w14:paraId="5A85C73D" w14:textId="436569FA" w:rsidR="00372088" w:rsidRDefault="00372088">
      <w:pPr>
        <w:pStyle w:val="CommentText"/>
      </w:pPr>
      <w:r>
        <w:rPr>
          <w:rStyle w:val="CommentReference"/>
        </w:rPr>
        <w:annotationRef/>
      </w:r>
      <w:r>
        <w:t>Edited</w:t>
      </w:r>
    </w:p>
  </w:comment>
  <w:comment w:id="62" w:author="Tan, Kok Peng" w:date="2014-10-05T14:53:00Z" w:initials="TKP">
    <w:p w14:paraId="249F6B06" w14:textId="3BEDF717" w:rsidR="00372088" w:rsidRDefault="00372088">
      <w:pPr>
        <w:pStyle w:val="CommentText"/>
      </w:pPr>
      <w:r>
        <w:rPr>
          <w:rStyle w:val="CommentReference"/>
        </w:rPr>
        <w:annotationRef/>
      </w:r>
      <w:r>
        <w:t>Edited</w:t>
      </w:r>
    </w:p>
  </w:comment>
  <w:comment w:id="71" w:author="Roth, Merissa G" w:date="2014-10-05T13:32:00Z" w:initials="RMG">
    <w:p w14:paraId="5CFFF80B" w14:textId="45D8F178" w:rsidR="00372088" w:rsidRDefault="00372088">
      <w:pPr>
        <w:pStyle w:val="CommentText"/>
      </w:pPr>
      <w:r>
        <w:rPr>
          <w:rStyle w:val="CommentReference"/>
        </w:rPr>
        <w:annotationRef/>
      </w:r>
      <w:r>
        <w:t>What is the limit?</w:t>
      </w:r>
    </w:p>
  </w:comment>
  <w:comment w:id="72" w:author="Tan, Kok Peng" w:date="2014-10-05T14:52:00Z" w:initials="TKP">
    <w:p w14:paraId="259799AB" w14:textId="151AA57C" w:rsidR="00372088" w:rsidRDefault="00372088">
      <w:pPr>
        <w:pStyle w:val="CommentText"/>
      </w:pPr>
      <w:r>
        <w:rPr>
          <w:rStyle w:val="CommentReference"/>
        </w:rPr>
        <w:annotationRef/>
      </w:r>
      <w:r>
        <w:t>Defined</w:t>
      </w:r>
    </w:p>
  </w:comment>
  <w:comment w:id="75" w:author="Roth, Merissa G" w:date="2014-10-05T13:35:00Z" w:initials="RMG">
    <w:p w14:paraId="3E8DA896" w14:textId="6A5A7FC2" w:rsidR="00372088" w:rsidRDefault="00372088">
      <w:pPr>
        <w:pStyle w:val="CommentText"/>
      </w:pPr>
      <w:r>
        <w:rPr>
          <w:rStyle w:val="CommentReference"/>
        </w:rPr>
        <w:annotationRef/>
      </w:r>
      <w:r>
        <w:t>What is the stall state?</w:t>
      </w:r>
    </w:p>
  </w:comment>
  <w:comment w:id="76" w:author="Tan, Kok Peng" w:date="2014-10-05T14:52:00Z" w:initials="TKP">
    <w:p w14:paraId="1E4F21E6" w14:textId="57FB30A3" w:rsidR="00372088" w:rsidRDefault="00372088">
      <w:pPr>
        <w:pStyle w:val="CommentText"/>
      </w:pPr>
      <w:r>
        <w:rPr>
          <w:rStyle w:val="CommentReference"/>
        </w:rPr>
        <w:annotationRef/>
      </w:r>
      <w:r>
        <w:t>Defined above</w:t>
      </w:r>
    </w:p>
  </w:comment>
  <w:comment w:id="112" w:author="Roth, Merissa G" w:date="2014-10-05T13:40:00Z" w:initials="RMG">
    <w:p w14:paraId="3315F9F0" w14:textId="57A023CF" w:rsidR="00372088" w:rsidRDefault="00372088">
      <w:pPr>
        <w:pStyle w:val="CommentText"/>
      </w:pPr>
      <w:r>
        <w:rPr>
          <w:rStyle w:val="CommentReference"/>
        </w:rPr>
        <w:annotationRef/>
      </w:r>
      <w:r>
        <w:t>Why?</w:t>
      </w:r>
    </w:p>
  </w:comment>
  <w:comment w:id="116" w:author="Roth, Merissa G" w:date="2014-10-05T13:43:00Z" w:initials="RMG">
    <w:p w14:paraId="30BC1E0E" w14:textId="673FB669" w:rsidR="00372088" w:rsidRDefault="00372088">
      <w:pPr>
        <w:pStyle w:val="CommentText"/>
      </w:pPr>
      <w:r>
        <w:rPr>
          <w:rStyle w:val="CommentReference"/>
        </w:rPr>
        <w:annotationRef/>
      </w:r>
      <w:r>
        <w:t>What does the arm have to do with the wheels?</w:t>
      </w:r>
    </w:p>
  </w:comment>
  <w:comment w:id="119" w:author="Tan, Kok Peng" w:date="2014-10-05T14:54:00Z" w:initials="TKP">
    <w:p w14:paraId="53221030" w14:textId="47EEB4B0" w:rsidR="00372088" w:rsidRDefault="00372088">
      <w:pPr>
        <w:pStyle w:val="CommentText"/>
      </w:pPr>
      <w:r>
        <w:rPr>
          <w:rStyle w:val="CommentReference"/>
        </w:rPr>
        <w:annotationRef/>
      </w:r>
      <w:r>
        <w:t>Edited</w:t>
      </w:r>
    </w:p>
  </w:comment>
  <w:comment w:id="126" w:author="Tan, Kok Peng" w:date="2014-10-05T14:54:00Z" w:initials="TKP">
    <w:p w14:paraId="2B969948" w14:textId="038A87AF" w:rsidR="00372088" w:rsidRDefault="00372088">
      <w:pPr>
        <w:pStyle w:val="CommentText"/>
      </w:pPr>
      <w:r>
        <w:rPr>
          <w:rStyle w:val="CommentReference"/>
        </w:rPr>
        <w:annotationRef/>
      </w:r>
      <w:r>
        <w:t>Edited</w:t>
      </w:r>
    </w:p>
  </w:comment>
  <w:comment w:id="198" w:author="Roth, Merissa G" w:date="2014-10-05T13:44:00Z" w:initials="RMG">
    <w:p w14:paraId="4D8F6BAA" w14:textId="4585E30C" w:rsidR="00372088" w:rsidRDefault="00372088">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92689" w14:textId="77777777" w:rsidR="00C51B06" w:rsidRDefault="00C51B06" w:rsidP="00D6723A">
      <w:pPr>
        <w:spacing w:after="0" w:line="240" w:lineRule="auto"/>
      </w:pPr>
      <w:r>
        <w:separator/>
      </w:r>
    </w:p>
  </w:endnote>
  <w:endnote w:type="continuationSeparator" w:id="0">
    <w:p w14:paraId="1417E716" w14:textId="77777777" w:rsidR="00C51B06" w:rsidRDefault="00C51B0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372088" w:rsidRPr="00AE5AAF" w:rsidRDefault="0037208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68282D">
      <w:rPr>
        <w:rFonts w:ascii="Times New Roman" w:hAnsi="Times New Roman" w:cs="Times New Roman"/>
        <w:noProof/>
      </w:rPr>
      <w:t>12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AAF71" w14:textId="77777777" w:rsidR="00C51B06" w:rsidRDefault="00C51B06" w:rsidP="00D6723A">
      <w:pPr>
        <w:spacing w:after="0" w:line="240" w:lineRule="auto"/>
      </w:pPr>
      <w:r>
        <w:separator/>
      </w:r>
    </w:p>
  </w:footnote>
  <w:footnote w:type="continuationSeparator" w:id="0">
    <w:p w14:paraId="6984618A" w14:textId="77777777" w:rsidR="00C51B06" w:rsidRDefault="00C51B06"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372088" w:rsidRPr="00AE5AAF" w:rsidRDefault="0037208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F5E89"/>
    <w:rsid w:val="00400F64"/>
    <w:rsid w:val="00413D74"/>
    <w:rsid w:val="00416F8D"/>
    <w:rsid w:val="00424654"/>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hyperlink" Target="http://arduino.cc/en/Main/arduinoBoardUno" TargetMode="External"/><Relationship Id="rId11" Type="http://schemas.openxmlformats.org/officeDocument/2006/relationships/hyperlink" Target="http://www.raspberrypi.org/products/model-b/" TargetMode="External"/><Relationship Id="rId12" Type="http://schemas.openxmlformats.org/officeDocument/2006/relationships/hyperlink" Target="http://shop.udoo.org/usa/product/udoo-quad.html" TargetMode="External"/><Relationship Id="rId13" Type="http://schemas.openxmlformats.org/officeDocument/2006/relationships/hyperlink" Target="http://www.fingertechrobotics.com/proddetail.php?prod=ft-mecanum-set-v2" TargetMode="External"/><Relationship Id="rId14" Type="http://schemas.openxmlformats.org/officeDocument/2006/relationships/hyperlink" Target="https://www.sparkfun.com/products/12399"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995A1-D83E-424B-A4E8-F99B1CDF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35</Pages>
  <Words>8200</Words>
  <Characters>46740</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60</cp:revision>
  <cp:lastPrinted>2014-10-02T00:58:00Z</cp:lastPrinted>
  <dcterms:created xsi:type="dcterms:W3CDTF">2014-10-02T00:53:00Z</dcterms:created>
  <dcterms:modified xsi:type="dcterms:W3CDTF">2014-10-05T20:01:00Z</dcterms:modified>
</cp:coreProperties>
</file>