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003E84" w14:textId="23A1ED4C" w:rsidR="00CF0736" w:rsidRPr="002407B4" w:rsidRDefault="00CF0736" w:rsidP="002407B4">
      <w:pPr>
        <w:jc w:val="center"/>
        <w:rPr>
          <w:b/>
        </w:rPr>
      </w:pPr>
      <w:r w:rsidRPr="002407B4">
        <w:rPr>
          <w:b/>
        </w:rPr>
        <w:t>¿</w:t>
      </w:r>
      <w:r w:rsidR="00EF78AE" w:rsidRPr="002407B4">
        <w:rPr>
          <w:b/>
        </w:rPr>
        <w:t>De dónde venimos</w:t>
      </w:r>
      <w:r w:rsidRPr="002407B4">
        <w:rPr>
          <w:b/>
        </w:rPr>
        <w:t>?</w:t>
      </w:r>
    </w:p>
    <w:p w14:paraId="7CE5CAD1" w14:textId="1E92D916" w:rsidR="00CF0736" w:rsidRDefault="00CF0736" w:rsidP="00ED3C85">
      <w:pPr>
        <w:jc w:val="both"/>
      </w:pPr>
      <w:r>
        <w:t>Durante las décadas de 1950 y 1960, Argentina experimentó un proceso de crecimiento basado en la Industrialización por Sustitución de Importaciones (ISI). Este modelo buscaba reemplazar bienes manufacturados importados por producción nacional. Se apoyaba en la idea de que un país sin ventajas comparativas iniciales en la industria debía aplicar políticas proteccionistas para permitir el desarrollo del sector. En ese marco, se asumía que la industria local no podía competir en precios con productos importados debido a menores ni</w:t>
      </w:r>
      <w:r w:rsidR="00ED3C85">
        <w:t>veles de productividad inicial.</w:t>
      </w:r>
    </w:p>
    <w:p w14:paraId="786144B3" w14:textId="2374C3D1" w:rsidR="00CF0736" w:rsidRDefault="00CF0736" w:rsidP="00ED3C85">
      <w:pPr>
        <w:jc w:val="both"/>
      </w:pPr>
      <w:r>
        <w:t>En Argentina, esto se tradujo en altos aranceles a las importaciones, acceso al crédito industrial y la creación de instituciones orientadas a promover y financiar la producción local. Como resultado, el sector manufacturero ganó centralidad en la economía y se produjo una importante diversificación industrial, con una creciente participación de empresas extranjeras que se instalaban en el país atraídas por la rentabilidad qu</w:t>
      </w:r>
      <w:r w:rsidR="00ED3C85">
        <w:t>e ofrecía el mercado protegido.</w:t>
      </w:r>
    </w:p>
    <w:p w14:paraId="72C7C4DD" w14:textId="0F2DCE0A" w:rsidR="00CF0736" w:rsidRDefault="00CF0736" w:rsidP="00ED3C85">
      <w:pPr>
        <w:jc w:val="both"/>
      </w:pPr>
      <w:r>
        <w:t>Sin embargo, este modelo también generó desequilibrios. Por un lado, el crecimiento del consumo interno, junto con restricciones externas (escasez de divisas), contribuyó a presiones inflacionarias recurrentes. Por otro, el fuerte rol del Estado implicó un aumento del gasto público, que en muchos caso</w:t>
      </w:r>
      <w:r w:rsidR="00ED3C85">
        <w:t>s derivó en problemas fiscales.</w:t>
      </w:r>
    </w:p>
    <w:p w14:paraId="276613D1" w14:textId="6380F3A1" w:rsidR="00CF0736" w:rsidRDefault="00CF0736" w:rsidP="00ED3C85">
      <w:pPr>
        <w:jc w:val="both"/>
      </w:pPr>
      <w:r>
        <w:t>Hacia la década de 1970, el modelo de ISI comenzó a mostrar signos de agotamiento. En este contexto, durante la última dictadura militar (1976-1983), se implementó un cambio en la orientación económica hacia la liberalización comercial y financiera. Una de las políticas más representativas fue la llamada “tablita cambiaria” (1978-1981), un esquema de devaluaciones preanunciadas del tipo de cambio que buscaba reducir la inflación.</w:t>
      </w:r>
    </w:p>
    <w:p w14:paraId="7B8DF6E1" w14:textId="5FA4634D" w:rsidR="00CF0736" w:rsidRDefault="00CF0736" w:rsidP="00ED3C85">
      <w:pPr>
        <w:jc w:val="both"/>
      </w:pPr>
      <w:r>
        <w:t>Este nuevo enfoque tuvo efectos significativos. Se produjo un proceso de desindustrialización, reflejado en la caída de la participación del sector industrial en el PBI, y un fuerte aumento de las importaciones. Al mismo tiempo, la liberalización financiera y las altas tasas de interés internas incentivaron la valorización financiera por sobre la producción. En este contexto, muchos agentes económicos se endeudaron en el exterior y colocaron esos fondos en activos financieros locales, obteniendo ganancias a partir del diferencial de tasas y del tipo de cambio. Parte de estos capitales luego fue fugado al exterior.</w:t>
      </w:r>
    </w:p>
    <w:p w14:paraId="44705B6B" w14:textId="4608B267" w:rsidR="00CF0736" w:rsidRDefault="00CF0736" w:rsidP="00ED3C85">
      <w:pPr>
        <w:jc w:val="both"/>
      </w:pPr>
      <w:r>
        <w:t>Un hecho relevante fue la estatización de deuda externa privada a comienzos de los años 80, lo que trasladó pasivos del sector privado al Estado, agravando el problema de endeudamiento público.</w:t>
      </w:r>
    </w:p>
    <w:p w14:paraId="54F169C2" w14:textId="77FAF2CC" w:rsidR="00CF0736" w:rsidRDefault="00CF0736" w:rsidP="00ED3C85">
      <w:pPr>
        <w:jc w:val="both"/>
      </w:pPr>
      <w:r>
        <w:t>La acumulación de deuda, la fuga de capitales y la pérdida de confianza generaron fuertes tensiones cambiarias. En 1981 se produjo una devaluación significativa que marcó el colapso del esquema de la “tablita” y dio lugar a un período de alt</w:t>
      </w:r>
      <w:r w:rsidR="00ED3C85">
        <w:t>a inestabilidad macroeconómica.</w:t>
      </w:r>
    </w:p>
    <w:p w14:paraId="4B538D39" w14:textId="382C5FFB" w:rsidR="00C5382C" w:rsidRDefault="00CF0736" w:rsidP="00ED3C85">
      <w:pPr>
        <w:pBdr>
          <w:bottom w:val="single" w:sz="6" w:space="1" w:color="auto"/>
        </w:pBdr>
        <w:jc w:val="both"/>
      </w:pPr>
      <w:r>
        <w:t>Durante el gobierno democrático de Raúl Alfonsín, se intentó estabilizar la economía con el Plan Austral en 1985. Inicialmente, el plan logró reducir la inflación y reactivar la actividad económica mediante un impulso al consumo. Sin embargo, los desequilibrios fiscales y externos persistieron, y hacia fines de la década la economía entró nuevamente en crisis, culminando en episodios de hiperinflación en 1989.</w:t>
      </w:r>
    </w:p>
    <w:p w14:paraId="5B72440A" w14:textId="0D7DA56C" w:rsidR="00EF78AE" w:rsidRDefault="00EF78AE" w:rsidP="00ED3C85">
      <w:pPr>
        <w:pBdr>
          <w:bottom w:val="single" w:sz="6" w:space="1" w:color="auto"/>
        </w:pBdr>
        <w:jc w:val="both"/>
      </w:pPr>
    </w:p>
    <w:p w14:paraId="34535729" w14:textId="77777777" w:rsidR="006C0EE8" w:rsidRDefault="006C0EE8">
      <w:r>
        <w:br w:type="page"/>
      </w:r>
    </w:p>
    <w:p w14:paraId="64DCCE09" w14:textId="48DA1A3C" w:rsidR="00EF78AE" w:rsidRDefault="00EF78AE" w:rsidP="002407B4">
      <w:pPr>
        <w:jc w:val="center"/>
        <w:rPr>
          <w:b/>
        </w:rPr>
      </w:pPr>
      <w:r w:rsidRPr="002407B4">
        <w:rPr>
          <w:b/>
        </w:rPr>
        <w:lastRenderedPageBreak/>
        <w:t>Como fue la reforma?</w:t>
      </w:r>
    </w:p>
    <w:p w14:paraId="4F9AF63A" w14:textId="2CB3BF94" w:rsidR="00985A32" w:rsidRDefault="00985A32" w:rsidP="00985A32">
      <w:pPr>
        <w:jc w:val="both"/>
      </w:pPr>
      <w:r>
        <w:t>Para 1989, Argentina atravesaba una profunda crisis económica y social, marcada por una aguda recesión, un proceso hiperinflacionario y una creciente ola de protestas y saqueos. En un contexto de deterioro económico, conflictos con los líderes sindicales, pérdida del apoyo empresarial y un fuerte descontento político y social, el presidente Raúl Alfonsín anunció el adelantamiento de las elecciones. Posteriormente asumiría la presidencia Carlos Menem, quien decretó el estado de sitio.</w:t>
      </w:r>
    </w:p>
    <w:p w14:paraId="17C4F8F0" w14:textId="056A9158" w:rsidR="00985A32" w:rsidRDefault="00985A32" w:rsidP="00985A32">
      <w:pPr>
        <w:jc w:val="both"/>
      </w:pPr>
      <w:r>
        <w:t>Este período sería recordado posteriormente como el inicio de la convertibilidad. En 1991, Argentina adoptó un régimen de tipo de cambio fijo bajo el denominado “patrón dólar”, en el marco de un plan de estabilización acompañado por profundas reformas estructurales. Entre ellas se destacaron la reforma del Estado, el programa de privatizaciones y una amplia desregulación económica orientada a reducir la intervención estatal y fortalecer los mecanismos de asignación vía mercado. Asimismo, se buscó recuperar la autonomía fiscal del Estado mediante la corrección del desequi</w:t>
      </w:r>
      <w:r w:rsidR="00987871">
        <w:t>librio de las cuentas públicas.</w:t>
      </w:r>
    </w:p>
    <w:p w14:paraId="54E261FE" w14:textId="6BBE8687" w:rsidR="00985A32" w:rsidRDefault="00985A32" w:rsidP="00985A32">
      <w:pPr>
        <w:jc w:val="both"/>
      </w:pPr>
      <w:r>
        <w:t xml:space="preserve">La mejora </w:t>
      </w:r>
      <w:r w:rsidR="00987871">
        <w:t xml:space="preserve">fiscal inicial estuvo impulsada en gran medida </w:t>
      </w:r>
      <w:r>
        <w:t>por los ingresos extraordinarios provenientes de las privatizaciones de empresas públicas y de actividades vinculadas a la provisión de bienes y servicios, como telefonía, transporte y energía. A esto se sumó un importante aumento de la recaudación tributaria, especialmente a través de impuestos sobre bienes y servicios como el IVA. Paralelamente, se redujo significativamente la importancia de los impuestos al comercio exterior y de los aportes y contri</w:t>
      </w:r>
      <w:r w:rsidR="00987871">
        <w:t>buciones a la seguridad social.</w:t>
      </w:r>
    </w:p>
    <w:p w14:paraId="34D7B07B" w14:textId="0401D909" w:rsidR="00985A32" w:rsidRDefault="00985A32" w:rsidP="00985A32">
      <w:pPr>
        <w:jc w:val="both"/>
      </w:pPr>
      <w:r>
        <w:t>La estructura tributaria de los años noventa se caracterizó</w:t>
      </w:r>
      <w:r w:rsidR="00987871">
        <w:t xml:space="preserve"> por una elevada concentración, ya que </w:t>
      </w:r>
      <w:r>
        <w:t xml:space="preserve">desde 1993, solo tres tributos —IVA, Ganancias y aportes y contribuciones a la seguridad social— explicaban entre el 75 % y el 80 % de los recursos tributarios. Además, se incrementaron alícuotas, se establecieron nuevas fuentes de financiamiento y se introdujeron modificaciones en el sistema previsional, incluyendo </w:t>
      </w:r>
      <w:r w:rsidR="00987871">
        <w:t>cambios en la edad jubilatoria.</w:t>
      </w:r>
    </w:p>
    <w:p w14:paraId="217AA0C1" w14:textId="6FCDE162" w:rsidR="00985A32" w:rsidRDefault="00985A32" w:rsidP="00985A32">
      <w:pPr>
        <w:jc w:val="both"/>
      </w:pPr>
      <w:r>
        <w:t>Hacia comienzos de la década de 1990, apenas tres años después de iniciado el proceso de privatizaciones, ya se habían transferido las principales empresas estatales de mayor valor. Este proceso tuvo lugar en un contexto de fuerte malestar social por la calidad de las prestaciones públicas y de intensa oposición por parte de sindicatos y grupos económicos vinculados al Estado c</w:t>
      </w:r>
      <w:r w:rsidR="00987871">
        <w:t>omo proveedores o contratistas.</w:t>
      </w:r>
    </w:p>
    <w:p w14:paraId="5B7FB048" w14:textId="02284172" w:rsidR="00985A32" w:rsidRDefault="00985A32" w:rsidP="00985A32">
      <w:pPr>
        <w:jc w:val="both"/>
      </w:pPr>
      <w:r>
        <w:t xml:space="preserve">Sin embargo, las motivaciones fiscales, políticas y </w:t>
      </w:r>
      <w:r w:rsidR="00C1115A">
        <w:t>reputaciones</w:t>
      </w:r>
      <w:r>
        <w:t xml:space="preserve"> frecuentemente relegaron los objetivos de eficiencia y competitividad. Aun así, algunos sectores obtuvieron resultados diferenciados. En telecomunicaciones y servicios de agua, por ejemplo, la incorporación de nuevas tecnologías y la existencia de mayores niveles de competencia potencial incentivaron nuevas inversiones. Asimismo, aquellos sectores donde se implementaron marcos regulatorios más sólidos y esquemas de segmentación orientados a fomentar la competencia —como la energía eléctrica y los puertos— mostraron resultado</w:t>
      </w:r>
      <w:r w:rsidR="00987871">
        <w:t>s relativamente más favorables.</w:t>
      </w:r>
    </w:p>
    <w:p w14:paraId="617CEBB0" w14:textId="2A763D8D" w:rsidR="00985A32" w:rsidRDefault="00985A32" w:rsidP="00985A32">
      <w:pPr>
        <w:jc w:val="both"/>
      </w:pPr>
      <w:r>
        <w:t>Por otro lado, el modelo económico buscó promover el crecimiento mediante la atracción de empresas transnacionales y el ingreso de nuevos flujos de inversión extranjera directa (IED). Para ello se avanzó en la liberalización regulatoria y en la apertura económica, generando mayores incentivos a la innovación y a la expansión empresarial. Las firmas extranjeras se concentraron principalmente en sectores oligopólicos y tecnológicamente intensivos, aprovechando ventajas de propiedad derivadas de procesos y tecnologías desar</w:t>
      </w:r>
      <w:r w:rsidR="00987871">
        <w:t>rolladas en sus casas matrices.</w:t>
      </w:r>
    </w:p>
    <w:p w14:paraId="64571D42" w14:textId="2668ACE9" w:rsidR="00985A32" w:rsidRDefault="00985A32" w:rsidP="00985A32">
      <w:pPr>
        <w:jc w:val="both"/>
      </w:pPr>
      <w:r>
        <w:lastRenderedPageBreak/>
        <w:t>Las principales motivaciones detrás de la IED fueron la explotación de recursos naturales y mercados domésticos, la racionalización de la producción mediante economías de especialización y la adquisición de capacidades estratégicas. En el marco del MERCOSUR, el sector automotriz y de autopartes constituyó uno de los pocos casos de integración productiva compleja entre fi</w:t>
      </w:r>
      <w:r w:rsidR="00987871">
        <w:t>liales argentinas y brasileñas.</w:t>
      </w:r>
    </w:p>
    <w:p w14:paraId="0EA78D76" w14:textId="50F6FDAE" w:rsidR="00985A32" w:rsidRDefault="00985A32" w:rsidP="00985A32">
      <w:pPr>
        <w:jc w:val="both"/>
      </w:pPr>
      <w:r>
        <w:t>Durante esta década también emergió un nuevo perfil de especialización productiva, centrado en bienes industriales intensivos en recursos naturales, como acero, aluminio y papel. Sin embargo, mientras aumentaban las importaciones, el aporte de las exportaciones al crecimiento resultó limitado. Esto implicó que la expansión de la demanda interna se transformara en el principal motor del crecimiento económico, especialmente en el caso de los bienes indus</w:t>
      </w:r>
      <w:r w:rsidR="00987871">
        <w:t>triales de consumo e inversión.</w:t>
      </w:r>
    </w:p>
    <w:p w14:paraId="6286ABE9" w14:textId="70C837D8" w:rsidR="00985A32" w:rsidRDefault="00985A32" w:rsidP="00985A32">
      <w:pPr>
        <w:jc w:val="both"/>
      </w:pPr>
      <w:r>
        <w:t xml:space="preserve">La combinación entre el anclaje cambiario y el aumento de los costos salariales a un ritmo superior al de los precios generó un deterioro de la competitividad externa basada en mano de obra. Además, la participación de las importaciones de bienes de capital destinadas a sectores transables —como agro, minería e industria— se redujo progresivamente, dado que la inversión tendió a concentrarse en actividades no orientadas </w:t>
      </w:r>
      <w:r w:rsidR="00987871">
        <w:t>a la competencia internacional.</w:t>
      </w:r>
    </w:p>
    <w:p w14:paraId="724FFDE7" w14:textId="1B5BA4B7" w:rsidR="00985A32" w:rsidRDefault="00985A32" w:rsidP="00985A32">
      <w:pPr>
        <w:jc w:val="both"/>
      </w:pPr>
      <w:r>
        <w:t>No obstante, la implementación de estas reformas tuvo un fuerte impacto sobre el mercado laboral. Entre 1989 y 2001 se sancionó una gran cantidad de leyes, decretos y normas destinadas a reestructurar el funcionamiento del mercado de trabajo y adaptarlo al nuevo modelo económico. Entre las principales medidas se destacaron la ampliación del período de prueba, la incorporación de modalidades contractuales más precarias, la reducción o eliminación de contribuciones patronales, la disminución de las indemnizaciones por despido y la limitación de los mecanismos auto</w:t>
      </w:r>
      <w:r w:rsidR="00987871">
        <w:t>máticos de indexación salarial.</w:t>
      </w:r>
    </w:p>
    <w:p w14:paraId="70195E35" w14:textId="061BDBF6" w:rsidR="006C0EE8" w:rsidRDefault="00985A32" w:rsidP="00985A32">
      <w:pPr>
        <w:pBdr>
          <w:bottom w:val="single" w:sz="6" w:space="1" w:color="auto"/>
        </w:pBdr>
        <w:jc w:val="both"/>
      </w:pPr>
      <w:r>
        <w:t xml:space="preserve">En este contexto, la desigualdad de los ingresos laborales mostró fuertes oscilaciones y una marcada tendencia </w:t>
      </w:r>
      <w:r w:rsidR="00C1115A">
        <w:t>pro cíclica</w:t>
      </w:r>
      <w:r>
        <w:t>. Frente a ciclos de recesión y expansión, y en un marco de estabilidad de precios con rigideces salariales nominales, la tasa de desempleo se volvió considerablemente más volátil. A su vez, cuanto mayor era la inflexibilidad del mercado laboral, menor resultaba su capacidad de ajuste ante shocks negativos —como fluctuaciones en los flujos de capital o variaciones cambiarias—, incrementando especialmente el desempleo entre los trabajadores de menor calificación relativa. Esto contribuye a explicar el fortalecimiento y expansión de las instituciones laborales durante la segunda mitad de la década, particularmente entre 1996 y 1998.</w:t>
      </w:r>
    </w:p>
    <w:p w14:paraId="25C71C31" w14:textId="77777777" w:rsidR="00CD40A2" w:rsidRDefault="00CD40A2" w:rsidP="00985A32">
      <w:pPr>
        <w:pBdr>
          <w:bottom w:val="single" w:sz="6" w:space="1" w:color="auto"/>
        </w:pBdr>
        <w:jc w:val="both"/>
      </w:pPr>
    </w:p>
    <w:p w14:paraId="0D29FA58" w14:textId="77777777" w:rsidR="00CD40A2" w:rsidRDefault="00CD40A2" w:rsidP="00985A32">
      <w:pPr>
        <w:jc w:val="both"/>
      </w:pPr>
    </w:p>
    <w:p w14:paraId="69DCE2C5" w14:textId="59F49F18" w:rsidR="006C0EE8" w:rsidRDefault="006C0EE8" w:rsidP="00ED3C85">
      <w:pPr>
        <w:jc w:val="both"/>
      </w:pPr>
    </w:p>
    <w:p w14:paraId="2917B1F4" w14:textId="312FB83D" w:rsidR="006C0EE8" w:rsidRDefault="006C0EE8" w:rsidP="00957CFB">
      <w:pPr>
        <w:jc w:val="center"/>
        <w:rPr>
          <w:b/>
        </w:rPr>
      </w:pPr>
      <w:r>
        <w:br w:type="page"/>
      </w:r>
      <w:r w:rsidRPr="00957CFB">
        <w:rPr>
          <w:b/>
        </w:rPr>
        <w:lastRenderedPageBreak/>
        <w:t>El principio del fin.</w:t>
      </w:r>
    </w:p>
    <w:p w14:paraId="0DD36D81" w14:textId="55CD7380" w:rsidR="00BF2712" w:rsidRDefault="00BF2712" w:rsidP="00126E97">
      <w:pPr>
        <w:jc w:val="both"/>
      </w:pPr>
      <w:r>
        <w:t xml:space="preserve">Con el nuevo </w:t>
      </w:r>
      <w:r w:rsidR="00126E97" w:rsidRPr="00BF2712">
        <w:t xml:space="preserve">régimen de patrón dólar </w:t>
      </w:r>
      <w:r>
        <w:t xml:space="preserve">y la reforma estatal, el país se beneficio con una fuerte </w:t>
      </w:r>
      <w:proofErr w:type="spellStart"/>
      <w:r>
        <w:t>caida</w:t>
      </w:r>
      <w:proofErr w:type="spellEnd"/>
      <w:r>
        <w:t xml:space="preserve"> del riesgo país y mayor confianza financiera, que en conjunto con una disminución en las tasas de interés incentivaron a un aumento en la toma de deuda y </w:t>
      </w:r>
      <w:r w:rsidR="00126E97" w:rsidRPr="00BF2712">
        <w:t xml:space="preserve">un importante ingreso de capitales, </w:t>
      </w:r>
      <w:r>
        <w:t xml:space="preserve">destinados principalmente a corresponder la </w:t>
      </w:r>
      <w:r w:rsidR="00126E97" w:rsidRPr="00BF2712">
        <w:t xml:space="preserve">mejora en la Demanda agregada </w:t>
      </w:r>
      <w:r>
        <w:t xml:space="preserve">y su consecuente </w:t>
      </w:r>
      <w:r w:rsidR="00126E97" w:rsidRPr="00BF2712">
        <w:t xml:space="preserve">aumento </w:t>
      </w:r>
      <w:r>
        <w:t xml:space="preserve">en los precios de </w:t>
      </w:r>
      <w:r w:rsidR="00126E97" w:rsidRPr="00BF2712">
        <w:t xml:space="preserve">bienes no transables y las importaciones de transables, principalmente servicios. </w:t>
      </w:r>
    </w:p>
    <w:p w14:paraId="449B1BEB" w14:textId="19DC7FA9" w:rsidR="00BF2712" w:rsidRDefault="00126E97" w:rsidP="00BF2712">
      <w:pPr>
        <w:jc w:val="both"/>
      </w:pPr>
      <w:r w:rsidRPr="00BF2712">
        <w:t>El nuevo conjunto de precios relativos se mantendrá en la medida que</w:t>
      </w:r>
      <w:r w:rsidR="00BF2712">
        <w:t xml:space="preserve"> el ahorro externo se mantenga, sin </w:t>
      </w:r>
      <w:proofErr w:type="gramStart"/>
      <w:r w:rsidR="00BF2712">
        <w:t>embargo</w:t>
      </w:r>
      <w:proofErr w:type="gramEnd"/>
      <w:r w:rsidR="00BF2712">
        <w:t xml:space="preserve"> a finales de este periodo la entrada de financiación externa se vio interrumpida por crisis internacionales. Por ejemplo, la crisis del tequila en</w:t>
      </w:r>
      <w:r w:rsidR="00BF2712" w:rsidRPr="00BF2712">
        <w:t xml:space="preserve">1994 tras la devaluación del peso mexicano. Se originó por un déficit en la cuenta corriente, escasez de reservas internacionales y una fuerte emisión de bonos gubernamentales (tesobonos). El pánico resultante provocó una fuga masiva de capitales extranjeros que requirió un rescate financiero liderado por Estados Unidos y el Fondo Monetario Internacional (FMI). </w:t>
      </w:r>
      <w:r w:rsidR="00BF2712">
        <w:t xml:space="preserve">O la crisis asiática, que </w:t>
      </w:r>
      <w:proofErr w:type="spellStart"/>
      <w:r w:rsidR="00BF2712" w:rsidRPr="00BF2712">
        <w:t>omenzó</w:t>
      </w:r>
      <w:proofErr w:type="spellEnd"/>
      <w:r w:rsidR="00BF2712" w:rsidRPr="00BF2712">
        <w:t xml:space="preserve"> en Tailandia cuando el gobierno tuvo que liberar el tipo de cambio de su moneda (el baht) tras sufrir ataques especulativos. La crisis se propagó rápidamente como un efecto dominó hacia Indonesia, Malasia, Filipinas y Corea del Sur. Causó estragos debido al fuerte endeudamiento empresarial en dólares y la retirada de inversores extranjeros.</w:t>
      </w:r>
      <w:r w:rsidR="00BF2712">
        <w:t xml:space="preserve"> </w:t>
      </w:r>
    </w:p>
    <w:p w14:paraId="3B1A41A0" w14:textId="2CD501E1" w:rsidR="00BF2712" w:rsidRDefault="00BF2712" w:rsidP="00BF2712">
      <w:pPr>
        <w:jc w:val="both"/>
      </w:pPr>
      <w:r>
        <w:t>Este contexto internacional presiono al sector financiero e incentivo la fuga de divisas, generando una presión en el tipo de cambio fijo</w:t>
      </w:r>
      <w:r w:rsidR="002E18F7">
        <w:t xml:space="preserve">, el cual sumado al gran descontento social de los trabajadores hizo insostenible mantener el régimen militar a finales de la época y finalmente concluyo con el abandono del esquema cambiario tras una devaluación a fines de 2001 y una fuerte perdida de credibilidad bancaria e inflacionaria. </w:t>
      </w:r>
      <w:r>
        <w:t xml:space="preserve"> </w:t>
      </w:r>
      <w:r w:rsidR="002E18F7">
        <w:t>Las remuneraciones se deterioraron un 30% entre 2001 y 2002, y el desempleo alcanzo en 2002 una tasa de 25%.</w:t>
      </w:r>
    </w:p>
    <w:p w14:paraId="48493506" w14:textId="4181ABF1" w:rsidR="002E18F7" w:rsidRPr="00BF2712" w:rsidRDefault="002E18F7" w:rsidP="00BF2712">
      <w:pPr>
        <w:jc w:val="both"/>
      </w:pPr>
      <w:r>
        <w:t xml:space="preserve">Sin embargo, el default de 2001 permitió reasignar recursos fiscales y aliviar cuentas externas y el aumento en los precios internacionales de los </w:t>
      </w:r>
      <w:proofErr w:type="spellStart"/>
      <w:r>
        <w:t>commodities</w:t>
      </w:r>
      <w:proofErr w:type="spellEnd"/>
      <w:r>
        <w:t xml:space="preserve"> impulso la entrada de divisas y el crecimiento de la producción local. Las ramas industriales que se estimaban con mayor potencial sustitutivo no son los que recibieron medidas proteccionistas, por el contrario, se concentraron en las que menor capacidad sustitutiva mostraban. Es decir que el proteccionismo tuvo un objetivo más primordial que el de reducir las importaciones y resguardar el empleo en periodos de crisis.</w:t>
      </w:r>
    </w:p>
    <w:p w14:paraId="17A9426F" w14:textId="62317D4C" w:rsidR="00957CFB" w:rsidRDefault="00957CFB" w:rsidP="00985A32">
      <w:pPr>
        <w:jc w:val="both"/>
      </w:pPr>
      <w:r>
        <w:t xml:space="preserve">En la década de los 90, la OMC se </w:t>
      </w:r>
      <w:r w:rsidR="00126E97">
        <w:t>rigió</w:t>
      </w:r>
      <w:r>
        <w:t xml:space="preserve"> en base al criterio de reciprocidad y </w:t>
      </w:r>
      <w:r w:rsidR="00126E97">
        <w:t>cláusula</w:t>
      </w:r>
      <w:r>
        <w:t xml:space="preserve"> de la nación </w:t>
      </w:r>
      <w:r w:rsidR="00126E97">
        <w:t>más</w:t>
      </w:r>
      <w:r>
        <w:t xml:space="preserve"> favorecida, por lo que con </w:t>
      </w:r>
      <w:r w:rsidR="00126E97">
        <w:t>escaso</w:t>
      </w:r>
      <w:r>
        <w:t xml:space="preserve"> margen de maniobra arancelaria y con un TC fijo, se volvieron </w:t>
      </w:r>
      <w:r w:rsidR="00126E97">
        <w:t>imprescindibles</w:t>
      </w:r>
      <w:r>
        <w:t xml:space="preserve"> el uso de otras herramientas como el </w:t>
      </w:r>
      <w:r w:rsidR="00126E97">
        <w:t>antidumpin</w:t>
      </w:r>
      <w:r>
        <w:t xml:space="preserve">, derechos </w:t>
      </w:r>
      <w:r w:rsidR="00126E97">
        <w:t>compensatorios</w:t>
      </w:r>
      <w:r>
        <w:t xml:space="preserve"> y salvaguardas. Sin </w:t>
      </w:r>
      <w:r w:rsidR="00126E97">
        <w:t>embargo</w:t>
      </w:r>
      <w:r>
        <w:t xml:space="preserve">, en 2001 se aumentaron los aranceles de manera unilateral a varios bienes de consumo hasta el </w:t>
      </w:r>
      <w:r w:rsidR="00126E97">
        <w:t>límite</w:t>
      </w:r>
      <w:r>
        <w:t xml:space="preserve"> tolerado por la OMC, mientras se reducían a 0% los aranceles a los bienes de capital, lo que implico que se retomara el proteccionismo y se </w:t>
      </w:r>
      <w:r w:rsidR="00126E97">
        <w:t>devaluó</w:t>
      </w:r>
      <w:r>
        <w:t xml:space="preserve"> el peso.</w:t>
      </w:r>
    </w:p>
    <w:p w14:paraId="789DA97A" w14:textId="537BB4B7" w:rsidR="00CD40A2" w:rsidRDefault="00CD40A2" w:rsidP="00985A32">
      <w:pPr>
        <w:pBdr>
          <w:bottom w:val="single" w:sz="6" w:space="1" w:color="auto"/>
        </w:pBdr>
        <w:jc w:val="both"/>
      </w:pPr>
    </w:p>
    <w:p w14:paraId="43D06184" w14:textId="77777777" w:rsidR="00CD40A2" w:rsidRDefault="00CD40A2" w:rsidP="00985A32">
      <w:pPr>
        <w:jc w:val="both"/>
      </w:pPr>
    </w:p>
    <w:p w14:paraId="430A8463" w14:textId="1E0A89C1" w:rsidR="00CD40A2" w:rsidRDefault="00CD40A2">
      <w:r>
        <w:br w:type="page"/>
      </w:r>
    </w:p>
    <w:p w14:paraId="54714431" w14:textId="77777777" w:rsidR="00CD40A2" w:rsidRPr="00CD40A2" w:rsidRDefault="00CD40A2" w:rsidP="00CD40A2">
      <w:pPr>
        <w:jc w:val="center"/>
        <w:rPr>
          <w:b/>
        </w:rPr>
      </w:pPr>
      <w:r w:rsidRPr="00CD40A2">
        <w:rPr>
          <w:b/>
        </w:rPr>
        <w:lastRenderedPageBreak/>
        <w:t>Como nos recuperamos?</w:t>
      </w:r>
    </w:p>
    <w:p w14:paraId="778F59F0" w14:textId="62B737FB" w:rsidR="00D07DDF" w:rsidRDefault="00D07DDF" w:rsidP="00985A32">
      <w:pPr>
        <w:jc w:val="both"/>
      </w:pPr>
      <w:r>
        <w:t xml:space="preserve">En 2002 se </w:t>
      </w:r>
      <w:r w:rsidR="00126E97">
        <w:t>vivió</w:t>
      </w:r>
      <w:r>
        <w:t xml:space="preserve"> una </w:t>
      </w:r>
      <w:r w:rsidR="00126E97">
        <w:t>significativa</w:t>
      </w:r>
      <w:r>
        <w:t xml:space="preserve"> depreciación del peso y un fuerte crecimiento de los precios internos lo que aumento la participación de los puestos registrados, hubo una recuperación del empleo y sus remuneraciones gracias al aumento de la demanda laboral y la política de ingreso estatal. Por </w:t>
      </w:r>
      <w:r w:rsidR="00126E97">
        <w:t>ejemplo,</w:t>
      </w:r>
      <w:r>
        <w:t xml:space="preserve"> los incrementos salariales a través de sumas fijas y promoción de la negociación colectiva.</w:t>
      </w:r>
    </w:p>
    <w:p w14:paraId="27C5A7F9" w14:textId="0CEF6770" w:rsidR="00D07DDF" w:rsidRDefault="00D07DDF" w:rsidP="00985A32">
      <w:pPr>
        <w:jc w:val="both"/>
      </w:pPr>
      <w:r>
        <w:t xml:space="preserve">En 2007 el crecimiento macro se fue debilitando con una aceleración en el incremento de los precios </w:t>
      </w:r>
      <w:r w:rsidR="00126E97">
        <w:t>domésticos</w:t>
      </w:r>
      <w:r>
        <w:t xml:space="preserve">, desaceleración del empleo, principalmente los de menor calificación. La favorable evolución del mercado de trabajo al inicio del periodo poscrisis habría resultado en los efectos expansivos asociados a una política de tipo de cambio alto con capacidad ociosa y abundancia de </w:t>
      </w:r>
      <w:r w:rsidR="00126E97">
        <w:t>divisas</w:t>
      </w:r>
      <w:r>
        <w:t>.</w:t>
      </w:r>
    </w:p>
    <w:p w14:paraId="2421B1E3" w14:textId="2E3AA6EE" w:rsidR="00D07DDF" w:rsidRDefault="00D07DDF" w:rsidP="00985A32">
      <w:pPr>
        <w:jc w:val="both"/>
      </w:pPr>
      <w:r>
        <w:t xml:space="preserve">Durante la época pasada se </w:t>
      </w:r>
      <w:r w:rsidR="00126E97">
        <w:t>observó</w:t>
      </w:r>
      <w:r>
        <w:t xml:space="preserve"> un incremento del </w:t>
      </w:r>
      <w:r w:rsidR="00126E97">
        <w:t>porcentaje</w:t>
      </w:r>
      <w:r>
        <w:t xml:space="preserve"> total de hogares que sufren algún tipo de pobreza, principalmente </w:t>
      </w:r>
      <w:r w:rsidR="00126E97">
        <w:t>pobreza</w:t>
      </w:r>
      <w:r>
        <w:t xml:space="preserve"> reciente y crónica, </w:t>
      </w:r>
      <w:r w:rsidR="00126E97">
        <w:t>probablemente</w:t>
      </w:r>
      <w:r>
        <w:t xml:space="preserve"> </w:t>
      </w:r>
      <w:r w:rsidR="00126E97">
        <w:t>asociada</w:t>
      </w:r>
      <w:r>
        <w:t xml:space="preserve"> al deterioro del mercado de trabajo. Sin embargo, la tendencia se revierte a principios de los 2000</w:t>
      </w:r>
      <w:r w:rsidR="00CD40A2">
        <w:t>, donde bajan los tipos de pobreza mencionados y se incrementa levemente la pobreza estructural.</w:t>
      </w:r>
    </w:p>
    <w:p w14:paraId="1CF9E72E" w14:textId="795F04B7" w:rsidR="00CD40A2" w:rsidRDefault="00CD40A2" w:rsidP="00985A32">
      <w:pPr>
        <w:jc w:val="both"/>
      </w:pPr>
      <w:r>
        <w:t xml:space="preserve">El acelerado crecimiento manufacturero fue posible a la gran capacidad </w:t>
      </w:r>
      <w:r w:rsidR="00126E97">
        <w:t>ociosa</w:t>
      </w:r>
      <w:r>
        <w:t xml:space="preserve">, que </w:t>
      </w:r>
      <w:r w:rsidR="00126E97">
        <w:t>permitió</w:t>
      </w:r>
      <w:r>
        <w:t xml:space="preserve"> incrementar la producción sin necesidad de grandes inversiones. </w:t>
      </w:r>
      <w:r w:rsidR="00126E97">
        <w:t>Además</w:t>
      </w:r>
      <w:r>
        <w:t xml:space="preserve">, el gran cambio de precios relativos derivado de la devaluación del 2002 dio lugar a una fuerte recuperación de la rentabilidad para la producción </w:t>
      </w:r>
      <w:r w:rsidR="00C1115A">
        <w:t xml:space="preserve">de bienes transables. </w:t>
      </w:r>
    </w:p>
    <w:p w14:paraId="6AF3EE6C" w14:textId="4681CF7B" w:rsidR="00C1115A" w:rsidRDefault="00C1115A" w:rsidP="00985A32">
      <w:pPr>
        <w:jc w:val="both"/>
      </w:pPr>
      <w:r>
        <w:t xml:space="preserve">El sector industrial fue </w:t>
      </w:r>
      <w:r w:rsidR="00126E97">
        <w:t>potenciado</w:t>
      </w:r>
      <w:r>
        <w:t xml:space="preserve"> por la </w:t>
      </w:r>
      <w:r w:rsidR="00126E97">
        <w:t>macroeconomía</w:t>
      </w:r>
      <w:r>
        <w:t xml:space="preserve"> en la psoconvertibilidad. El tipo de cambio altamente competitivo funciono como política de fomento al proceso de reindustrialización, lo que </w:t>
      </w:r>
      <w:r w:rsidR="00126E97">
        <w:t>favoreció</w:t>
      </w:r>
      <w:r>
        <w:t xml:space="preserve"> a las industrias trabajo intensivas por el abaratamiento de los salarios en términos internacionales. </w:t>
      </w:r>
      <w:r w:rsidR="00126E97">
        <w:t>Además,</w:t>
      </w:r>
      <w:r>
        <w:t xml:space="preserve"> la tasa de interés se </w:t>
      </w:r>
      <w:r w:rsidR="00126E97">
        <w:t>redujo</w:t>
      </w:r>
      <w:r>
        <w:t xml:space="preserve"> en </w:t>
      </w:r>
      <w:r w:rsidR="00126E97">
        <w:t>comparación</w:t>
      </w:r>
      <w:r>
        <w:t xml:space="preserve"> con la década anterior, como consecuencia de la gran liquidez internacional, menor prima de riesgo y mayores niveles de inflación, disminuyendo </w:t>
      </w:r>
      <w:r w:rsidR="00126E97">
        <w:t>así</w:t>
      </w:r>
      <w:r>
        <w:t xml:space="preserve"> la tasa real. </w:t>
      </w:r>
      <w:r w:rsidR="00126E97">
        <w:t>Además,</w:t>
      </w:r>
      <w:r>
        <w:t xml:space="preserve"> se </w:t>
      </w:r>
      <w:r w:rsidR="00126E97">
        <w:t>redujo</w:t>
      </w:r>
      <w:r>
        <w:t xml:space="preserve"> fuertemente las tarifas eléctricas y un mayor salario real.</w:t>
      </w:r>
    </w:p>
    <w:p w14:paraId="1B5A4BBF" w14:textId="0D229D97" w:rsidR="00957CFB" w:rsidRDefault="00C1115A" w:rsidP="00985A32">
      <w:pPr>
        <w:jc w:val="both"/>
      </w:pPr>
      <w:r>
        <w:t xml:space="preserve">Los principales cambios en la legislación laboral durante 2003-2007 fue el aumento del salario </w:t>
      </w:r>
      <w:r w:rsidR="00126E97">
        <w:t>mínimo</w:t>
      </w:r>
      <w:r>
        <w:t xml:space="preserve">, vital y móvil, el aumento de jubilaciones </w:t>
      </w:r>
      <w:r w:rsidR="00126E97">
        <w:t>mínimas</w:t>
      </w:r>
      <w:r>
        <w:t xml:space="preserve"> y asignaciones familiares, suspensión de despidos sin causa y el fomento de negociaciones colectivas</w:t>
      </w:r>
    </w:p>
    <w:p w14:paraId="623BC5AE" w14:textId="63D3033A" w:rsidR="00985A32" w:rsidRDefault="00985A32" w:rsidP="006C0EE8"/>
    <w:p w14:paraId="37B7FC24" w14:textId="2850C3BA" w:rsidR="00127F4E" w:rsidRDefault="00127F4E" w:rsidP="00ED3C85">
      <w:pPr>
        <w:pBdr>
          <w:bottom w:val="single" w:sz="6" w:space="1" w:color="auto"/>
        </w:pBdr>
        <w:jc w:val="both"/>
      </w:pPr>
    </w:p>
    <w:p w14:paraId="7A5CD637" w14:textId="5692EAE0" w:rsidR="00C1115A" w:rsidRDefault="00C1115A">
      <w:r>
        <w:br w:type="page"/>
      </w:r>
    </w:p>
    <w:p w14:paraId="5D49669E" w14:textId="314D4535" w:rsidR="00C1115A" w:rsidRDefault="00C1115A" w:rsidP="00C1115A">
      <w:pPr>
        <w:jc w:val="center"/>
        <w:rPr>
          <w:b/>
        </w:rPr>
      </w:pPr>
      <w:proofErr w:type="gramStart"/>
      <w:r w:rsidRPr="00C1115A">
        <w:rPr>
          <w:b/>
        </w:rPr>
        <w:lastRenderedPageBreak/>
        <w:t xml:space="preserve">Que paso en la </w:t>
      </w:r>
      <w:proofErr w:type="spellStart"/>
      <w:r w:rsidRPr="00C1115A">
        <w:rPr>
          <w:b/>
        </w:rPr>
        <w:t>ultima</w:t>
      </w:r>
      <w:proofErr w:type="spellEnd"/>
      <w:r w:rsidRPr="00C1115A">
        <w:rPr>
          <w:b/>
        </w:rPr>
        <w:t xml:space="preserve"> década?</w:t>
      </w:r>
      <w:proofErr w:type="gramEnd"/>
    </w:p>
    <w:p w14:paraId="7AC2991F" w14:textId="77777777" w:rsidR="0060196A" w:rsidRDefault="0060196A" w:rsidP="00C1115A">
      <w:pPr>
        <w:jc w:val="both"/>
      </w:pPr>
    </w:p>
    <w:p w14:paraId="675606A2" w14:textId="54974F7D" w:rsidR="0060196A" w:rsidRDefault="0060196A" w:rsidP="00C1115A">
      <w:pPr>
        <w:jc w:val="both"/>
      </w:pPr>
      <w:r>
        <w:t>La década de entre 2010 y 2019 se caracterizó por una primera etapa de estancamiento del PBI, inflación mensual en torno al 2% y un deterioro en la cuenta corriente. En este primer periodo la pobreza se mantuvo relativamente constante cerca del 20% con una tasa de desempleo de en promedio 7%.</w:t>
      </w:r>
    </w:p>
    <w:p w14:paraId="081CE667" w14:textId="564B1486" w:rsidR="009D79FD" w:rsidRDefault="009D79FD" w:rsidP="00C1115A">
      <w:pPr>
        <w:jc w:val="both"/>
      </w:pPr>
      <w:r>
        <w:t xml:space="preserve">Para estos momentos el gobierno </w:t>
      </w:r>
      <w:r w:rsidR="009C2494">
        <w:t xml:space="preserve">estaba </w:t>
      </w:r>
      <w:r>
        <w:t>acumulado un fuerte</w:t>
      </w:r>
      <w:r w:rsidR="00C40025">
        <w:t xml:space="preserve"> déficit primario y </w:t>
      </w:r>
      <w:r>
        <w:t xml:space="preserve">financiero, principalmente financiado por emisión monetaria, ya que el estado argentino para eso momento no contaba con deuda ni una cuenta corriente que pudiera solventar el gasto gubernamental. Este tipo de financiamiento generaba presiones sobre el tipo de cambio fijo por lo que se estableció un cepo cambiario. Se </w:t>
      </w:r>
      <w:r w:rsidRPr="009D79FD">
        <w:t>determinó que las personas o empresas que quieran comprar dólares deberían tener la autorización de la AFIP. El dólar oficial estaba en $4,3 y el conocido como "</w:t>
      </w:r>
      <w:proofErr w:type="spellStart"/>
      <w:r w:rsidRPr="009D79FD">
        <w:t>dolar</w:t>
      </w:r>
      <w:proofErr w:type="spellEnd"/>
      <w:r w:rsidRPr="009D79FD">
        <w:t xml:space="preserve"> blue" estaba en $4,6.</w:t>
      </w:r>
    </w:p>
    <w:p w14:paraId="0BE6E500" w14:textId="2DF143F1" w:rsidR="009D79FD" w:rsidRDefault="009D79FD" w:rsidP="00C1115A">
      <w:pPr>
        <w:jc w:val="both"/>
      </w:pPr>
      <w:r w:rsidRPr="009D79FD">
        <w:t>Las empresas que necesitaran dólares para girar al exterior o pagar importaciones deberían tener una aprobación del Banco Central.</w:t>
      </w:r>
      <w:r>
        <w:t xml:space="preserve"> </w:t>
      </w:r>
      <w:r w:rsidRPr="009D79FD">
        <w:t>La AFIP eliminó la posibilidad de comprar dólares para ahorro y sólo se podían comprar en caso de viajes. La cotización oficial para comprar dólar estaba en $4,5 y el blue ya rozaba los $6.</w:t>
      </w:r>
      <w:r>
        <w:t xml:space="preserve"> </w:t>
      </w:r>
      <w:r w:rsidRPr="009D79FD">
        <w:t>El porcentaje de retención de impuestos, que ya había aumentado en marzo al 20%, subió nuevamente al 35%. Incluía el recargo a los consumos en dólares con tarjeta y al dólar oficial comprado por motivos de viajes, así como también pasajes y paquetes turísticos.</w:t>
      </w:r>
      <w:r w:rsidR="009C2494">
        <w:t xml:space="preserve"> Todo esto hizo que los valores del dólar oficial y el dólar blue se separaran cada vez mas, puesto que el oficial no reflejaba realmente la demanda del mercado y la tasa de política monetaria se mantuvo baja, reflejando el exceso de precios en el mercado monetario por el incremento en la base monetaria.</w:t>
      </w:r>
    </w:p>
    <w:p w14:paraId="3DD85B6C" w14:textId="42AEAE72" w:rsidR="009C2494" w:rsidRDefault="009C2494" w:rsidP="009C2494">
      <w:pPr>
        <w:jc w:val="both"/>
      </w:pPr>
      <w:r>
        <w:t>En la segunda mitad de esta década se profundizo la recesión con un aumento en la tasa de inflación, aumento de la pobreza, pasando de 25.7% 35.5% en 2019 y aumentos en el desempleo también.</w:t>
      </w:r>
    </w:p>
    <w:p w14:paraId="38C4DF9F" w14:textId="30F5B808" w:rsidR="009C2494" w:rsidRDefault="009C2494" w:rsidP="009C2494">
      <w:pPr>
        <w:jc w:val="both"/>
      </w:pPr>
      <w:r w:rsidRPr="009C2494">
        <w:t xml:space="preserve">Cumplidos los primeros 11 meses bajo el gobierno de Mauricio </w:t>
      </w:r>
      <w:proofErr w:type="spellStart"/>
      <w:r w:rsidRPr="009C2494">
        <w:t>Macri</w:t>
      </w:r>
      <w:proofErr w:type="spellEnd"/>
      <w:r w:rsidRPr="009C2494">
        <w:t>, el estado nacional, los estados provinciales y los bancos argentinos habían recibido 40 000 millones USD en préstamos, con lo que la deuda pública quedaba en cerca de 200 000 millones USD, lo que representaba casi el 30 % del producto interno bruto (PIB</w:t>
      </w:r>
      <w:r w:rsidR="002A51BC">
        <w:t>).</w:t>
      </w:r>
    </w:p>
    <w:p w14:paraId="332D2EB5" w14:textId="0031689B" w:rsidR="009C2494" w:rsidRDefault="009C2494" w:rsidP="009C2494">
      <w:pPr>
        <w:jc w:val="both"/>
      </w:pPr>
      <w:r>
        <w:t>A comienzos de 2018 el gobierno argentino atravesó una corrida cambiaria que causaría que el peso argentino perdiera la mitad de su valor en dólares</w:t>
      </w:r>
      <w:r w:rsidR="002A51BC">
        <w:t xml:space="preserve">. </w:t>
      </w:r>
      <w:r>
        <w:t>En mayo el presidente anunció públicamente que se recurriría al FMI:</w:t>
      </w:r>
    </w:p>
    <w:p w14:paraId="36F74459" w14:textId="77777777" w:rsidR="002A51BC" w:rsidRDefault="002A51BC" w:rsidP="009C2494">
      <w:pPr>
        <w:jc w:val="both"/>
      </w:pPr>
      <w:r w:rsidRPr="002A51BC">
        <w:rPr>
          <w:rFonts w:ascii="Bahnschrift Light" w:hAnsi="Bahnschrift Light"/>
        </w:rPr>
        <w:t>“</w:t>
      </w:r>
      <w:r w:rsidR="009C2494" w:rsidRPr="002A51BC">
        <w:rPr>
          <w:rFonts w:ascii="Bahnschrift Light" w:hAnsi="Bahnschrift Light"/>
        </w:rPr>
        <w:t xml:space="preserve">Durante los dos primeros años tuvimos contexto favorable y eso hoy está cambiando. Está subiendo la tasa de interés, está subiendo el petróleo, entre otras variables que nosotros no manejamos. Somos de los países del mundo que más dependemos del financiamiento externo. [...] Frente a esta nueva situación he decidido iniciar conversaciones con el FMI para que nos otorgue una línea de apoyo financiero. </w:t>
      </w:r>
      <w:r>
        <w:t>“</w:t>
      </w:r>
    </w:p>
    <w:p w14:paraId="19B72BBD" w14:textId="74D9AD75" w:rsidR="009D79FD" w:rsidRDefault="009C2494" w:rsidP="009C2494">
      <w:pPr>
        <w:jc w:val="both"/>
      </w:pPr>
      <w:r>
        <w:t>Un mes después se anunció el otorgamiento de un préstamo de 50 000 millones de dólares, el más gran</w:t>
      </w:r>
      <w:r w:rsidR="002A51BC">
        <w:t xml:space="preserve">de de la historia del organismo </w:t>
      </w:r>
      <w:r>
        <w:t>y equivalente a un 11 % d</w:t>
      </w:r>
      <w:r w:rsidR="002A51BC">
        <w:t>el PBI de la Argentina en 2018.</w:t>
      </w:r>
      <w:r>
        <w:t xml:space="preserve"> Apenas tres meses después se firmó un nuevo acuerdo con el FMI, donde se aumentó el préstamo a 57 100 millon</w:t>
      </w:r>
      <w:r w:rsidR="002A51BC">
        <w:t>es de dólares,</w:t>
      </w:r>
      <w:r>
        <w:t xml:space="preserve"> a los que se sumaron 5650 millones de dólares del Banco Interame</w:t>
      </w:r>
      <w:r w:rsidR="002A51BC">
        <w:t>ricano de Desarrollo (BID).</w:t>
      </w:r>
      <w:r>
        <w:t xml:space="preserve"> El eje de los requerimientos del FMI fue que el gobierno llegue al déficit primario </w:t>
      </w:r>
      <w:r w:rsidR="002A51BC">
        <w:t>cero en 2019,</w:t>
      </w:r>
      <w:r>
        <w:t xml:space="preserve"> aunque en julio de 2019 aceptó cambiar las metas originales y d</w:t>
      </w:r>
      <w:r w:rsidR="002A51BC">
        <w:t xml:space="preserve">esembolsar las sumas restantes. </w:t>
      </w:r>
      <w:proofErr w:type="gramStart"/>
      <w:r>
        <w:t>La</w:t>
      </w:r>
      <w:proofErr w:type="gramEnd"/>
      <w:r>
        <w:t xml:space="preserve"> oposición consideró que debía ser el congreso quien aprobara la toma de deuda con el FMI de acuerdo con el artículo 75, los incisos 4 y</w:t>
      </w:r>
      <w:r w:rsidR="002A51BC">
        <w:t xml:space="preserve"> 7 de la Constitución Nacional.</w:t>
      </w:r>
      <w:r>
        <w:t xml:space="preserve"> </w:t>
      </w:r>
    </w:p>
    <w:p w14:paraId="460A7E63" w14:textId="173F1D0D" w:rsidR="00C878B8" w:rsidRDefault="002A51BC" w:rsidP="00C1115A">
      <w:pPr>
        <w:jc w:val="both"/>
      </w:pPr>
      <w:r>
        <w:lastRenderedPageBreak/>
        <w:t xml:space="preserve">En este contexto se puso en vigencia </w:t>
      </w:r>
      <w:r w:rsidR="00C878B8" w:rsidRPr="00C878B8">
        <w:t xml:space="preserve">el impuesto a la renta financiera, que sobre todo afectó la tenencia de </w:t>
      </w:r>
      <w:proofErr w:type="spellStart"/>
      <w:r w:rsidR="00C878B8" w:rsidRPr="00C878B8">
        <w:t>Lebac</w:t>
      </w:r>
      <w:proofErr w:type="spellEnd"/>
      <w:r w:rsidR="00C878B8" w:rsidRPr="00C878B8">
        <w:t xml:space="preserve"> de fondos especulativos del exterior, que salieron del mercado. Eso alimentó una dema</w:t>
      </w:r>
      <w:r>
        <w:t xml:space="preserve">nda de dólares que se potenció </w:t>
      </w:r>
      <w:r w:rsidR="00C878B8" w:rsidRPr="00C878B8">
        <w:t>una corrección muy fuerte del tipo de cambio</w:t>
      </w:r>
      <w:r>
        <w:t>. Muchos</w:t>
      </w:r>
      <w:r w:rsidR="00C878B8" w:rsidRPr="00C878B8">
        <w:t xml:space="preserve"> inversores se mostraron disconformes con la imposición de un impuesto a tenedores extranjeros y, a partir del día en el que empezó a correr aquella norma, comenzaron a desarmar sus posiciones. Esta salida del peso implicó una demanda de dólares que no se lograba satisfacer.</w:t>
      </w:r>
    </w:p>
    <w:p w14:paraId="20B73B2F" w14:textId="683D1696" w:rsidR="00C878B8" w:rsidRDefault="00C878B8" w:rsidP="00C1115A">
      <w:pPr>
        <w:jc w:val="both"/>
      </w:pPr>
      <w:r w:rsidRPr="00C878B8">
        <w:t xml:space="preserve">El Banco Central de la República Argentina, entonces conducido por Federico </w:t>
      </w:r>
      <w:proofErr w:type="spellStart"/>
      <w:r w:rsidRPr="00C878B8">
        <w:t>Sturzenegger</w:t>
      </w:r>
      <w:proofErr w:type="spellEnd"/>
      <w:r w:rsidRPr="00C878B8">
        <w:t>, intentó contener la divisa y en un sólo día vendió 1471,7 millones dólares de sus reservas. Sin embargo, desde aquella jornada el billete verde empezó a subir de manera constante.</w:t>
      </w:r>
    </w:p>
    <w:p w14:paraId="0A9871A8" w14:textId="353C32EA" w:rsidR="00C878B8" w:rsidRDefault="002A51BC" w:rsidP="00C1115A">
      <w:pPr>
        <w:jc w:val="both"/>
      </w:pPr>
      <w:proofErr w:type="spellStart"/>
      <w:r>
        <w:t>Ademas</w:t>
      </w:r>
      <w:proofErr w:type="spellEnd"/>
      <w:r>
        <w:t>, es importante recordar que h</w:t>
      </w:r>
      <w:r w:rsidR="00C878B8" w:rsidRPr="00C878B8">
        <w:t>abía un desequilibrio de cuenta corriente d</w:t>
      </w:r>
      <w:r>
        <w:t xml:space="preserve">e 30 mil millones de dólares y </w:t>
      </w:r>
      <w:r w:rsidR="00C878B8" w:rsidRPr="00C878B8">
        <w:t xml:space="preserve">el Gobierno aplicaba </w:t>
      </w:r>
      <w:proofErr w:type="spellStart"/>
      <w:r w:rsidR="00C878B8" w:rsidRPr="00C878B8">
        <w:t>gradualismo</w:t>
      </w:r>
      <w:proofErr w:type="spellEnd"/>
      <w:r w:rsidR="00C878B8" w:rsidRPr="00C878B8">
        <w:t xml:space="preserve"> y no achicaba el déficit como había dicho. Por otra parte, en 2017, que fue un año electoral, se hab</w:t>
      </w:r>
      <w:r>
        <w:t>ía apreciado el tipo de cambio.</w:t>
      </w:r>
    </w:p>
    <w:p w14:paraId="22C5E701" w14:textId="2234B9AA" w:rsidR="00C878B8" w:rsidRDefault="00C878B8" w:rsidP="00C1115A">
      <w:pPr>
        <w:jc w:val="both"/>
      </w:pPr>
      <w:r w:rsidRPr="00C878B8">
        <w:t>Para los préstamos de corto plazo, de uno a nueve meses aproximadamente, el Banco Central de la República Argentina ofrece lo que se llaman las Letras del Banco Central (</w:t>
      </w:r>
      <w:proofErr w:type="spellStart"/>
      <w:r w:rsidRPr="00C878B8">
        <w:t>Lebacs</w:t>
      </w:r>
      <w:proofErr w:type="spellEnd"/>
      <w:r w:rsidRPr="00C878B8">
        <w:t>).</w:t>
      </w:r>
      <w:r>
        <w:t xml:space="preserve"> </w:t>
      </w:r>
      <w:r w:rsidRPr="00C878B8">
        <w:t xml:space="preserve">El Banco Central de la República Argentina (BCRA) incrementó drásticamente las tasas de interés de las </w:t>
      </w:r>
      <w:proofErr w:type="spellStart"/>
      <w:r w:rsidRPr="00C878B8">
        <w:t>LEBACs</w:t>
      </w:r>
      <w:proofErr w:type="spellEnd"/>
      <w:r w:rsidRPr="00C878B8">
        <w:t xml:space="preserve"> (Letras del Banco Central) durante 2018 para frenar una corrida cambiaria, llevando los rendimientos del 27,25% hasta un pico del 40% en mayo y llegando a convalidar tasas de hasta un 60% en agosto</w:t>
      </w:r>
      <w:r>
        <w:t>.</w:t>
      </w:r>
    </w:p>
    <w:p w14:paraId="126A6658" w14:textId="17B9933F" w:rsidR="00C878B8" w:rsidRDefault="002A51BC" w:rsidP="00C878B8">
      <w:pPr>
        <w:jc w:val="both"/>
      </w:pPr>
      <w:r>
        <w:t xml:space="preserve">Con el objetivo de reducir </w:t>
      </w:r>
      <w:r w:rsidR="00C878B8">
        <w:t>gradual</w:t>
      </w:r>
      <w:r>
        <w:t xml:space="preserve">mente el stock de LEBAC, se </w:t>
      </w:r>
      <w:r w:rsidR="00C878B8">
        <w:t xml:space="preserve">comenzó a ofertar </w:t>
      </w:r>
      <w:r>
        <w:t xml:space="preserve">en la licitaciones </w:t>
      </w:r>
      <w:r w:rsidR="00C878B8">
        <w:t>un monto inferior al vencimiento, que solo puede ser suscripto por compradores que no sean entidades financieras; éstas sólo pueden comprar LEBAC en el mercado primario a cuenta de terceros y no pueden vender sus tenencias remanentes a contrapartes que no sean bancos en el mercado secundario; a las entidades financieras se les ofrece como opciones para colocar su liquidez Notas del BCRA (NOBAC) y LELIQ. A su vez, como alternativa de inversión en pesos, el Ministerio de Hacienda comenzó a licitar letras en pesos en las fechas de vencimiento de LEBAC. Lo recaudado es depositado por el Tesoro en bancos públicos, que a su vez lo transfieren al BCRA para integrar encajes y adquirir LELIQ.</w:t>
      </w:r>
    </w:p>
    <w:p w14:paraId="66D3424F" w14:textId="0E065A70" w:rsidR="00C878B8" w:rsidRDefault="00C878B8" w:rsidP="00C878B8">
      <w:pPr>
        <w:jc w:val="both"/>
      </w:pPr>
      <w:r>
        <w:t>Así, tras el vencimiento de LEBAC se observó que parte de los fondos no renovados por los tenedores que nos son entidades financieras pasaron a engrosar los depósitos, tanto del sector público, por la colocación de LETES, como del sector privado. Como resultado, los depósitos a plazo en pesos del sector privado crecieron tanto en términos nominales como reales y el M3 privado acumuló un crecimiento nominal de 25,6% en los últimos 12 meses. Sin embargo, el M2 privado continuó desacelerándose, y alcanzó un crecimiento interanual nominal de 20%, principalmente por la evolución del circulante en poder del público.</w:t>
      </w:r>
    </w:p>
    <w:p w14:paraId="51A3C968" w14:textId="77777777" w:rsidR="00C878B8" w:rsidRDefault="00C878B8" w:rsidP="00C878B8">
      <w:pPr>
        <w:jc w:val="both"/>
      </w:pPr>
      <w:r>
        <w:t xml:space="preserve">A partir del 16 de agosto se dispuso un aumento de 3 p.p. de los coeficientes de encajes en pesos para las entidades financieras con mayores activos. Este incremento debe ser integrado mediante mayores saldos en cuentas corrientes. Así, parte de la disminución de LEBAC y del crecimiento de depósitos en pesos de las entidades financieras tuvo como contrapartida el aumento de las cuentas corrientes en pesos en el BCRA. Al término de agosto </w:t>
      </w:r>
      <w:proofErr w:type="gramStart"/>
      <w:r>
        <w:t>se  definió</w:t>
      </w:r>
      <w:proofErr w:type="gramEnd"/>
      <w:r>
        <w:t xml:space="preserve"> otro aumento de los coeficientes de encajes en pesos para el mismo grupo de entidades financieras, de 5 p.p., que tiene vigencia a partir de septiembre y puede ser integrado indistintamente con saldos en cuenta corriente en el BCRA, NOBAC o LELIQ.</w:t>
      </w:r>
    </w:p>
    <w:p w14:paraId="13728C87" w14:textId="77777777" w:rsidR="00C878B8" w:rsidRDefault="00C878B8" w:rsidP="00C878B8">
      <w:pPr>
        <w:jc w:val="both"/>
      </w:pPr>
    </w:p>
    <w:p w14:paraId="222A73D6" w14:textId="2BDA1C1F" w:rsidR="00C878B8" w:rsidRDefault="00C878B8" w:rsidP="00C878B8">
      <w:pPr>
        <w:jc w:val="both"/>
      </w:pPr>
      <w:r>
        <w:lastRenderedPageBreak/>
        <w:t xml:space="preserve">En el segmento en moneda local, los préstamos retrocedieron 0,8% en agosto al considerar los saldos en términos reales y </w:t>
      </w:r>
      <w:proofErr w:type="spellStart"/>
      <w:r>
        <w:t>desestacionalizados</w:t>
      </w:r>
      <w:proofErr w:type="spellEnd"/>
      <w:r>
        <w:t>, con caídas en la mayoría de las líneas de crédito. El crecimiento interanual real se ubicó en 10,9%. En términos nominales crecieron 0,8% apuntalado por las líneas relacionadas al consumo –personales y tarjetas– y los hipotecarios.</w:t>
      </w:r>
      <w:bookmarkStart w:id="0" w:name="_GoBack"/>
      <w:bookmarkEnd w:id="0"/>
    </w:p>
    <w:p w14:paraId="652380A5" w14:textId="77777777" w:rsidR="00520F35" w:rsidRDefault="00C878B8" w:rsidP="002A51BC">
      <w:pPr>
        <w:jc w:val="both"/>
      </w:pPr>
      <w:r>
        <w:t>Debido a que el crecimiento de los depósitos superó ampliamente el de los préstamos, en agosto aumentó 2 p.p. la liquidez bancaria en pesos hasta 45,7% de los depósitos. A su vez, las medidas implementadas en lo que respecta a la adjudicación de LEBAC y los requisitos de encajes hicieron que su composición cambiara, en favor de los componentes obligatorios –cuentas corrientes principalmente– y en detrimento de los títulos emitidos por el BCRA –con sustitución de LEBAC por LELIQ–.</w:t>
      </w:r>
    </w:p>
    <w:p w14:paraId="2495316F" w14:textId="5A7567FF" w:rsidR="002A51BC" w:rsidRDefault="002A51BC" w:rsidP="002A51BC">
      <w:pPr>
        <w:jc w:val="both"/>
      </w:pPr>
      <w:r>
        <w:t>Es decir que, a</w:t>
      </w:r>
      <w:r w:rsidRPr="002A51BC">
        <w:t>unque en 2017 se observó</w:t>
      </w:r>
      <w:r>
        <w:t xml:space="preserve"> una mejora en las cuentas fiscales, el sector financiero poseía una gran desconfianza en el sector estatal, </w:t>
      </w:r>
      <w:r w:rsidR="00520F35">
        <w:t>había un alto descontento de los trabajadores quieren vieron disminuidos sus salarios reales por los altos niveles de inflación y el país tenía fuertes restricciones para mantener un tipo de cambio fijo</w:t>
      </w:r>
      <w:r w:rsidRPr="002A51BC">
        <w:t>. Los niveles de inflación se mantuvieron cerca del 2% mensual, aunque en 2018 se observa un salto notable hasta casi los 7 %. A partir de 2018 se realizaron varias devaluaciones del peso bajo un régimen de tipo de cambio fijo y aumento notablemente la tasa de política monetaria.</w:t>
      </w:r>
    </w:p>
    <w:p w14:paraId="3F3B4936" w14:textId="7BAC85C8" w:rsidR="002A51BC" w:rsidRDefault="002A51BC" w:rsidP="0060196A">
      <w:pPr>
        <w:jc w:val="both"/>
      </w:pPr>
    </w:p>
    <w:p w14:paraId="1A7A1057" w14:textId="42A35888" w:rsidR="00C40025" w:rsidRDefault="00C40025" w:rsidP="00C1115A">
      <w:pPr>
        <w:jc w:val="both"/>
      </w:pPr>
    </w:p>
    <w:p w14:paraId="21AD3BCC" w14:textId="77777777" w:rsidR="00C40025" w:rsidRDefault="00C40025" w:rsidP="00C1115A">
      <w:pPr>
        <w:jc w:val="both"/>
      </w:pPr>
    </w:p>
    <w:p w14:paraId="5016FD78" w14:textId="77777777" w:rsidR="00C40025" w:rsidRPr="00C1115A" w:rsidRDefault="00C40025" w:rsidP="00C1115A">
      <w:pPr>
        <w:jc w:val="both"/>
      </w:pPr>
    </w:p>
    <w:sectPr w:rsidR="00C40025" w:rsidRPr="00C11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219"/>
    <w:rsid w:val="00126E97"/>
    <w:rsid w:val="00127F4E"/>
    <w:rsid w:val="001D4072"/>
    <w:rsid w:val="001E590F"/>
    <w:rsid w:val="002407B4"/>
    <w:rsid w:val="002A51BC"/>
    <w:rsid w:val="002E18F7"/>
    <w:rsid w:val="00520F35"/>
    <w:rsid w:val="00556AE4"/>
    <w:rsid w:val="00584A15"/>
    <w:rsid w:val="005D0FDA"/>
    <w:rsid w:val="005E0DA0"/>
    <w:rsid w:val="0060196A"/>
    <w:rsid w:val="006137F1"/>
    <w:rsid w:val="006C0EE8"/>
    <w:rsid w:val="007D595F"/>
    <w:rsid w:val="00823219"/>
    <w:rsid w:val="008B6750"/>
    <w:rsid w:val="00957CFB"/>
    <w:rsid w:val="00985A32"/>
    <w:rsid w:val="00987871"/>
    <w:rsid w:val="009C2494"/>
    <w:rsid w:val="009D79FD"/>
    <w:rsid w:val="00AB7122"/>
    <w:rsid w:val="00BA5437"/>
    <w:rsid w:val="00BF2712"/>
    <w:rsid w:val="00C1115A"/>
    <w:rsid w:val="00C40025"/>
    <w:rsid w:val="00C5382C"/>
    <w:rsid w:val="00C878B8"/>
    <w:rsid w:val="00CA696F"/>
    <w:rsid w:val="00CD40A2"/>
    <w:rsid w:val="00CF0736"/>
    <w:rsid w:val="00D07DDF"/>
    <w:rsid w:val="00E23B24"/>
    <w:rsid w:val="00ED3C85"/>
    <w:rsid w:val="00EF78AE"/>
    <w:rsid w:val="00FA2E2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71D7E"/>
  <w15:chartTrackingRefBased/>
  <w15:docId w15:val="{26699504-CC92-4B0E-B913-3CE35CE63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823219"/>
    <w:rPr>
      <w:sz w:val="16"/>
      <w:szCs w:val="16"/>
    </w:rPr>
  </w:style>
  <w:style w:type="paragraph" w:styleId="Textocomentario">
    <w:name w:val="annotation text"/>
    <w:basedOn w:val="Normal"/>
    <w:link w:val="TextocomentarioCar"/>
    <w:uiPriority w:val="99"/>
    <w:semiHidden/>
    <w:unhideWhenUsed/>
    <w:rsid w:val="0082321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23219"/>
    <w:rPr>
      <w:sz w:val="20"/>
      <w:szCs w:val="20"/>
    </w:rPr>
  </w:style>
  <w:style w:type="paragraph" w:styleId="Asuntodelcomentario">
    <w:name w:val="annotation subject"/>
    <w:basedOn w:val="Textocomentario"/>
    <w:next w:val="Textocomentario"/>
    <w:link w:val="AsuntodelcomentarioCar"/>
    <w:uiPriority w:val="99"/>
    <w:semiHidden/>
    <w:unhideWhenUsed/>
    <w:rsid w:val="00823219"/>
    <w:rPr>
      <w:b/>
      <w:bCs/>
    </w:rPr>
  </w:style>
  <w:style w:type="character" w:customStyle="1" w:styleId="AsuntodelcomentarioCar">
    <w:name w:val="Asunto del comentario Car"/>
    <w:basedOn w:val="TextocomentarioCar"/>
    <w:link w:val="Asuntodelcomentario"/>
    <w:uiPriority w:val="99"/>
    <w:semiHidden/>
    <w:rsid w:val="00823219"/>
    <w:rPr>
      <w:b/>
      <w:bCs/>
      <w:sz w:val="20"/>
      <w:szCs w:val="20"/>
    </w:rPr>
  </w:style>
  <w:style w:type="paragraph" w:styleId="Textodeglobo">
    <w:name w:val="Balloon Text"/>
    <w:basedOn w:val="Normal"/>
    <w:link w:val="TextodegloboCar"/>
    <w:uiPriority w:val="99"/>
    <w:semiHidden/>
    <w:unhideWhenUsed/>
    <w:rsid w:val="0082321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2321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9318526">
      <w:bodyDiv w:val="1"/>
      <w:marLeft w:val="0"/>
      <w:marRight w:val="0"/>
      <w:marTop w:val="0"/>
      <w:marBottom w:val="0"/>
      <w:divBdr>
        <w:top w:val="none" w:sz="0" w:space="0" w:color="auto"/>
        <w:left w:val="none" w:sz="0" w:space="0" w:color="auto"/>
        <w:bottom w:val="none" w:sz="0" w:space="0" w:color="auto"/>
        <w:right w:val="none" w:sz="0" w:space="0" w:color="auto"/>
      </w:divBdr>
      <w:divsChild>
        <w:div w:id="1082221432">
          <w:marLeft w:val="0"/>
          <w:marRight w:val="0"/>
          <w:marTop w:val="0"/>
          <w:marBottom w:val="0"/>
          <w:divBdr>
            <w:top w:val="none" w:sz="0" w:space="0" w:color="auto"/>
            <w:left w:val="none" w:sz="0" w:space="0" w:color="auto"/>
            <w:bottom w:val="none" w:sz="0" w:space="0" w:color="auto"/>
            <w:right w:val="none" w:sz="0" w:space="0" w:color="auto"/>
          </w:divBdr>
          <w:divsChild>
            <w:div w:id="1183325284">
              <w:marLeft w:val="0"/>
              <w:marRight w:val="0"/>
              <w:marTop w:val="360"/>
              <w:marBottom w:val="180"/>
              <w:divBdr>
                <w:top w:val="none" w:sz="0" w:space="0" w:color="auto"/>
                <w:left w:val="none" w:sz="0" w:space="0" w:color="auto"/>
                <w:bottom w:val="none" w:sz="0" w:space="0" w:color="auto"/>
                <w:right w:val="none" w:sz="0" w:space="0" w:color="auto"/>
              </w:divBdr>
            </w:div>
          </w:divsChild>
        </w:div>
        <w:div w:id="592973173">
          <w:marLeft w:val="0"/>
          <w:marRight w:val="0"/>
          <w:marTop w:val="0"/>
          <w:marBottom w:val="0"/>
          <w:divBdr>
            <w:top w:val="none" w:sz="0" w:space="0" w:color="auto"/>
            <w:left w:val="none" w:sz="0" w:space="0" w:color="auto"/>
            <w:bottom w:val="none" w:sz="0" w:space="0" w:color="auto"/>
            <w:right w:val="none" w:sz="0" w:space="0" w:color="auto"/>
          </w:divBdr>
          <w:divsChild>
            <w:div w:id="39042008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121290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8</Pages>
  <Words>3730</Words>
  <Characters>20519</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9</cp:revision>
  <dcterms:created xsi:type="dcterms:W3CDTF">2026-04-19T22:26:00Z</dcterms:created>
  <dcterms:modified xsi:type="dcterms:W3CDTF">2026-05-24T23:26:00Z</dcterms:modified>
</cp:coreProperties>
</file>