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EXMO. (A) SR. (A) JUIZ (A) DE DIREITO DA ______ª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{{comarca}}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COOPERATIVA DE CREDITO CREDIVAR LTDA - SICOOB CREDIVAR,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com escritório profissional estabelecido à Rua Antônio Pinto Reis, nº. 55, bairro Vila Pinto, Varginha/MG, CEP 37.014-450, onde recebe intimações e notificações e com endereço eletrônico roscheleprado@juridicovarginha.com.br,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AÇÃO DE EXECUÇÃO DE TÍTULO EXTRAJUDICIAL CONTRA DEVEDOR SOLVENTE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 face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vertAlign w:val="baseline"/>
          <w:rtl w:val="0"/>
        </w:rPr>
        <w:t xml:space="preserve">{{nome_devedor_principal}}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 {{qualificacao_devedor_principal}}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vertAlign w:val="baseline"/>
          <w:rtl w:val="0"/>
        </w:rPr>
        <w:t xml:space="preserve">{{nome_garantidor}}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{{qualificacao_garantidor}}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vertAlign w:val="baseline"/>
          <w:rtl w:val="0"/>
        </w:rPr>
        <w:t xml:space="preserve">{{qualidade_garantidor}}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pelos motivos de fatos e razões de direito a seguir aduzidos: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I - DO CABIMENTO DA PRESENTE EXECUÇÃO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presente ação de execução é fundada e instruída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{{tipo_titulo}}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emitida pelo(a) primeiro(a) Executado(a) 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{{texto_garantia_tipo}}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), não quitada a tempo e modo na forma contratual, tudo conforme disciplinado pela Lei 8.929 de 1994: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“Art. 4º - A CPR é título líquido e certo, exigível pela quantidade e qualidade de produto ou pelo valor nela previsto, no caso de liquidação financeira.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(...)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§ 2º - Para cobrança da CPR com liquidação financeira, cabe ação de execução por quantia certa.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II - DOS FATOS E FUNDAMENTOS JURÍDICOS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título executivo que embasa a presente demanda é uma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{{cabecalho_titulo_execucao}}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{{nome_devedor_principal}}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{{texto_garantia_hipotecaria}}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{{nome_garantidor}}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 vencimento para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{{data_vencimento_cedula}},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{{valor_original_cedula}}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O(s) executado(s) não cumpriram com o pagamento pactuado,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restando, pois, caracterizada sua mora.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Conforme planilha anexa, o saldo devedor executado apurado é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{{valor_execucao}}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sendo este o valor que se executa e que deverá ser atualizado e acrescido das cominações legais até o seu efetivo pagamento.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Assim, esgotados os meios para a composição amigável da dívida, alternativa não restou ao Exequente, senão compelir judicialmente os Executados a cumprirem com a obrigação assumida.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III - DOS PEDIDOS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Pelo exposto, com fundamento no artigo 784, XII, do Código de Processo Civil, combinado com os dispositivos da Lei 8.929 de 1994,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REQUER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34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Seja determinada a citação do(s) devedor(es) acima mencionado(s), por meio de mandado, com as prerrogativas ínsitas no art. 212 do CPC para, dentro do prazo de 03 (três) dias, pagar o valor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{{valor_citacao}}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aí incluídos, correção monetária, juros contratuais prefixados até o vencimento, juros e multa, tudo como especificado no demonstrativo anexo, a serem acrescidos de custas processuais e de honorários advocatícios,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{{texto_limite_garantidor_citacao}}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{{nome_garantidor}}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{{texto_limite_valor_garantia}}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ou no prazo de 15 (quinze) dias, como queiram, apresentem Embargos, que desde já requer sejam recebidos apenas no efeito devolutivo, ou exerçam o direito que lhes concede o artigo 916 do Código do Processo Civil;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ocorrendo o pagamento no prazo legal, pede que lhes sejam penhorados tantos bens quantos bastem para o pagamento do principal atualizado, juros, custas e honorários advocatícios (art. 831 do CPC), obedecendo a ordem prevista no artigo 655 do Código de Processo Civil com a lavratura do termo de penhora e intimação dos executados 829 e § do CPC), e ato continuo, requer a intimação dos seus cônjuges, se casados forem e a penhora recaia sobre bens imóveis, ressaltando-se ainda que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{{texto_limite_garantidor_penhora}}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{{nome_garantidor}}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responderá no limite do bem dado em garantia;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{{texto_indicacao_penhora_tipo}}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{{grau_garantia}}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firstLine="0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5" w:right="0" w:firstLine="0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{{descricao_bem_garantia}}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localizado dinheiro ou aplicações em instituições financeiras, antes da penhora de outros bens, requer, nos termos do artigo 854 CPC, requisitar a autoridade supervisora do sistema bancário – BACEN – informação da existência de ativos, ou seja, dinheiro disponível em contas, aplicações, e sua consequente indisponibilidade, até o limite da dívida e acessórios, inclusive honorários advocatícios;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localizados bens, fica desde já requerido, nos termos do artigo 829 do CPC, a intimação do(s) Executado(s) na pessoa de seu representante legal ou por seu advogado para que, no prazo de 05 (cinco) dias, indiquem onde se encontram os bens passiveis de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penhora, exibindo a prova de sua propriedade, dever este previsto no §2º do artigo 847 do CPC, sob pena de cometer ato atentatório à dignidade da justiça, artigo 774 do CPC;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produção de todos os meios de provas em direito admitidos, caso sejam opostos embargos e as prerrogativas do artigo 212 e parágrafos do Código de Processo Civil, para as diligências do Sr. Oficial de Justiça;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Outrossim, considerando o esgotamento de todos os meios para a solução amigável do débito, em conformidade com o artigo 319, inciso VII do CPC e o princípio da efetividade da jurisdição que guia o processo de Execução, o Exequente expressa interesse na realização de audiência de conciliação ou mediação conforme previsto no § 7º do art. 334 do CPC, desde já, a designação de audiência de conciliação por videoconferência, visando uma resolução consensual para a presente lide;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todas as publicações relativas ao andamento deste feito, sejam realizadas em nome do advogado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Wagner Roschel Christe - OAB/MG nº. 101.747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 endereço profissional na Rua Antônio Pinto Reis, n° 55, Vila Pinto, Varginha/MG, CEP 37.014-450 e com endereço eletrônico roscheleprado@juridicovarginha.com.br sob pena de nulidade processual por cerceamento de defesa;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Nos termos do art. 828 do CPC, seja determinada, no ato da distribuição,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a expedição de certidão comprobatória do ajuizamento da presente execução, com identificação das partes e valor da causa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para os fins de direito.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 fim, REQUER desde já, o prazo de 15 (quinze) dias nos termos do artigo 290, CPC, para juntada do comprovante de recolhimento das custas e despesas iniciais.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prova do alegado está consubstanciada nos documentos anexos, protestando, ainda, pela produção de todas as demais provas em direito admitidas.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Dá-se à presente causa 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{{valor_causa}}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Nestes termos,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Pede deferimento.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Varginha/MG, {{data_documento}}.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left"/>
        <w:tblInd w:w="-115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464"/>
        <w:gridCol w:w="4464"/>
        <w:tblGridChange w:id="0">
          <w:tblGrid>
            <w:gridCol w:w="4464"/>
            <w:gridCol w:w="44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bookmarkStart w:colFirst="0" w:colLast="0" w:name="_xz3ihyc4vmsr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0"/>
                <w:tab w:val="center" w:leader="none" w:pos="2124"/>
              </w:tabs>
              <w:spacing w:after="0" w:before="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OAB/MG 94.757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0"/>
              </w:tabs>
              <w:spacing w:after="0" w:before="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ahoma" w:cs="Tahoma" w:eastAsia="Tahoma" w:hAnsi="Tahom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1"/>
                <w:szCs w:val="21"/>
                <w:rtl w:val="0"/>
              </w:rPr>
              <w:t xml:space="preserve">ADERBAL RORIGUES FILHO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ahoma" w:cs="Tahoma" w:eastAsia="Tahoma" w:hAnsi="Tahoma"/>
                <w:sz w:val="21"/>
                <w:szCs w:val="21"/>
              </w:rPr>
            </w:pPr>
            <w:r w:rsidDel="00000000" w:rsidR="00000000" w:rsidRPr="00000000">
              <w:rPr>
                <w:rFonts w:ascii="Tahoma" w:cs="Tahoma" w:eastAsia="Tahoma" w:hAnsi="Tahoma"/>
                <w:sz w:val="21"/>
                <w:szCs w:val="21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4"/>
        </w:tabs>
        <w:spacing w:after="0" w:before="0" w:line="36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40" w:w="11907" w:orient="portrait"/>
      <w:pgMar w:bottom="1134" w:top="1315" w:left="1701" w:right="927" w:header="114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3765"/>
        <w:tab w:val="left" w:leader="none" w:pos="68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3765"/>
        <w:tab w:val="right" w:leader="none" w:pos="9279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80198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215" cy="108019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bookmarkStart w:colFirst="0" w:colLast="0" w:name="_a0ud90ylsje1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pict>
        <v:shape id="WordPictureWatermark1" style="position:absolute;width:595.45pt;height:850.5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705" w:hanging="360"/>
      </w:pPr>
      <w:rPr>
        <w:b w:val="1"/>
        <w:bCs w:val="1"/>
        <w:i w:val="1"/>
        <w:iCs w:val="1"/>
      </w:rPr>
    </w:lvl>
    <w:lvl w:ilvl="1">
      <w:start w:val="1"/>
      <w:numFmt w:val="lowerLetter"/>
      <w:lvlText w:val="%2."/>
      <w:lvlJc w:val="left"/>
      <w:pPr>
        <w:ind w:left="3425" w:hanging="360"/>
      </w:pPr>
      <w:rPr/>
    </w:lvl>
    <w:lvl w:ilvl="2">
      <w:start w:val="1"/>
      <w:numFmt w:val="lowerRoman"/>
      <w:lvlText w:val="%3."/>
      <w:lvlJc w:val="right"/>
      <w:pPr>
        <w:ind w:left="4145" w:hanging="180"/>
      </w:pPr>
      <w:rPr/>
    </w:lvl>
    <w:lvl w:ilvl="3">
      <w:start w:val="1"/>
      <w:numFmt w:val="decimal"/>
      <w:lvlText w:val="%4."/>
      <w:lvlJc w:val="left"/>
      <w:pPr>
        <w:ind w:left="4865" w:hanging="360"/>
      </w:pPr>
      <w:rPr/>
    </w:lvl>
    <w:lvl w:ilvl="4">
      <w:start w:val="1"/>
      <w:numFmt w:val="lowerLetter"/>
      <w:lvlText w:val="%5."/>
      <w:lvlJc w:val="left"/>
      <w:pPr>
        <w:ind w:left="5585" w:hanging="360"/>
      </w:pPr>
      <w:rPr/>
    </w:lvl>
    <w:lvl w:ilvl="5">
      <w:start w:val="1"/>
      <w:numFmt w:val="lowerRoman"/>
      <w:lvlText w:val="%6."/>
      <w:lvlJc w:val="right"/>
      <w:pPr>
        <w:ind w:left="6305" w:hanging="180"/>
      </w:pPr>
      <w:rPr/>
    </w:lvl>
    <w:lvl w:ilvl="6">
      <w:start w:val="1"/>
      <w:numFmt w:val="decimal"/>
      <w:lvlText w:val="%7."/>
      <w:lvlJc w:val="left"/>
      <w:pPr>
        <w:ind w:left="7025" w:hanging="360"/>
      </w:pPr>
      <w:rPr/>
    </w:lvl>
    <w:lvl w:ilvl="7">
      <w:start w:val="1"/>
      <w:numFmt w:val="lowerLetter"/>
      <w:lvlText w:val="%8."/>
      <w:lvlJc w:val="left"/>
      <w:pPr>
        <w:ind w:left="7745" w:hanging="360"/>
      </w:pPr>
      <w:rPr/>
    </w:lvl>
    <w:lvl w:ilvl="8">
      <w:start w:val="1"/>
      <w:numFmt w:val="lowerRoman"/>
      <w:lvlText w:val="%9."/>
      <w:lvlJc w:val="right"/>
      <w:pPr>
        <w:ind w:left="846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shd w:fill="e6e6e6" w:val="clear"/>
      <w:tabs>
        <w:tab w:val="left" w:leader="none" w:pos="6946"/>
      </w:tabs>
      <w:jc w:val="center"/>
    </w:pPr>
    <w:rPr>
      <w:rFonts w:ascii="Arial Narrow" w:cs="Arial Narrow" w:eastAsia="Arial Narrow" w:hAnsi="Arial Narrow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