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b w:val="1"/>
          <w:bCs w:val="1"/>
          <w:sz w:val="21"/>
          <w:szCs w:val="21"/>
          <w:highlight w:val="yellow"/>
        </w:rPr>
      </w:pPr>
      <w:r w:rsidDel="00000000" w:rsidR="00000000" w:rsidRPr="00000000">
        <w:rPr>
          <w:rFonts w:ascii="Tahoma" w:cs="Tahoma" w:eastAsia="Tahoma" w:hAnsi="Tahoma"/>
          <w:b w:val="1"/>
          <w:bCs w:val="1"/>
          <w:color w:val="000000"/>
          <w:sz w:val="21"/>
          <w:szCs w:val="21"/>
          <w:rtl w:val="0"/>
        </w:rPr>
        <w:t xml:space="preserve">EXMO. (A) S</w:t>
      </w:r>
      <w:r w:rsidDel="00000000" w:rsidR="00000000" w:rsidRPr="00000000">
        <w:rPr>
          <w:rFonts w:ascii="Tahoma" w:cs="Tahoma" w:eastAsia="Tahoma" w:hAnsi="Tahoma"/>
          <w:b w:val="1"/>
          <w:bCs w:val="1"/>
          <w:sz w:val="21"/>
          <w:szCs w:val="21"/>
          <w:rtl w:val="0"/>
        </w:rPr>
        <w:t xml:space="preserve">R. (A) JUIZ (A) DE DIREITO DA VARA CÍVEL DA COMARCA DE </w:t>
      </w:r>
      <w:r w:rsidDel="00000000" w:rsidR="00000000" w:rsidRPr="00000000">
        <w:rPr>
          <w:rFonts w:ascii="Tahoma" w:cs="Tahoma" w:eastAsia="Tahoma" w:hAnsi="Tahoma"/>
          <w:b w:val="1"/>
          <w:bCs w:val="1"/>
          <w:sz w:val="21"/>
          <w:szCs w:val="21"/>
          <w:rtl w:val="0"/>
        </w:rPr>
        <w:t xml:space="preserve">{{comarca}}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u w:val="singl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            </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6888"/>
        </w:tabs>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ab/>
        <w:tab/>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2" w:firstLine="1699"/>
        <w:jc w:val="both"/>
        <w:rPr>
          <w:rFonts w:ascii="Tahoma" w:cs="Tahoma" w:eastAsia="Tahoma" w:hAnsi="Tahoma"/>
          <w:color w:val="000000"/>
          <w:sz w:val="21"/>
          <w:szCs w:val="21"/>
          <w:highlight w:val="yellow"/>
        </w:rPr>
      </w:pPr>
      <w:r w:rsidDel="00000000" w:rsidR="00000000" w:rsidRPr="00000000">
        <w:rPr>
          <w:rFonts w:ascii="Tahoma" w:cs="Tahoma" w:eastAsia="Tahoma" w:hAnsi="Tahoma"/>
          <w:b w:val="1"/>
          <w:bCs w:val="1"/>
          <w:color w:val="000000"/>
          <w:sz w:val="21"/>
          <w:szCs w:val="21"/>
          <w:u w:val="single"/>
          <w:rtl w:val="0"/>
        </w:rPr>
        <w:t>COOPERATIVA DE CREDITO CREDIVAR LTDA - SICOOB CREDIVAR, instituição de crédito organizada sob forma de sociedade cooperativa com sede na cidade de Varginha/MG, à Rua Silvio Cougo, n° 680, Bairro Vila Paiva, CEP: 37.018-020, devidamente inscrita no CNPJ/MF sob o nº. 25.798.596/0001-48, neste ato representada na forma de seu Estatuto Social, vem com o devido acato e respeito perante Vossa Excelência, por intermédio de seu Procurador ao final assinado (instrumento de mandato incluso), com escritório profissional estabelecido à Rua Antônio Pinto Reis, nº. 55, bairro Vila Pinto, Varginha/MG, CEP 37.014-450, onde recebe intimações e notificações e também pelo endereço eletrônico roscheleprado@juridicovarginha.com.br, propor a presente AÇÃO DE EXECUÇÃO DE TÍTULO EXTRAJUDICIAL CONTRA DEVEDOR SOLVENTE em face de {{nome_empresa_executada}}, {{qualificacao_empresa_executada}} e {{nome_socio_executado}}, {{qualificacao_socio_executado}}, pelos motivos de fatos e razões de direito a seguir aduzidos:</w:t>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b w:val="1"/>
          <w:bCs w:val="1"/>
          <w:sz w:val="21"/>
          <w:szCs w:val="21"/>
          <w:rtl w:val="0"/>
        </w:rPr>
      </w:r>
      <w:r w:rsidDel="00000000" w:rsidR="00000000" w:rsidRPr="00000000">
        <w:rPr>
          <w:rFonts w:ascii="Tahoma" w:cs="Tahoma" w:eastAsia="Tahoma" w:hAnsi="Tahoma"/>
          <w:b w:val="1"/>
          <w:bCs w:val="1"/>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b w:val="1"/>
          <w:bCs w:val="1"/>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2" w:firstLine="1699"/>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u w:val="single"/>
          <w:rtl w:val="0"/>
        </w:rPr>
        <w:t xml:space="preserve">I - DO CABIMENTO DA PRESENTE EXECUÇÃO</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ind w:left="0" w:hanging="2"/>
        <w:jc w:val="both"/>
        <w:rPr>
          <w:rFonts w:ascii="Tahoma" w:cs="Tahoma" w:eastAsia="Tahoma" w:hAnsi="Tahoma"/>
          <w:color w:val="000000"/>
          <w:sz w:val="21"/>
          <w:szCs w:val="21"/>
          <w:u w:val="singl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 presente ação de execução é fundada e instruída em Cédula de Crédito Bancário (CCB), não quitada a tempo e modo na forma contratual.</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 Lei nº 10.931, de 2004, em seu art. 28, caput, em consonância com o art. 784, XII, do Código de Processo Civil, ao disciplinar a cédula de crédito bancário, conferiu-lhe a conformação de título de crédito, atribuindo-lhe a força executiva. Vejamos: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6" w:lineRule="auto"/>
        <w:ind w:left="1701" w:firstLine="0"/>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w:t>
      </w:r>
      <w:r w:rsidDel="00000000" w:rsidR="00000000" w:rsidRPr="00000000">
        <w:rPr>
          <w:rFonts w:ascii="Tahoma" w:cs="Tahoma" w:eastAsia="Tahoma" w:hAnsi="Tahoma"/>
          <w:b w:val="1"/>
          <w:bCs w:val="1"/>
          <w:color w:val="000000"/>
          <w:sz w:val="21"/>
          <w:szCs w:val="21"/>
          <w:rtl w:val="0"/>
        </w:rPr>
        <w:t xml:space="preserve">Art. 28</w:t>
      </w:r>
      <w:r w:rsidDel="00000000" w:rsidR="00000000" w:rsidRPr="00000000">
        <w:rPr>
          <w:rFonts w:ascii="Tahoma" w:cs="Tahoma" w:eastAsia="Tahoma" w:hAnsi="Tahoma"/>
          <w:color w:val="000000"/>
          <w:sz w:val="21"/>
          <w:szCs w:val="21"/>
          <w:rtl w:val="0"/>
        </w:rPr>
        <w:t xml:space="preserve">. A Cédula de Crédito Bancário é título executivo extrajudicial e representa dívida em dinheiro, certa, líquida e exigível, seja pela soma nela indicada, seja pelo saldo devedor demonstrado em planilha de cálculo, ou nos extratos da conta corrente, elaborados conforme previsto no § 2º.”</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Encontra-se pacificado no âmbito do STJ e, consequentemente, nos Tribunais Pátrios, a validade das cédulas de crédito bancário como instrumento apto a instruir ação de execução de título extrajudicial, representativa de operações de qualquer natureza, desde que cumpra com os requisitos legalmente estabelecidos para demonstração da liquidez e exequibilidade da dívida.</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Dessa forma, considerando que o Exequente cumpriu com os requisitos dispostos no § 2º do art. 28 da Lei 10.931/04, e art. 29 do mesmo dispositivo legal, não há que se falar em ausência de certeza, liquidez e exigibilidade da CCB.</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ind w:left="-2" w:firstLine="1708"/>
        <w:jc w:val="both"/>
        <w:rPr>
          <w:rFonts w:ascii="Tahoma" w:cs="Tahoma" w:eastAsia="Tahoma" w:hAnsi="Tahoma"/>
          <w:color w:val="000000"/>
          <w:sz w:val="21"/>
          <w:szCs w:val="21"/>
          <w:u w:val="single"/>
        </w:rPr>
      </w:pPr>
      <w:r w:rsidDel="00000000" w:rsidR="00000000" w:rsidRPr="00000000">
        <w:rPr>
          <w:rFonts w:ascii="Tahoma" w:cs="Tahoma" w:eastAsia="Tahoma" w:hAnsi="Tahoma"/>
          <w:b w:val="1"/>
          <w:bCs w:val="1"/>
          <w:color w:val="000000"/>
          <w:sz w:val="21"/>
          <w:szCs w:val="21"/>
          <w:u w:val="single"/>
          <w:rtl w:val="0"/>
        </w:rPr>
        <w:t xml:space="preserve">II - DOS FATOS E FUNDAMENTOS JURÍDICOS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ind w:left="-2" w:firstLine="1134"/>
        <w:jc w:val="both"/>
        <w:rPr>
          <w:rFonts w:ascii="Tahoma" w:cs="Tahoma" w:eastAsia="Tahoma" w:hAnsi="Tahoma"/>
          <w:color w:val="000000"/>
          <w:sz w:val="14"/>
          <w:szCs w:val="1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yellow"/>
        </w:rPr>
      </w:pPr>
      <w:r w:rsidDel="00000000" w:rsidR="00000000" w:rsidRPr="00000000">
        <w:rPr>
          <w:rFonts w:ascii="Tahoma" w:cs="Tahoma" w:eastAsia="Tahoma" w:hAnsi="Tahoma"/>
          <w:color w:val="000000"/>
          <w:sz w:val="21"/>
          <w:szCs w:val="21"/>
          <w:rtl w:val="0"/>
        </w:rPr>
        <w:t>O título executivo que embasa a presente demanda é uma Cédula de Crédito Bancário n° {{numero_cedula}}, emitida em {{data_emissao_cedula}}, sendo o crédito contratado no valor de {{valor_contratado}}, para ser pago em {{quantidade_parcelas}} parcelas mensais, iniciando-se os pagamentos em {{data_inicio_pagamentos}} com término previsto para {{data_termino_pagamentos}}.</w:t>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r w:rsidDel="00000000" w:rsidR="00000000" w:rsidRPr="00000000">
        <w:rPr>
          <w:rFonts w:ascii="Tahoma" w:cs="Tahoma" w:eastAsia="Tahoma" w:hAnsi="Tahoma"/>
          <w:sz w:val="21"/>
          <w:szCs w:val="21"/>
          <w:rtl w:val="0"/>
        </w:rPr>
      </w:r>
      <w:r w:rsidDel="00000000" w:rsidR="00000000" w:rsidRPr="00000000">
        <w:rPr>
          <w:rFonts w:ascii="Tahoma" w:cs="Tahoma" w:eastAsia="Tahoma" w:hAnsi="Tahoma"/>
          <w:color w:val="000000"/>
          <w:sz w:val="21"/>
          <w:szCs w:val="21"/>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yellow"/>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yellow"/>
        </w:rPr>
      </w:pPr>
      <w:r w:rsidDel="00000000" w:rsidR="00000000" w:rsidRPr="00000000">
        <w:rPr>
          <w:rFonts w:ascii="Tahoma" w:cs="Tahoma" w:eastAsia="Tahoma" w:hAnsi="Tahoma"/>
          <w:color w:val="000000"/>
          <w:sz w:val="21"/>
          <w:szCs w:val="21"/>
          <w:rtl w:val="0"/>
        </w:rPr>
        <w:t xml:space="preserve">{{texto_amortizacao_cotas}}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left="0"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Conforme planilha anexa, que preenche todos os requisitos do art. 28, § 2º da Lei 10.931/2004, o saldo devedor executado, é de {{valor_execucao}}, sendo este o valor que se executa.</w:t>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b w:val="1"/>
          <w:bCs w:val="1"/>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b w:val="1"/>
          <w:bCs w:val="1"/>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b w:val="1"/>
          <w:bCs w:val="1"/>
          <w:sz w:val="21"/>
          <w:szCs w:val="21"/>
          <w:rtl w:val="0"/>
        </w:rPr>
      </w:r>
      <w:r w:rsidDel="00000000" w:rsidR="00000000" w:rsidRPr="00000000">
        <w:rPr>
          <w:rFonts w:ascii="Tahoma" w:cs="Tahoma" w:eastAsia="Tahoma" w:hAnsi="Tahoma"/>
          <w:b w:val="1"/>
          <w:bCs w:val="1"/>
          <w:color w:val="000000"/>
          <w:sz w:val="21"/>
          <w:szCs w:val="21"/>
          <w:rtl w:val="0"/>
        </w:rPr>
      </w:r>
      <w:r w:rsidDel="00000000" w:rsidR="00000000" w:rsidRPr="00000000">
        <w:rPr>
          <w:rFonts w:ascii="Tahoma" w:cs="Tahoma" w:eastAsia="Tahoma" w:hAnsi="Tahoma"/>
          <w:color w:val="000000"/>
          <w:sz w:val="21"/>
          <w:szCs w:val="21"/>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ind w:left="0"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ind w:left="0" w:firstLine="1701"/>
        <w:jc w:val="both"/>
        <w:rPr>
          <w:rFonts w:ascii="Tahoma" w:cs="Tahoma" w:eastAsia="Tahoma" w:hAnsi="Tahoma"/>
          <w:color w:val="000000"/>
          <w:sz w:val="21"/>
          <w:szCs w:val="21"/>
        </w:rPr>
      </w:pPr>
      <w:bookmarkStart w:colFirst="0" w:colLast="0" w:name="_ac260qc3tx5i" w:id="0"/>
      <w:bookmarkEnd w:id="0"/>
      <w:r w:rsidDel="00000000" w:rsidR="00000000" w:rsidRPr="00000000">
        <w:rPr>
          <w:rFonts w:ascii="Tahoma" w:cs="Tahoma" w:eastAsia="Tahoma" w:hAnsi="Tahoma"/>
          <w:color w:val="000000"/>
          <w:sz w:val="21"/>
          <w:szCs w:val="21"/>
          <w:rtl w:val="0"/>
        </w:rPr>
        <w:t xml:space="preserve">Em sendo a cédula de crédito bancário título de crédito líquido, certo e exigível, é cabível a presente execução nos termos da Lei 10.931/2004.</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Assim, esgotados os meios para a composição amigável da dívida, outra alternativa não resta ao Exequente senão compelir judicialmente os Executados a cumprirem com a obrigação assumida.</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785"/>
        </w:tabs>
        <w:spacing w:line="360" w:lineRule="auto"/>
        <w:ind w:left="-2" w:firstLine="1708"/>
        <w:jc w:val="both"/>
        <w:rPr>
          <w:rFonts w:ascii="Tahoma" w:cs="Tahoma" w:eastAsia="Tahoma" w:hAnsi="Tahoma"/>
          <w:color w:val="000000"/>
          <w:sz w:val="21"/>
          <w:szCs w:val="21"/>
          <w:u w:val="single"/>
        </w:rPr>
      </w:pPr>
      <w:r w:rsidDel="00000000" w:rsidR="00000000" w:rsidRPr="00000000">
        <w:rPr>
          <w:rFonts w:ascii="Tahoma" w:cs="Tahoma" w:eastAsia="Tahoma" w:hAnsi="Tahoma"/>
          <w:b w:val="1"/>
          <w:bCs w:val="1"/>
          <w:color w:val="000000"/>
          <w:sz w:val="21"/>
          <w:szCs w:val="21"/>
          <w:u w:val="single"/>
          <w:rtl w:val="0"/>
        </w:rPr>
        <w:t xml:space="preserve">III - DOS PEDIDOS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Isto posto, com fundamento no artigo 784, XII, do Código de Processo Civil, combinado com os artigos 26 e seguintes da Lei 10.931/2004, </w:t>
      </w:r>
      <w:r w:rsidDel="00000000" w:rsidR="00000000" w:rsidRPr="00000000">
        <w:rPr>
          <w:rFonts w:ascii="Tahoma" w:cs="Tahoma" w:eastAsia="Tahoma" w:hAnsi="Tahoma"/>
          <w:b w:val="1"/>
          <w:bCs w:val="1"/>
          <w:color w:val="000000"/>
          <w:sz w:val="21"/>
          <w:szCs w:val="21"/>
          <w:u w:val="single"/>
          <w:rtl w:val="0"/>
        </w:rPr>
        <w:t xml:space="preserve">REQUER</w:t>
      </w:r>
      <w:r w:rsidDel="00000000" w:rsidR="00000000" w:rsidRPr="00000000">
        <w:rPr>
          <w:rFonts w:ascii="Tahoma" w:cs="Tahoma" w:eastAsia="Tahoma" w:hAnsi="Tahoma"/>
          <w:color w:val="000000"/>
          <w:sz w:val="21"/>
          <w:szCs w:val="21"/>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Seja determinada a citação do(s) devedor(es) acima mencionado(s), por meio de mandado, com as prerrogativas ínsitas no art. 212 do CPC para, dentro do prazo de 03 (três) dias, pagarem o valor de {{valor_citacao}} aí incluídos, correção monetária, juros contratuais prefixados até o vencimento, juros e multa de 2%, tudo como especificado no demonstrativo anexo, a serem acrescidos de custas processuais e de honorários advocatícios, ou no prazo de 15 (quinze) dias, como queiram, apresentem Embargos, que desde já requer sejam recebidos apenas no efeito devolutivo, ou exerçam o direito que lhes concede o artigo o artigo 916 do Código do Processo Civil;</w:t>
      </w:r>
      <w:r w:rsidDel="00000000" w:rsidR="00000000" w:rsidRPr="00000000">
        <w:rPr>
          <w:rFonts w:ascii="Tahoma" w:cs="Tahoma" w:eastAsia="Tahoma" w:hAnsi="Tahoma"/>
          <w:b w:val="1"/>
          <w:bCs w:val="1"/>
          <w:sz w:val="21"/>
          <w:szCs w:val="21"/>
          <w:rtl w:val="0"/>
        </w:rPr>
      </w:r>
      <w:r w:rsidDel="00000000" w:rsidR="00000000" w:rsidRPr="00000000">
        <w:rPr>
          <w:rFonts w:ascii="Tahoma" w:cs="Tahoma" w:eastAsia="Tahoma" w:hAnsi="Tahoma"/>
          <w:b w:val="1"/>
          <w:bCs w:val="1"/>
          <w:sz w:val="21"/>
          <w:szCs w:val="21"/>
          <w:rtl w:val="0"/>
        </w:rPr>
      </w:r>
      <w:r w:rsidDel="00000000" w:rsidR="00000000" w:rsidRPr="00000000">
        <w:rPr>
          <w:rFonts w:ascii="Tahoma" w:cs="Tahoma" w:eastAsia="Tahoma" w:hAnsi="Tahoma"/>
          <w:color w:val="000000"/>
          <w:sz w:val="21"/>
          <w:szCs w:val="21"/>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Não ocorrendo o pagamento no prazo legal, pede que lhes sejam penhorados tantos bens quantos bastem para o pagamento do principal atualizado, juros, custas e honorários advocatícios (art. 831 do CPC), obedecendo a ordem prevista no artigo 655 do Código de Processo Civil com a lavratura do termo de penhora e intimação do(s) executado(s) 829 e § do CPC), e ato continuo, requer a intimação do(s) seu(s) cônjuge(s), se casado(s) for(em) e a penhora recaia sobre bens imóveis;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line="276" w:lineRule="auto"/>
        <w:ind w:left="0"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Não localizado dinheiro ou aplicações em instituições financeiras, antes da penhora de outros bens, requer, nos termos do artigo 854 CPC, requisitar a autoridade supervisora do sistema bancário – BACEN – informação da existência de ativos, ou seja, dinheiro disponível em contas, aplicações, e sua consequente indisponibilidade, até o limite da divida e acessórios, inclusive honorários advocatícios;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Não localizados bens, fica desde já requerido, nos termos do artigo 829 do CPC, a intimação do(s) Executado(s) na pessoa de seu representante legal ou por seu advogado para que, no prazo de 05 (cinco) dias, indiquem onde se encontram os bens passiveis de penhora, exibindo a prova de sua propriedade, dever este previsto no §2º do artigo 847 do CPC, sob pena de cometer ato atentatório à dignidade da justiça, artigo 774 do CPC;</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 produção de todos os meios de provas em direito admitidos, caso sejam opostos embargos e as prerrogativas do artigo 212 e parágrafos do Código de Processo Civil, para as diligências do Sr. Oficial de Justiça;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ind w:left="-2" w:firstLine="1701"/>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Outrossim, considerando o esgotamento de todos os meios para a solução amigável do débito, em conformidade com o artigo 319, inciso VII do CPC e o princípio da efetividade da jurisdição que guia o processo de Execução, o Exequente expressa interesse na realização de audiência de conciliação ou mediação conforme previsto no § 7º do art. 334 do CPC, desde já, a designação de audiência de conciliação por videoconferência, visando uma resolução consensual para a presente lide;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276" w:lineRule="auto"/>
        <w:ind w:left="-2" w:firstLine="1708"/>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Que todas as publicações relativas ao andamento deste feito, sejam realizadas em nome do advogado Wagner Roschel Christe, inscrito na OAB/MG</w:t>
      </w:r>
      <w:r w:rsidDel="00000000" w:rsidR="00000000" w:rsidRPr="00000000">
        <w:rPr>
          <w:rFonts w:ascii="Tahoma" w:cs="Tahoma" w:eastAsia="Tahoma" w:hAnsi="Tahoma"/>
          <w:color w:val="000000"/>
          <w:sz w:val="21"/>
          <w:szCs w:val="21"/>
          <w:rtl w:val="0"/>
        </w:rPr>
        <w:t xml:space="preserve"> sob o número 101.747, com endereço profissional na Rua Antônio Pinto Reis, n° 55, Vila Pinto, Varginha/MG, CEP 37.014-450, com endereço eletrônico </w:t>
      </w:r>
      <w:hyperlink r:id="rId6">
        <w:r w:rsidDel="00000000" w:rsidR="00000000" w:rsidRPr="00000000">
          <w:rPr>
            <w:rFonts w:ascii="Tahoma" w:cs="Tahoma" w:eastAsia="Tahoma" w:hAnsi="Tahoma"/>
            <w:color w:val="0000ff"/>
            <w:sz w:val="21"/>
            <w:szCs w:val="21"/>
            <w:u w:val="single"/>
            <w:rtl w:val="0"/>
          </w:rPr>
          <w:t xml:space="preserve">roscheleprado@juridicovarginha.com.br</w:t>
        </w:r>
      </w:hyperlink>
      <w:r w:rsidDel="00000000" w:rsidR="00000000" w:rsidRPr="00000000">
        <w:rPr>
          <w:rFonts w:ascii="Tahoma" w:cs="Tahoma" w:eastAsia="Tahoma" w:hAnsi="Tahoma"/>
          <w:color w:val="000000"/>
          <w:sz w:val="21"/>
          <w:szCs w:val="21"/>
          <w:rtl w:val="0"/>
        </w:rPr>
        <w:t xml:space="preserve">, sob pena de nulidade processual por cerceamento de defesa;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Nos termos do art. 828 do CPC, seja determinada, no ato da distribuição, </w:t>
      </w:r>
      <w:r w:rsidDel="00000000" w:rsidR="00000000" w:rsidRPr="00000000">
        <w:rPr>
          <w:rFonts w:ascii="Tahoma" w:cs="Tahoma" w:eastAsia="Tahoma" w:hAnsi="Tahoma"/>
          <w:b w:val="1"/>
          <w:bCs w:val="1"/>
          <w:color w:val="000000"/>
          <w:sz w:val="21"/>
          <w:szCs w:val="21"/>
          <w:u w:val="single"/>
          <w:rtl w:val="0"/>
        </w:rPr>
        <w:t xml:space="preserve">a expedição de certidão comprobatória do ajuizamento da presente execução, com identificação das partes e valor da causa</w:t>
      </w:r>
      <w:r w:rsidDel="00000000" w:rsidR="00000000" w:rsidRPr="00000000">
        <w:rPr>
          <w:rFonts w:ascii="Tahoma" w:cs="Tahoma" w:eastAsia="Tahoma" w:hAnsi="Tahoma"/>
          <w:color w:val="000000"/>
          <w:sz w:val="21"/>
          <w:szCs w:val="21"/>
          <w:rtl w:val="0"/>
        </w:rPr>
        <w:t xml:space="preserve">, para os fins de direito.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Por fim, REQUER desde já, o prazo de 15 (quinze) dias nos termos do artigo 290, CPC, para juntada do comprovante de recolhimento das custas e despesas iniciais.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 prova do alegado está consubstanciada nos documentos anexos, protestando, ainda, pela produção de todas as demais provas em direito admitidas.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Dá-se à presente causa o valor de</w:t>
      </w:r>
      <w:r w:rsidDel="00000000" w:rsidR="00000000" w:rsidRPr="00000000">
        <w:rPr>
          <w:rFonts w:ascii="Tahoma" w:cs="Tahoma" w:eastAsia="Tahoma" w:hAnsi="Tahoma"/>
          <w:sz w:val="21"/>
          <w:szCs w:val="21"/>
          <w:rtl w:val="0"/>
        </w:rPr>
        <w:t xml:space="preserve"> </w:t>
      </w:r>
      <w:r w:rsidDel="00000000" w:rsidR="00000000" w:rsidRPr="00000000">
        <w:rPr>
          <w:rFonts w:ascii="Tahoma" w:cs="Tahoma" w:eastAsia="Tahoma" w:hAnsi="Tahoma"/>
          <w:sz w:val="21"/>
          <w:szCs w:val="21"/>
          <w:rtl w:val="0"/>
        </w:rPr>
        <w:t>{{valor_causa}}</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Nestes termos,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Pede deferimento.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yellow"/>
        </w:rPr>
      </w:pPr>
      <w:bookmarkStart w:colFirst="0" w:colLast="0" w:name="_qvon74jtgya1" w:id="1"/>
      <w:bookmarkEnd w:id="1"/>
      <w:r w:rsidDel="00000000" w:rsidR="00000000" w:rsidRPr="00000000">
        <w:rPr>
          <w:rFonts w:ascii="Tahoma" w:cs="Tahoma" w:eastAsia="Tahoma" w:hAnsi="Tahoma"/>
          <w:color w:val="000000"/>
          <w:sz w:val="21"/>
          <w:szCs w:val="21"/>
          <w:rtl w:val="0"/>
        </w:rPr>
        <w:t xml:space="preserve">Varginha/MG,</w:t>
      </w:r>
      <w:r w:rsidDel="00000000" w:rsidR="00000000" w:rsidRPr="00000000">
        <w:rPr>
          <w:rFonts w:ascii="Tahoma" w:cs="Tahoma" w:eastAsia="Tahoma" w:hAnsi="Tahoma"/>
          <w:sz w:val="21"/>
          <w:szCs w:val="21"/>
          <w:rtl w:val="0"/>
        </w:rPr>
        <w:t xml:space="preserve"> </w:t>
      </w:r>
      <w:r w:rsidDel="00000000" w:rsidR="00000000" w:rsidRPr="00000000">
        <w:rPr>
          <w:rFonts w:ascii="Tahoma" w:cs="Tahoma" w:eastAsia="Tahoma" w:hAnsi="Tahoma"/>
          <w:sz w:val="21"/>
          <w:szCs w:val="21"/>
          <w:rtl w:val="0"/>
        </w:rPr>
        <w:t>{{data_documento}}</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tbl>
      <w:tblPr>
        <w:tblStyle w:val="Table1"/>
        <w:tblW w:w="8928.0" w:type="dxa"/>
        <w:jc w:val="left"/>
        <w:tblInd w:w="-108.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464"/>
        <w:gridCol w:w="4464"/>
        <w:tblGridChange w:id="0">
          <w:tblGrid>
            <w:gridCol w:w="4464"/>
            <w:gridCol w:w="446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sz w:val="21"/>
                <w:szCs w:val="21"/>
              </w:rPr>
            </w:pPr>
            <w:bookmarkStart w:colFirst="0" w:colLast="0" w:name="_gbjxpetk32d9" w:id="2"/>
            <w:bookmarkEnd w:id="2"/>
            <w:r w:rsidDel="00000000" w:rsidR="00000000" w:rsidRPr="00000000">
              <w:rPr>
                <w:rFonts w:ascii="Tahoma" w:cs="Tahoma" w:eastAsia="Tahoma" w:hAnsi="Tahoma"/>
                <w:b w:val="1"/>
                <w:bCs w:val="1"/>
                <w:color w:val="000000"/>
                <w:sz w:val="21"/>
                <w:szCs w:val="21"/>
                <w:rtl w:val="0"/>
              </w:rPr>
              <w:t xml:space="preserve">WAGNER ROSCHEL CHRISTE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OAB/MG 101.747</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ALEXANDRE AUGUSTO DO PRADO</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OAB/MG 94.757</w:t>
            </w:r>
          </w:p>
        </w:tc>
      </w:tr>
      <w:tr>
        <w:trPr>
          <w:cantSplit w:val="0"/>
          <w:tblHeader w:val="0"/>
        </w:trPr>
        <w:tc>
          <w:tcPr>
            <w:gridSpan w:val="2"/>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E">
            <w:pPr>
              <w:ind w:left="0" w:hanging="2"/>
              <w:jc w:val="center"/>
              <w:rPr>
                <w:rFonts w:ascii="Tahoma" w:cs="Tahoma" w:eastAsia="Tahoma" w:hAnsi="Tahoma"/>
                <w:sz w:val="21"/>
                <w:szCs w:val="21"/>
              </w:rPr>
            </w:pPr>
            <w:r w:rsidDel="00000000" w:rsidR="00000000" w:rsidRPr="00000000">
              <w:rPr>
                <w:rtl w:val="0"/>
              </w:rPr>
            </w:r>
          </w:p>
          <w:p w:rsidR="00000000" w:rsidDel="00000000" w:rsidP="00000000" w:rsidRDefault="00000000" w:rsidRPr="00000000" w14:paraId="0000004F">
            <w:pPr>
              <w:ind w:left="0" w:hanging="2"/>
              <w:jc w:val="center"/>
              <w:rPr>
                <w:rFonts w:ascii="Tahoma" w:cs="Tahoma" w:eastAsia="Tahoma" w:hAnsi="Tahoma"/>
                <w:sz w:val="21"/>
                <w:szCs w:val="21"/>
              </w:rPr>
            </w:pPr>
            <w:r w:rsidDel="00000000" w:rsidR="00000000" w:rsidRPr="00000000">
              <w:rPr>
                <w:rtl w:val="0"/>
              </w:rPr>
            </w:r>
          </w:p>
          <w:p w:rsidR="00000000" w:rsidDel="00000000" w:rsidP="00000000" w:rsidRDefault="00000000" w:rsidRPr="00000000" w14:paraId="00000050">
            <w:pPr>
              <w:ind w:left="0" w:hanging="2"/>
              <w:jc w:val="center"/>
              <w:rPr>
                <w:rFonts w:ascii="Tahoma" w:cs="Tahoma" w:eastAsia="Tahoma" w:hAnsi="Tahoma"/>
                <w:sz w:val="21"/>
                <w:szCs w:val="21"/>
              </w:rPr>
            </w:pPr>
            <w:r w:rsidDel="00000000" w:rsidR="00000000" w:rsidRPr="00000000">
              <w:rPr>
                <w:rtl w:val="0"/>
              </w:rPr>
            </w:r>
          </w:p>
          <w:p w:rsidR="00000000" w:rsidDel="00000000" w:rsidP="00000000" w:rsidRDefault="00000000" w:rsidRPr="00000000" w14:paraId="00000051">
            <w:pPr>
              <w:ind w:left="0" w:hanging="2"/>
              <w:jc w:val="center"/>
              <w:rPr>
                <w:rFonts w:ascii="Tahoma" w:cs="Tahoma" w:eastAsia="Tahoma" w:hAnsi="Tahoma"/>
                <w:sz w:val="21"/>
                <w:szCs w:val="21"/>
              </w:rPr>
            </w:pPr>
            <w:r w:rsidDel="00000000" w:rsidR="00000000" w:rsidRPr="00000000">
              <w:rPr>
                <w:rFonts w:ascii="Tahoma" w:cs="Tahoma" w:eastAsia="Tahoma" w:hAnsi="Tahoma"/>
                <w:b w:val="1"/>
                <w:bCs w:val="1"/>
                <w:sz w:val="21"/>
                <w:szCs w:val="21"/>
                <w:rtl w:val="0"/>
              </w:rPr>
              <w:t xml:space="preserve">ADERBAL RODRIGUES FILHO</w:t>
            </w:r>
            <w:r w:rsidDel="00000000" w:rsidR="00000000" w:rsidRPr="00000000">
              <w:rPr>
                <w:rtl w:val="0"/>
              </w:rPr>
            </w:r>
          </w:p>
          <w:p w:rsidR="00000000" w:rsidDel="00000000" w:rsidP="00000000" w:rsidRDefault="00000000" w:rsidRPr="00000000" w14:paraId="00000052">
            <w:pPr>
              <w:ind w:left="0" w:hanging="2"/>
              <w:jc w:val="center"/>
              <w:rPr>
                <w:rFonts w:ascii="Tahoma" w:cs="Tahoma" w:eastAsia="Tahoma" w:hAnsi="Tahoma"/>
                <w:sz w:val="21"/>
                <w:szCs w:val="21"/>
              </w:rPr>
            </w:pPr>
            <w:r w:rsidDel="00000000" w:rsidR="00000000" w:rsidRPr="00000000">
              <w:rPr>
                <w:rFonts w:ascii="Tahoma" w:cs="Tahoma" w:eastAsia="Tahoma" w:hAnsi="Tahoma"/>
                <w:sz w:val="21"/>
                <w:szCs w:val="21"/>
                <w:rtl w:val="0"/>
              </w:rPr>
              <w:t xml:space="preserve">OAB/MG 105.521</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ind w:left="0" w:hanging="2"/>
        <w:jc w:val="center"/>
        <w:rPr>
          <w:rFonts w:ascii="Tahoma" w:cs="Tahoma" w:eastAsia="Tahoma" w:hAnsi="Tahoma"/>
          <w:color w:val="000000"/>
          <w:sz w:val="21"/>
          <w:szCs w:val="2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701" w:right="1418" w:header="2154" w:footer="17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ind w:left="0" w:hanging="2"/>
      <w:jc w:val="center"/>
      <w:rPr>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Fonts w:ascii="Tahoma" w:cs="Tahoma" w:eastAsia="Tahoma" w:hAnsi="Tahoma"/>
        <w:color w:val="000000"/>
      </w:rPr>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7563484" cy="108038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3484" cy="1080389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Pr>
      <w:pict>
        <v:shape id="WordPictureWatermark1" style="position:absolute;width:595.5499212598424pt;height:850.7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644" w:hanging="359.99999999999994"/>
      </w:pPr>
      <w:rPr>
        <w:b w:val="1"/>
        <w:bCs w:val="1"/>
        <w:i w:val="1"/>
        <w:iCs w:val="1"/>
        <w:vertAlign w:val="baseline"/>
      </w:rPr>
    </w:lvl>
    <w:lvl w:ilvl="1">
      <w:start w:val="1"/>
      <w:numFmt w:val="lowerLetter"/>
      <w:lvlText w:val="%2."/>
      <w:lvlJc w:val="left"/>
      <w:pPr>
        <w:ind w:left="3425" w:hanging="360"/>
      </w:pPr>
      <w:rPr>
        <w:vertAlign w:val="baseline"/>
      </w:rPr>
    </w:lvl>
    <w:lvl w:ilvl="2">
      <w:start w:val="1"/>
      <w:numFmt w:val="lowerRoman"/>
      <w:lvlText w:val="%3."/>
      <w:lvlJc w:val="right"/>
      <w:pPr>
        <w:ind w:left="4145" w:hanging="180"/>
      </w:pPr>
      <w:rPr>
        <w:vertAlign w:val="baseline"/>
      </w:rPr>
    </w:lvl>
    <w:lvl w:ilvl="3">
      <w:start w:val="1"/>
      <w:numFmt w:val="decimal"/>
      <w:lvlText w:val="%4."/>
      <w:lvlJc w:val="left"/>
      <w:pPr>
        <w:ind w:left="4865" w:hanging="360"/>
      </w:pPr>
      <w:rPr>
        <w:vertAlign w:val="baseline"/>
      </w:rPr>
    </w:lvl>
    <w:lvl w:ilvl="4">
      <w:start w:val="1"/>
      <w:numFmt w:val="lowerLetter"/>
      <w:lvlText w:val="%5."/>
      <w:lvlJc w:val="left"/>
      <w:pPr>
        <w:ind w:left="5585" w:hanging="360"/>
      </w:pPr>
      <w:rPr>
        <w:vertAlign w:val="baseline"/>
      </w:rPr>
    </w:lvl>
    <w:lvl w:ilvl="5">
      <w:start w:val="1"/>
      <w:numFmt w:val="lowerRoman"/>
      <w:lvlText w:val="%6."/>
      <w:lvlJc w:val="right"/>
      <w:pPr>
        <w:ind w:left="6305" w:hanging="180"/>
      </w:pPr>
      <w:rPr>
        <w:vertAlign w:val="baseline"/>
      </w:rPr>
    </w:lvl>
    <w:lvl w:ilvl="6">
      <w:start w:val="1"/>
      <w:numFmt w:val="decimal"/>
      <w:lvlText w:val="%7."/>
      <w:lvlJc w:val="left"/>
      <w:pPr>
        <w:ind w:left="7025" w:hanging="360"/>
      </w:pPr>
      <w:rPr>
        <w:vertAlign w:val="baseline"/>
      </w:rPr>
    </w:lvl>
    <w:lvl w:ilvl="7">
      <w:start w:val="1"/>
      <w:numFmt w:val="lowerLetter"/>
      <w:lvlText w:val="%8."/>
      <w:lvlJc w:val="left"/>
      <w:pPr>
        <w:ind w:left="7745" w:hanging="360"/>
      </w:pPr>
      <w:rPr>
        <w:vertAlign w:val="baseline"/>
      </w:rPr>
    </w:lvl>
    <w:lvl w:ilvl="8">
      <w:start w:val="1"/>
      <w:numFmt w:val="lowerRoman"/>
      <w:lvlText w:val="%9."/>
      <w:lvlJc w:val="right"/>
      <w:pPr>
        <w:ind w:left="8465"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roscheleprado@juridicovarginha.com.br"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