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374B" w14:textId="6FF1C4E1" w:rsidR="0085185F" w:rsidRPr="00460F17" w:rsidRDefault="00E61DCF" w:rsidP="0085185F">
      <w:pPr>
        <w:jc w:val="center"/>
        <w:rPr>
          <w:b/>
          <w:bCs/>
          <w:i/>
          <w:iCs/>
          <w:sz w:val="48"/>
          <w:szCs w:val="48"/>
          <w:lang w:val="en-US"/>
        </w:rPr>
      </w:pPr>
      <w:r w:rsidRPr="00460F17">
        <w:rPr>
          <w:b/>
          <w:bCs/>
          <w:i/>
          <w:iCs/>
          <w:sz w:val="48"/>
          <w:szCs w:val="48"/>
          <w:lang w:val="en-US"/>
        </w:rPr>
        <w:t>Martin Packaging Metrics</w:t>
      </w:r>
    </w:p>
    <w:p w14:paraId="329C15B4" w14:textId="28F96E89" w:rsidR="0085185F" w:rsidRPr="000275FC" w:rsidRDefault="0085185F" w:rsidP="0085185F">
      <w:pPr>
        <w:jc w:val="center"/>
        <w:rPr>
          <w:b/>
          <w:bCs/>
          <w:sz w:val="36"/>
          <w:szCs w:val="36"/>
          <w:lang w:val="en-US"/>
        </w:rPr>
      </w:pPr>
    </w:p>
    <w:p w14:paraId="134CFED7" w14:textId="7F204C13" w:rsidR="000E753E" w:rsidRPr="00694273" w:rsidRDefault="003A5B6B" w:rsidP="0085185F">
      <w:pPr>
        <w:rPr>
          <w:b/>
          <w:bCs/>
          <w:sz w:val="32"/>
          <w:szCs w:val="32"/>
          <w:lang w:val="en-US"/>
        </w:rPr>
      </w:pPr>
      <w:r w:rsidRPr="00694273">
        <w:rPr>
          <w:b/>
          <w:bCs/>
          <w:sz w:val="32"/>
          <w:szCs w:val="32"/>
          <w:lang w:val="en-US"/>
        </w:rPr>
        <w:t>Collected Metrics Explanation: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1A7CE7" w:rsidRPr="001A7CE7" w14:paraId="19C8D62E" w14:textId="77777777" w:rsidTr="001A7CE7">
        <w:trPr>
          <w:trHeight w:val="1956"/>
          <w:jc w:val="center"/>
        </w:trPr>
        <w:tc>
          <w:tcPr>
            <w:tcW w:w="8494" w:type="dxa"/>
            <w:vAlign w:val="center"/>
          </w:tcPr>
          <w:p w14:paraId="684DCA3D" w14:textId="77777777" w:rsidR="001A7CE7" w:rsidRPr="001A7CE7" w:rsidRDefault="001A7CE7" w:rsidP="001A7CE7">
            <w:pPr>
              <w:rPr>
                <w:rFonts w:eastAsiaTheme="minorEastAsia"/>
                <w:sz w:val="32"/>
                <w:szCs w:val="32"/>
                <w:lang w:val="en-US"/>
              </w:rPr>
            </w:pPr>
            <w:r w:rsidRPr="001A7CE7">
              <w:rPr>
                <w:i/>
                <w:iCs/>
                <w:sz w:val="28"/>
                <w:szCs w:val="28"/>
                <w:lang w:val="en-US"/>
              </w:rPr>
              <w:t>Abstractness (A):</w:t>
            </w:r>
            <w:r w:rsidRPr="001A7CE7">
              <w:rPr>
                <w:sz w:val="24"/>
                <w:szCs w:val="24"/>
                <w:lang w:val="en-US"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number of abstract classes and interfaces in a package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total number of classes and interfaces in a package</m:t>
                  </m:r>
                </m:den>
              </m:f>
            </m:oMath>
          </w:p>
          <w:p w14:paraId="61B5D970" w14:textId="77777777" w:rsidR="001A7CE7" w:rsidRDefault="001A7CE7" w:rsidP="001A7CE7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  <w:p w14:paraId="22906D96" w14:textId="7B756523" w:rsidR="001A7CE7" w:rsidRPr="001A7CE7" w:rsidRDefault="001A7CE7" w:rsidP="001A7CE7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001A7CE7">
              <w:rPr>
                <w:rFonts w:eastAsiaTheme="minorEastAsia"/>
                <w:sz w:val="24"/>
                <w:szCs w:val="24"/>
                <w:lang w:val="en-US"/>
              </w:rPr>
              <w:t>This value ranges between 0 and 1. The closer it is to 1, the more abstract the package is.</w:t>
            </w:r>
          </w:p>
        </w:tc>
      </w:tr>
      <w:tr w:rsidR="001A7CE7" w:rsidRPr="001A7CE7" w14:paraId="0C3BD567" w14:textId="77777777" w:rsidTr="00EB3D45">
        <w:trPr>
          <w:trHeight w:val="1544"/>
          <w:jc w:val="center"/>
        </w:trPr>
        <w:tc>
          <w:tcPr>
            <w:tcW w:w="8494" w:type="dxa"/>
            <w:vAlign w:val="center"/>
          </w:tcPr>
          <w:p w14:paraId="2C8AA8B1" w14:textId="5A1ACB17" w:rsidR="00EB3D45" w:rsidRDefault="001A7CE7" w:rsidP="00C340BE">
            <w:pPr>
              <w:rPr>
                <w:i/>
                <w:iCs/>
                <w:sz w:val="28"/>
                <w:szCs w:val="28"/>
                <w:lang w:val="en-US"/>
              </w:rPr>
            </w:pPr>
            <w:r w:rsidRPr="001A7CE7">
              <w:rPr>
                <w:i/>
                <w:iCs/>
                <w:sz w:val="28"/>
                <w:szCs w:val="28"/>
                <w:lang w:val="en-US"/>
              </w:rPr>
              <w:t>Afferent Coupling</w:t>
            </w:r>
            <w:r w:rsidRPr="001A7CE7">
              <w:rPr>
                <w:i/>
                <w:iCs/>
                <w:sz w:val="28"/>
                <w:szCs w:val="28"/>
                <w:lang w:val="en-US"/>
              </w:rPr>
              <w:t xml:space="preserve"> (</w:t>
            </w:r>
            <w:r w:rsidRPr="001A7CE7">
              <w:rPr>
                <w:i/>
                <w:iCs/>
                <w:sz w:val="28"/>
                <w:szCs w:val="28"/>
                <w:lang w:val="en-US"/>
              </w:rPr>
              <w:t>Ca</w:t>
            </w:r>
            <w:r w:rsidRPr="001A7CE7">
              <w:rPr>
                <w:i/>
                <w:iCs/>
                <w:sz w:val="28"/>
                <w:szCs w:val="28"/>
                <w:lang w:val="en-US"/>
              </w:rPr>
              <w:t>):</w:t>
            </w:r>
          </w:p>
          <w:p w14:paraId="50EE1E4D" w14:textId="77777777" w:rsidR="00EB3D45" w:rsidRPr="00EB3D45" w:rsidRDefault="00EB3D45" w:rsidP="00C340BE">
            <w:pPr>
              <w:rPr>
                <w:i/>
                <w:iCs/>
                <w:sz w:val="12"/>
                <w:szCs w:val="12"/>
                <w:lang w:val="en-US"/>
              </w:rPr>
            </w:pPr>
          </w:p>
          <w:p w14:paraId="48CD6F83" w14:textId="34809988" w:rsidR="001A7CE7" w:rsidRPr="00EB3D45" w:rsidRDefault="00EB3D45" w:rsidP="00C340B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B3D45">
              <w:rPr>
                <w:sz w:val="24"/>
                <w:szCs w:val="24"/>
                <w:lang w:val="en-US"/>
              </w:rPr>
              <w:t>The number of classes in other packages that are dependent on classes from this package.</w:t>
            </w:r>
            <w:r>
              <w:rPr>
                <w:sz w:val="24"/>
                <w:szCs w:val="24"/>
                <w:lang w:val="en-US"/>
              </w:rPr>
              <w:t xml:space="preserve"> The higher the number, the higher the responsibility this package has.</w:t>
            </w:r>
          </w:p>
        </w:tc>
      </w:tr>
      <w:tr w:rsidR="001A7CE7" w:rsidRPr="001A7CE7" w14:paraId="51D74F12" w14:textId="77777777" w:rsidTr="00AB36D6">
        <w:trPr>
          <w:trHeight w:val="1694"/>
          <w:jc w:val="center"/>
        </w:trPr>
        <w:tc>
          <w:tcPr>
            <w:tcW w:w="8494" w:type="dxa"/>
            <w:vAlign w:val="center"/>
          </w:tcPr>
          <w:p w14:paraId="41537AA1" w14:textId="77777777" w:rsidR="001A7CE7" w:rsidRDefault="001A7CE7" w:rsidP="00C340BE">
            <w:pPr>
              <w:rPr>
                <w:i/>
                <w:iCs/>
                <w:sz w:val="28"/>
                <w:szCs w:val="28"/>
                <w:lang w:val="en-US"/>
              </w:rPr>
            </w:pPr>
            <w:r w:rsidRPr="001A7CE7">
              <w:rPr>
                <w:i/>
                <w:iCs/>
                <w:sz w:val="28"/>
                <w:szCs w:val="28"/>
                <w:lang w:val="en-US"/>
              </w:rPr>
              <w:t>E</w:t>
            </w:r>
            <w:r w:rsidRPr="001A7CE7">
              <w:rPr>
                <w:i/>
                <w:iCs/>
                <w:sz w:val="28"/>
                <w:szCs w:val="28"/>
                <w:lang w:val="en-US"/>
              </w:rPr>
              <w:t>fferent Coupling (C</w:t>
            </w:r>
            <w:r w:rsidRPr="001A7CE7">
              <w:rPr>
                <w:i/>
                <w:iCs/>
                <w:sz w:val="28"/>
                <w:szCs w:val="28"/>
                <w:lang w:val="en-US"/>
              </w:rPr>
              <w:t>e</w:t>
            </w:r>
            <w:r w:rsidRPr="001A7CE7">
              <w:rPr>
                <w:i/>
                <w:iCs/>
                <w:sz w:val="28"/>
                <w:szCs w:val="28"/>
                <w:lang w:val="en-US"/>
              </w:rPr>
              <w:t>):</w:t>
            </w:r>
          </w:p>
          <w:p w14:paraId="3A943D6B" w14:textId="77777777" w:rsidR="00EB3D45" w:rsidRPr="00EB3D45" w:rsidRDefault="00EB3D45" w:rsidP="00EB3D45">
            <w:pPr>
              <w:rPr>
                <w:i/>
                <w:iCs/>
                <w:sz w:val="12"/>
                <w:szCs w:val="12"/>
                <w:lang w:val="en-US"/>
              </w:rPr>
            </w:pPr>
          </w:p>
          <w:p w14:paraId="6E76779A" w14:textId="60F5BE71" w:rsidR="00EB3D45" w:rsidRPr="001A7CE7" w:rsidRDefault="00EB3D45" w:rsidP="00EB3D45">
            <w:pPr>
              <w:rPr>
                <w:i/>
                <w:iCs/>
                <w:sz w:val="28"/>
                <w:szCs w:val="28"/>
                <w:lang w:val="en-US"/>
              </w:rPr>
            </w:pPr>
            <w:r w:rsidRPr="00EB3D45">
              <w:rPr>
                <w:sz w:val="24"/>
                <w:szCs w:val="24"/>
                <w:lang w:val="en-US"/>
              </w:rPr>
              <w:t xml:space="preserve">The number of classes in </w:t>
            </w:r>
            <w:r>
              <w:rPr>
                <w:sz w:val="24"/>
                <w:szCs w:val="24"/>
                <w:lang w:val="en-US"/>
              </w:rPr>
              <w:t>this</w:t>
            </w:r>
            <w:r w:rsidRPr="00EB3D45">
              <w:rPr>
                <w:sz w:val="24"/>
                <w:szCs w:val="24"/>
                <w:lang w:val="en-US"/>
              </w:rPr>
              <w:t xml:space="preserve"> package that are dependent on classes from </w:t>
            </w:r>
            <w:r>
              <w:rPr>
                <w:sz w:val="24"/>
                <w:szCs w:val="24"/>
                <w:lang w:val="en-US"/>
              </w:rPr>
              <w:t>other</w:t>
            </w:r>
            <w:r w:rsidRPr="00EB3D45">
              <w:rPr>
                <w:sz w:val="24"/>
                <w:szCs w:val="24"/>
                <w:lang w:val="en-US"/>
              </w:rPr>
              <w:t xml:space="preserve"> package</w:t>
            </w:r>
            <w:r>
              <w:rPr>
                <w:sz w:val="24"/>
                <w:szCs w:val="24"/>
                <w:lang w:val="en-US"/>
              </w:rPr>
              <w:t>s</w:t>
            </w:r>
            <w:r w:rsidRPr="00EB3D45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 xml:space="preserve"> The higher the number, the </w:t>
            </w:r>
            <w:r w:rsidR="00AB36D6">
              <w:rPr>
                <w:sz w:val="24"/>
                <w:szCs w:val="24"/>
                <w:lang w:val="en-US"/>
              </w:rPr>
              <w:t>more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AB36D6">
              <w:rPr>
                <w:sz w:val="24"/>
                <w:szCs w:val="24"/>
                <w:lang w:val="en-US"/>
              </w:rPr>
              <w:t>dependent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AB36D6">
              <w:rPr>
                <w:sz w:val="24"/>
                <w:szCs w:val="24"/>
                <w:lang w:val="en-US"/>
              </w:rPr>
              <w:t xml:space="preserve">on other packages </w:t>
            </w:r>
            <w:r>
              <w:rPr>
                <w:sz w:val="24"/>
                <w:szCs w:val="24"/>
                <w:lang w:val="en-US"/>
              </w:rPr>
              <w:t xml:space="preserve">this package </w:t>
            </w:r>
            <w:r w:rsidR="00AB36D6">
              <w:rPr>
                <w:sz w:val="24"/>
                <w:szCs w:val="24"/>
                <w:lang w:val="en-US"/>
              </w:rPr>
              <w:t>is.</w:t>
            </w:r>
          </w:p>
        </w:tc>
      </w:tr>
      <w:tr w:rsidR="001A7CE7" w:rsidRPr="001A7CE7" w14:paraId="6A6A158F" w14:textId="77777777" w:rsidTr="003235FF">
        <w:trPr>
          <w:trHeight w:val="1843"/>
          <w:jc w:val="center"/>
        </w:trPr>
        <w:tc>
          <w:tcPr>
            <w:tcW w:w="8494" w:type="dxa"/>
            <w:vAlign w:val="center"/>
          </w:tcPr>
          <w:p w14:paraId="69439BBA" w14:textId="77777777" w:rsidR="001A7CE7" w:rsidRDefault="001A7CE7" w:rsidP="00C340BE">
            <w:pPr>
              <w:rPr>
                <w:rFonts w:eastAsiaTheme="minorEastAsia"/>
                <w:i/>
                <w:iCs/>
                <w:sz w:val="28"/>
                <w:szCs w:val="28"/>
                <w:lang w:val="en-US"/>
              </w:rPr>
            </w:pPr>
            <w:r w:rsidRPr="001A7CE7">
              <w:rPr>
                <w:i/>
                <w:iCs/>
                <w:sz w:val="28"/>
                <w:szCs w:val="28"/>
                <w:lang w:val="en-US"/>
              </w:rPr>
              <w:t>Distance from the main sequence</w:t>
            </w:r>
            <w:r w:rsidRPr="001A7CE7">
              <w:rPr>
                <w:i/>
                <w:iCs/>
                <w:sz w:val="28"/>
                <w:szCs w:val="28"/>
                <w:lang w:val="en-US"/>
              </w:rPr>
              <w:t xml:space="preserve"> (</w:t>
            </w:r>
            <w:r w:rsidRPr="001A7CE7">
              <w:rPr>
                <w:i/>
                <w:iCs/>
                <w:sz w:val="28"/>
                <w:szCs w:val="28"/>
                <w:lang w:val="en-US"/>
              </w:rPr>
              <w:t>D</w:t>
            </w:r>
            <w:r w:rsidRPr="001A7CE7">
              <w:rPr>
                <w:i/>
                <w:iCs/>
                <w:sz w:val="28"/>
                <w:szCs w:val="28"/>
                <w:lang w:val="en-US"/>
              </w:rPr>
              <w:t>):</w:t>
            </w:r>
            <w:r w:rsidRPr="001A7CE7">
              <w:rPr>
                <w:i/>
                <w:iCs/>
                <w:sz w:val="28"/>
                <w:szCs w:val="28"/>
                <w:lang w:val="en-US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|abstractness+instability-1|</m:t>
              </m:r>
            </m:oMath>
          </w:p>
          <w:p w14:paraId="3CA74A5D" w14:textId="77777777" w:rsidR="001A7CE7" w:rsidRDefault="001A7CE7" w:rsidP="00C340BE">
            <w:pPr>
              <w:rPr>
                <w:rFonts w:eastAsiaTheme="minorEastAsia"/>
                <w:i/>
                <w:iCs/>
                <w:sz w:val="28"/>
                <w:szCs w:val="28"/>
                <w:lang w:val="en-US"/>
              </w:rPr>
            </w:pPr>
          </w:p>
          <w:p w14:paraId="4C0156C1" w14:textId="63633A38" w:rsidR="001A7CE7" w:rsidRPr="001A7CE7" w:rsidRDefault="001A7CE7" w:rsidP="00C340BE">
            <w:pPr>
              <w:rPr>
                <w:rFonts w:eastAsiaTheme="minorEastAsia"/>
                <w:i/>
                <w:iCs/>
                <w:sz w:val="28"/>
                <w:szCs w:val="28"/>
                <w:lang w:val="en-US"/>
              </w:rPr>
            </w:pPr>
            <w:r w:rsidRPr="001A7CE7">
              <w:rPr>
                <w:rFonts w:eastAsiaTheme="minorEastAsia"/>
                <w:sz w:val="24"/>
                <w:szCs w:val="24"/>
                <w:lang w:val="en-US"/>
              </w:rPr>
              <w:t xml:space="preserve">This value ranges between 0 and 1. </w:t>
            </w:r>
            <w:r w:rsidR="003235FF">
              <w:rPr>
                <w:rFonts w:eastAsiaTheme="minorEastAsia"/>
                <w:sz w:val="24"/>
                <w:szCs w:val="24"/>
                <w:lang w:val="en-US"/>
              </w:rPr>
              <w:t xml:space="preserve">A package is optimal (on the main sequence) if it’s balanced between abstractness and instability. </w:t>
            </w:r>
            <w:r w:rsidRPr="001A7CE7">
              <w:rPr>
                <w:rFonts w:eastAsiaTheme="minorEastAsia"/>
                <w:sz w:val="24"/>
                <w:szCs w:val="24"/>
                <w:lang w:val="en-US"/>
              </w:rPr>
              <w:t xml:space="preserve">The closer it is to 1, the </w:t>
            </w:r>
            <w:r w:rsidR="003235FF">
              <w:rPr>
                <w:rFonts w:eastAsiaTheme="minorEastAsia"/>
                <w:sz w:val="24"/>
                <w:szCs w:val="24"/>
                <w:lang w:val="en-US"/>
              </w:rPr>
              <w:t xml:space="preserve">further from the main sequence </w:t>
            </w:r>
            <w:r w:rsidRPr="001A7CE7">
              <w:rPr>
                <w:rFonts w:eastAsiaTheme="minorEastAsia"/>
                <w:sz w:val="24"/>
                <w:szCs w:val="24"/>
                <w:lang w:val="en-US"/>
              </w:rPr>
              <w:t>the package is.</w:t>
            </w:r>
          </w:p>
        </w:tc>
      </w:tr>
      <w:tr w:rsidR="001A7CE7" w:rsidRPr="001A7CE7" w14:paraId="169E7F9F" w14:textId="77777777" w:rsidTr="00D772AA">
        <w:trPr>
          <w:trHeight w:val="2099"/>
          <w:jc w:val="center"/>
        </w:trPr>
        <w:tc>
          <w:tcPr>
            <w:tcW w:w="8494" w:type="dxa"/>
            <w:vAlign w:val="center"/>
          </w:tcPr>
          <w:p w14:paraId="6EDF9E27" w14:textId="201C7BE9" w:rsidR="001A7CE7" w:rsidRDefault="001A7CE7" w:rsidP="00C340BE">
            <w:pPr>
              <w:rPr>
                <w:rFonts w:eastAsiaTheme="minorEastAsia"/>
                <w:sz w:val="32"/>
                <w:szCs w:val="32"/>
              </w:rPr>
            </w:pPr>
            <w:r w:rsidRPr="001A7CE7">
              <w:rPr>
                <w:i/>
                <w:iCs/>
                <w:sz w:val="28"/>
                <w:szCs w:val="28"/>
              </w:rPr>
              <w:t>Instability (I):</w:t>
            </w:r>
            <w:r w:rsidRPr="001A7CE7">
              <w:rPr>
                <w:sz w:val="28"/>
                <w:szCs w:val="28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efferent coupling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efferent coupling + afferent coupling</m:t>
                  </m:r>
                </m:den>
              </m:f>
            </m:oMath>
          </w:p>
          <w:p w14:paraId="7FCA50DD" w14:textId="77777777" w:rsidR="001A7CE7" w:rsidRDefault="001A7CE7" w:rsidP="00C340BE">
            <w:pPr>
              <w:rPr>
                <w:rFonts w:eastAsiaTheme="minorEastAsia"/>
                <w:sz w:val="32"/>
                <w:szCs w:val="32"/>
              </w:rPr>
            </w:pPr>
          </w:p>
          <w:p w14:paraId="767F8F04" w14:textId="35DF718E" w:rsidR="001A7CE7" w:rsidRPr="001A7CE7" w:rsidRDefault="001A7CE7" w:rsidP="00C340BE">
            <w:pPr>
              <w:rPr>
                <w:rFonts w:eastAsiaTheme="minorEastAsia"/>
                <w:sz w:val="32"/>
                <w:szCs w:val="32"/>
                <w:lang w:val="en-US"/>
              </w:rPr>
            </w:pPr>
            <w:r w:rsidRPr="001A7CE7">
              <w:rPr>
                <w:rFonts w:eastAsiaTheme="minorEastAsia"/>
                <w:sz w:val="24"/>
                <w:szCs w:val="24"/>
                <w:lang w:val="en-US"/>
              </w:rPr>
              <w:t>This value ranges between 0 and 1. The closer it is to 1, the more unstable the package is (regarding its adaptability to change</w:t>
            </w:r>
            <w:r w:rsidR="00AB36D6">
              <w:rPr>
                <w:rFonts w:eastAsiaTheme="minorEastAsia"/>
                <w:sz w:val="24"/>
                <w:szCs w:val="24"/>
                <w:lang w:val="en-US"/>
              </w:rPr>
              <w:t>; for example, losing access to other packages</w:t>
            </w:r>
            <w:r w:rsidRPr="001A7CE7">
              <w:rPr>
                <w:rFonts w:eastAsiaTheme="minorEastAsia"/>
                <w:sz w:val="24"/>
                <w:szCs w:val="24"/>
                <w:lang w:val="en-US"/>
              </w:rPr>
              <w:t>).</w:t>
            </w:r>
          </w:p>
        </w:tc>
      </w:tr>
    </w:tbl>
    <w:p w14:paraId="10D794D9" w14:textId="089CBB29" w:rsidR="000D512D" w:rsidRDefault="000D512D" w:rsidP="00B35D28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7FC4CF29" w14:textId="3C4C4BBC" w:rsidR="00F04703" w:rsidRDefault="00F04703" w:rsidP="00B35D28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56023E3E" w14:textId="2F1AAD49" w:rsidR="00F04703" w:rsidRDefault="00F04703" w:rsidP="00B35D28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2D769E6A" w14:textId="3AA81AA1" w:rsidR="00F04703" w:rsidRDefault="00F04703" w:rsidP="00B35D28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5E126F53" w14:textId="04459F05" w:rsidR="00F04703" w:rsidRDefault="00F04703" w:rsidP="00B35D28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7DF22A73" w14:textId="4E53815A" w:rsidR="00F04703" w:rsidRDefault="00F04703" w:rsidP="00B35D28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74963208" w14:textId="1CDB884F" w:rsidR="00F04703" w:rsidRDefault="00F04703" w:rsidP="00B35D28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F04703">
        <w:rPr>
          <w:sz w:val="32"/>
          <w:szCs w:val="32"/>
          <w:lang w:val="en-US"/>
        </w:rPr>
        <w:lastRenderedPageBreak/>
        <w:t xml:space="preserve">JabRef’s </w:t>
      </w:r>
      <w:r w:rsidR="005D4281">
        <w:rPr>
          <w:sz w:val="32"/>
          <w:szCs w:val="32"/>
          <w:lang w:val="en-US"/>
        </w:rPr>
        <w:t xml:space="preserve">packages’ </w:t>
      </w:r>
      <w:r w:rsidRPr="00F04703">
        <w:rPr>
          <w:b/>
          <w:bCs/>
          <w:i/>
          <w:iCs/>
          <w:sz w:val="32"/>
          <w:szCs w:val="32"/>
          <w:lang w:val="en-US"/>
        </w:rPr>
        <w:t>abstractness</w:t>
      </w:r>
      <w:r w:rsidRPr="00F04703">
        <w:rPr>
          <w:sz w:val="32"/>
          <w:szCs w:val="32"/>
          <w:lang w:val="en-US"/>
        </w:rPr>
        <w:t>:</w:t>
      </w:r>
    </w:p>
    <w:p w14:paraId="60F18E8D" w14:textId="48C632EB" w:rsidR="00F04703" w:rsidRDefault="00F04703" w:rsidP="00B35D28">
      <w:pPr>
        <w:pBdr>
          <w:bottom w:val="single" w:sz="6" w:space="1" w:color="auto"/>
        </w:pBdr>
        <w:rPr>
          <w:sz w:val="30"/>
          <w:szCs w:val="30"/>
          <w:lang w:val="en-US"/>
        </w:rPr>
      </w:pPr>
      <w:r w:rsidRPr="003E3924">
        <w:rPr>
          <w:sz w:val="30"/>
          <w:szCs w:val="30"/>
          <w:lang w:val="en-US"/>
        </w:rPr>
        <w:t>Seeing as JabRef’s average abstractness is 0.06, on a range from 0.00 to 1.00, we can conclude JabRef used a very small percentage of abstract classes and interfaces throughout the whole project (6%).</w:t>
      </w:r>
    </w:p>
    <w:p w14:paraId="769C2A93" w14:textId="77777777" w:rsidR="005D4281" w:rsidRDefault="005D4281" w:rsidP="00B35D28">
      <w:pPr>
        <w:pBdr>
          <w:bottom w:val="single" w:sz="6" w:space="1" w:color="auto"/>
        </w:pBdr>
        <w:rPr>
          <w:sz w:val="30"/>
          <w:szCs w:val="30"/>
          <w:lang w:val="en-US"/>
        </w:rPr>
      </w:pPr>
    </w:p>
    <w:p w14:paraId="20886725" w14:textId="5A104EC6" w:rsidR="003E3924" w:rsidRDefault="003E3924" w:rsidP="003E3924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F04703">
        <w:rPr>
          <w:sz w:val="32"/>
          <w:szCs w:val="32"/>
          <w:lang w:val="en-US"/>
        </w:rPr>
        <w:t xml:space="preserve">JabRef’s </w:t>
      </w:r>
      <w:r w:rsidR="005D4281">
        <w:rPr>
          <w:sz w:val="32"/>
          <w:szCs w:val="32"/>
          <w:lang w:val="en-US"/>
        </w:rPr>
        <w:t xml:space="preserve">packages’ </w:t>
      </w:r>
      <w:r w:rsidR="0078344C">
        <w:rPr>
          <w:b/>
          <w:bCs/>
          <w:i/>
          <w:iCs/>
          <w:sz w:val="32"/>
          <w:szCs w:val="32"/>
          <w:lang w:val="en-US"/>
        </w:rPr>
        <w:t>afferent and efferent couplings</w:t>
      </w:r>
      <w:r w:rsidR="005B0425">
        <w:rPr>
          <w:b/>
          <w:bCs/>
          <w:i/>
          <w:iCs/>
          <w:sz w:val="32"/>
          <w:szCs w:val="32"/>
          <w:lang w:val="en-US"/>
        </w:rPr>
        <w:t xml:space="preserve"> and instability</w:t>
      </w:r>
      <w:r w:rsidRPr="00F04703">
        <w:rPr>
          <w:sz w:val="32"/>
          <w:szCs w:val="32"/>
          <w:lang w:val="en-US"/>
        </w:rPr>
        <w:t>:</w:t>
      </w:r>
    </w:p>
    <w:p w14:paraId="2BE9BA1A" w14:textId="601A34FF" w:rsidR="003E3924" w:rsidRDefault="009434E5" w:rsidP="003E3924">
      <w:pPr>
        <w:pBdr>
          <w:bottom w:val="single" w:sz="6" w:space="1" w:color="auto"/>
        </w:pBd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JabRef’s afferent and efferent couplings total number is the same for both, 58621. Therefore, we can conclude </w:t>
      </w:r>
      <w:r w:rsidR="005B0425">
        <w:rPr>
          <w:sz w:val="30"/>
          <w:szCs w:val="30"/>
          <w:lang w:val="en-US"/>
        </w:rPr>
        <w:t>JabRef’s instability on each package is, on average, 0.5, making JabRef as a whole as stable as it is unstable.</w:t>
      </w:r>
      <w:r w:rsidR="0083177E">
        <w:rPr>
          <w:sz w:val="30"/>
          <w:szCs w:val="30"/>
          <w:lang w:val="en-US"/>
        </w:rPr>
        <w:t xml:space="preserve"> This number could be improved.</w:t>
      </w:r>
    </w:p>
    <w:p w14:paraId="6870148B" w14:textId="77777777" w:rsidR="005D4281" w:rsidRDefault="005D4281" w:rsidP="003E3924">
      <w:pPr>
        <w:pBdr>
          <w:bottom w:val="single" w:sz="6" w:space="1" w:color="auto"/>
        </w:pBdr>
        <w:rPr>
          <w:sz w:val="30"/>
          <w:szCs w:val="30"/>
          <w:lang w:val="en-US"/>
        </w:rPr>
      </w:pPr>
    </w:p>
    <w:p w14:paraId="61CE17EA" w14:textId="21599942" w:rsidR="005B0425" w:rsidRDefault="005B0425" w:rsidP="005B0425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F04703">
        <w:rPr>
          <w:sz w:val="32"/>
          <w:szCs w:val="32"/>
          <w:lang w:val="en-US"/>
        </w:rPr>
        <w:t xml:space="preserve">JabRef’s </w:t>
      </w:r>
      <w:r w:rsidR="005D4281">
        <w:rPr>
          <w:sz w:val="32"/>
          <w:szCs w:val="32"/>
          <w:lang w:val="en-US"/>
        </w:rPr>
        <w:t xml:space="preserve">packages’ </w:t>
      </w:r>
      <w:r>
        <w:rPr>
          <w:b/>
          <w:bCs/>
          <w:i/>
          <w:iCs/>
          <w:sz w:val="32"/>
          <w:szCs w:val="32"/>
          <w:lang w:val="en-US"/>
        </w:rPr>
        <w:t>distance from the main sequence</w:t>
      </w:r>
      <w:r w:rsidRPr="00F04703">
        <w:rPr>
          <w:sz w:val="32"/>
          <w:szCs w:val="32"/>
          <w:lang w:val="en-US"/>
        </w:rPr>
        <w:t>:</w:t>
      </w:r>
    </w:p>
    <w:p w14:paraId="6DD1B136" w14:textId="05592AA8" w:rsidR="003E3924" w:rsidRDefault="004F7D28" w:rsidP="00B35D28">
      <w:pPr>
        <w:pBdr>
          <w:bottom w:val="single" w:sz="6" w:space="1" w:color="auto"/>
        </w:pBd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Analyzing JabRef’s distance from the main sequence, we can understand it</w:t>
      </w:r>
      <w:r w:rsidR="006B4C5E">
        <w:rPr>
          <w:sz w:val="30"/>
          <w:szCs w:val="30"/>
          <w:lang w:val="en-US"/>
        </w:rPr>
        <w:t>s packages are, in general,</w:t>
      </w:r>
      <w:r w:rsidR="00E03649">
        <w:rPr>
          <w:sz w:val="30"/>
          <w:szCs w:val="30"/>
          <w:lang w:val="en-US"/>
        </w:rPr>
        <w:t xml:space="preserve"> somewhat </w:t>
      </w:r>
      <w:r>
        <w:rPr>
          <w:sz w:val="30"/>
          <w:szCs w:val="30"/>
          <w:lang w:val="en-US"/>
        </w:rPr>
        <w:t>balanced</w:t>
      </w:r>
      <w:r w:rsidR="006B4C5E">
        <w:rPr>
          <w:sz w:val="30"/>
          <w:szCs w:val="30"/>
          <w:lang w:val="en-US"/>
        </w:rPr>
        <w:t xml:space="preserve"> between abstractness and instability</w:t>
      </w:r>
      <w:r>
        <w:rPr>
          <w:sz w:val="30"/>
          <w:szCs w:val="30"/>
          <w:lang w:val="en-US"/>
        </w:rPr>
        <w:t>, since, on average, optimality is 0.3</w:t>
      </w:r>
      <w:r w:rsidR="00E03649">
        <w:rPr>
          <w:sz w:val="30"/>
          <w:szCs w:val="30"/>
          <w:lang w:val="en-US"/>
        </w:rPr>
        <w:t xml:space="preserve"> (the best possible value being 0.0)</w:t>
      </w:r>
      <w:r>
        <w:rPr>
          <w:sz w:val="30"/>
          <w:szCs w:val="30"/>
          <w:lang w:val="en-US"/>
        </w:rPr>
        <w:t>.</w:t>
      </w:r>
    </w:p>
    <w:p w14:paraId="47284430" w14:textId="77777777" w:rsidR="000A60E5" w:rsidRPr="00F65ECC" w:rsidRDefault="000A60E5" w:rsidP="000A60E5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48F5799F" w14:textId="77777777" w:rsidR="000A60E5" w:rsidRPr="005D4281" w:rsidRDefault="000A60E5" w:rsidP="000A60E5">
      <w:pPr>
        <w:rPr>
          <w:sz w:val="24"/>
          <w:szCs w:val="24"/>
          <w:lang w:val="en-US"/>
        </w:rPr>
      </w:pPr>
    </w:p>
    <w:p w14:paraId="6EB22C64" w14:textId="3CC5FC94" w:rsidR="000A60E5" w:rsidRPr="000A60E5" w:rsidRDefault="000A60E5" w:rsidP="000A60E5">
      <w:pPr>
        <w:rPr>
          <w:sz w:val="28"/>
          <w:szCs w:val="28"/>
          <w:lang w:val="en-US"/>
        </w:rPr>
      </w:pPr>
      <w:r w:rsidRPr="000A60E5">
        <w:rPr>
          <w:sz w:val="28"/>
          <w:szCs w:val="28"/>
          <w:lang w:val="en-US"/>
        </w:rPr>
        <w:t xml:space="preserve">These metrics do not seem to be related to </w:t>
      </w:r>
      <w:r w:rsidR="005D4281">
        <w:rPr>
          <w:sz w:val="28"/>
          <w:szCs w:val="28"/>
          <w:lang w:val="en-US"/>
        </w:rPr>
        <w:t>any</w:t>
      </w:r>
      <w:r w:rsidRPr="000A60E5">
        <w:rPr>
          <w:sz w:val="28"/>
          <w:szCs w:val="28"/>
          <w:lang w:val="en-US"/>
        </w:rPr>
        <w:t xml:space="preserve"> code smell we identified.</w:t>
      </w:r>
    </w:p>
    <w:p w14:paraId="6ECCCAAA" w14:textId="77777777" w:rsidR="000A60E5" w:rsidRPr="000A60E5" w:rsidRDefault="000A60E5" w:rsidP="000A60E5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4187C4CF" w14:textId="77777777" w:rsidR="000A60E5" w:rsidRPr="000A60E5" w:rsidRDefault="000A60E5" w:rsidP="000A60E5">
      <w:pPr>
        <w:rPr>
          <w:sz w:val="24"/>
          <w:szCs w:val="24"/>
          <w:lang w:val="en-US"/>
        </w:rPr>
      </w:pPr>
    </w:p>
    <w:p w14:paraId="10960627" w14:textId="77777777" w:rsidR="000A60E5" w:rsidRPr="002D2C06" w:rsidRDefault="000A60E5" w:rsidP="000A60E5">
      <w:pPr>
        <w:rPr>
          <w:sz w:val="24"/>
          <w:szCs w:val="24"/>
        </w:rPr>
      </w:pPr>
      <w:r w:rsidRPr="002D2C06">
        <w:rPr>
          <w:sz w:val="24"/>
          <w:szCs w:val="24"/>
        </w:rPr>
        <w:t>Francisco Pires, nº 58208</w:t>
      </w:r>
    </w:p>
    <w:sectPr w:rsidR="000A60E5" w:rsidRPr="002D2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5F"/>
    <w:rsid w:val="000275FC"/>
    <w:rsid w:val="000A60E5"/>
    <w:rsid w:val="000D512D"/>
    <w:rsid w:val="000E753E"/>
    <w:rsid w:val="001A7CE7"/>
    <w:rsid w:val="001D375E"/>
    <w:rsid w:val="002851A1"/>
    <w:rsid w:val="00293BE2"/>
    <w:rsid w:val="002C511B"/>
    <w:rsid w:val="002C6564"/>
    <w:rsid w:val="002D2C06"/>
    <w:rsid w:val="003235FF"/>
    <w:rsid w:val="00386FDC"/>
    <w:rsid w:val="003A5B6B"/>
    <w:rsid w:val="003E3924"/>
    <w:rsid w:val="00444679"/>
    <w:rsid w:val="004532A1"/>
    <w:rsid w:val="00460F17"/>
    <w:rsid w:val="00486368"/>
    <w:rsid w:val="004A75BD"/>
    <w:rsid w:val="004F7D28"/>
    <w:rsid w:val="00515C1F"/>
    <w:rsid w:val="005318E8"/>
    <w:rsid w:val="00555EE4"/>
    <w:rsid w:val="005B0425"/>
    <w:rsid w:val="005D4281"/>
    <w:rsid w:val="00694273"/>
    <w:rsid w:val="006B4C5E"/>
    <w:rsid w:val="0078344C"/>
    <w:rsid w:val="0083177E"/>
    <w:rsid w:val="0085185F"/>
    <w:rsid w:val="00904E5B"/>
    <w:rsid w:val="009434E5"/>
    <w:rsid w:val="009D659A"/>
    <w:rsid w:val="009E06AD"/>
    <w:rsid w:val="00A85839"/>
    <w:rsid w:val="00A94403"/>
    <w:rsid w:val="00AB36D6"/>
    <w:rsid w:val="00B35D28"/>
    <w:rsid w:val="00B645B5"/>
    <w:rsid w:val="00B702D2"/>
    <w:rsid w:val="00B83410"/>
    <w:rsid w:val="00C01021"/>
    <w:rsid w:val="00C27BE4"/>
    <w:rsid w:val="00C555CD"/>
    <w:rsid w:val="00C97617"/>
    <w:rsid w:val="00D772AA"/>
    <w:rsid w:val="00DE432E"/>
    <w:rsid w:val="00DF00D5"/>
    <w:rsid w:val="00E03649"/>
    <w:rsid w:val="00E61DCF"/>
    <w:rsid w:val="00EA2C54"/>
    <w:rsid w:val="00EB3D45"/>
    <w:rsid w:val="00F04703"/>
    <w:rsid w:val="00F24354"/>
    <w:rsid w:val="00F6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8386"/>
  <w15:chartTrackingRefBased/>
  <w15:docId w15:val="{835AEDB2-7F5C-45C5-A6DE-BB22216E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2A1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C27BE4"/>
    <w:rPr>
      <w:color w:val="808080"/>
    </w:rPr>
  </w:style>
  <w:style w:type="table" w:styleId="TableGrid">
    <w:name w:val="Table Grid"/>
    <w:basedOn w:val="TableNormal"/>
    <w:uiPriority w:val="39"/>
    <w:rsid w:val="001A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334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Guilherme Marques Brandle de Abreu Freire</dc:creator>
  <cp:keywords/>
  <dc:description/>
  <cp:lastModifiedBy>fa.pires@FCT.UNL.PT</cp:lastModifiedBy>
  <cp:revision>32</cp:revision>
  <dcterms:created xsi:type="dcterms:W3CDTF">2021-12-06T11:10:00Z</dcterms:created>
  <dcterms:modified xsi:type="dcterms:W3CDTF">2021-12-06T16:19:00Z</dcterms:modified>
</cp:coreProperties>
</file>