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gif" ContentType="image/gif"/>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uppressAutoHyphens w:val="true"/>
        <w:bidi w:val="0"/>
        <w:ind w:left="3572" w:right="0" w:hanging="0"/>
        <w:jc w:val="both"/>
        <w:rPr>
          <w:rFonts w:ascii="Times New Roman" w:hAnsi="Times New Roman"/>
          <w:b/>
          <w:bCs/>
          <w:sz w:val="24"/>
          <w:szCs w:val="24"/>
        </w:rPr>
      </w:pPr>
      <w:r>
        <w:rPr>
          <w:rFonts w:ascii="Times New Roman" w:hAnsi="Times New Roman"/>
          <w:b/>
          <w:bCs/>
          <w:sz w:val="24"/>
          <w:szCs w:val="24"/>
        </w:rPr>
        <w:t>CONCURSO PÚBLICO DE PROVAS E TÍTULOS PARA PREENCHIMENTO DE VAGA(S) DE PROFESSOR DA CARREIRA DE MAGISTÉRIO SUPERIOR INTEGRANTE DO PLANO DE CARREIRAS E CARGOS DE MAGISTÉRIO FEDERAL.</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 xml:space="preserve">A Pró – Reitora de Gestão de Pessoas da Universidade Federal de Uberlândia, no uso de suas atribuições e considerando a delegação de competência que lhe foi outorgada por meio da Portaria/R/UFU/nº. 1.224, de 29/12/2015, do Reitor da Universidade Federal de Uberlândia, publicada no Diário Oficial da União em 11/01/2016; e tendo em vista o que estabelecem a Lei nº. 8.112, de 11/12/1990, a Lei 12.772 de 28/12/2012, a Lei 12.863 publicada no D.O.U. em 25/09/2013, bem como o Decreto 6.944 de 21/08/2009 publicado no D.O.U em 24/08/2009, o Decreto nº. 7.485 de 18/05/2011; alterado pelo Decreto nº. 8.259 de 29/05/2014 e a Portaria Interministerial MPOG/MEC nº. 111, de 03/04/2014; e também o Estatuto e o Regimento Geral da UFU, a Resolução nº 03/2015 do Conselho Diretor e demais legislações pertinentes, torna público que será realizado Concurso Público de Provas e Títulos, para o cargo de Professor da Carreira de Magistério Superior do Plano de Carreiras e Cargos de Magistério Federal da Universidade Federal de Uberlândia, para a </w:t>
      </w:r>
      <w:r>
        <w:rPr>
          <w:rFonts w:ascii="Times New Roman" w:hAnsi="Times New Roman"/>
          <w:b/>
          <w:bCs/>
          <w:sz w:val="24"/>
          <w:szCs w:val="24"/>
        </w:rPr>
        <w:t>Faculdade de Arquitetura e Urbanismo e Design (FAUED), Campus Santa Mônica na cidade de Uberlândia/MG</w:t>
      </w:r>
      <w:r>
        <w:rPr>
          <w:rFonts w:ascii="Times New Roman" w:hAnsi="Times New Roman"/>
          <w:sz w:val="24"/>
          <w:szCs w:val="24"/>
        </w:rPr>
        <w:t xml:space="preserve">, mediante as normas contidas neste Edital.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Cs/>
          <w:sz w:val="24"/>
          <w:szCs w:val="24"/>
        </w:rPr>
      </w:pPr>
      <w:r>
        <w:rPr>
          <w:rFonts w:ascii="Times New Roman" w:hAnsi="Times New Roman"/>
          <w:b/>
          <w:bCs/>
          <w:sz w:val="24"/>
          <w:szCs w:val="24"/>
        </w:rPr>
        <w:t xml:space="preserve">1 – DAS DISPOSIÇÕES PRELIMINARES </w:t>
      </w:r>
    </w:p>
    <w:p>
      <w:pPr>
        <w:pStyle w:val="Normal"/>
        <w:jc w:val="both"/>
        <w:rPr>
          <w:rFonts w:ascii="Times New Roman" w:hAnsi="Times New Roman"/>
          <w:sz w:val="24"/>
          <w:szCs w:val="24"/>
        </w:rPr>
      </w:pPr>
      <w:r>
        <w:rPr>
          <w:rFonts w:ascii="Times New Roman" w:hAnsi="Times New Roman"/>
          <w:b/>
          <w:bCs/>
          <w:sz w:val="24"/>
          <w:szCs w:val="24"/>
        </w:rPr>
        <w:t>1.1</w:t>
      </w:r>
      <w:r>
        <w:rPr>
          <w:rFonts w:ascii="Times New Roman" w:hAnsi="Times New Roman"/>
          <w:sz w:val="24"/>
          <w:szCs w:val="24"/>
        </w:rPr>
        <w:t xml:space="preserve"> – O concurso visa ao preenchimento de vaga(s) destinada(s) a Faculdade de Arquitetura e Urbanismo e Design (FAUED), para o Campus Santa Mônica na cidade de Uberlândia/MG, pelos candidatos nele habilitados e aprovados e considerados aptos em exame de saúde, obedecida a ordem de classificação. </w:t>
      </w:r>
    </w:p>
    <w:p>
      <w:pPr>
        <w:pStyle w:val="Normal"/>
        <w:jc w:val="both"/>
        <w:rPr>
          <w:rFonts w:ascii="Times New Roman" w:hAnsi="Times New Roman"/>
          <w:sz w:val="24"/>
          <w:szCs w:val="24"/>
        </w:rPr>
      </w:pPr>
      <w:r>
        <w:rPr>
          <w:rFonts w:ascii="Times New Roman" w:hAnsi="Times New Roman"/>
          <w:b/>
          <w:bCs/>
          <w:sz w:val="24"/>
          <w:szCs w:val="24"/>
        </w:rPr>
        <w:t>1.2</w:t>
      </w:r>
      <w:r>
        <w:rPr>
          <w:rFonts w:ascii="Times New Roman" w:hAnsi="Times New Roman"/>
          <w:sz w:val="24"/>
          <w:szCs w:val="24"/>
        </w:rPr>
        <w:t xml:space="preserve"> – Se porventura durante a validade deste concurso ocorrer a vacância de cargo de professor na FAUED, na mesma área e qualificação mínima exigidas ou a distribuição pelo Conselho da Unidade de novo cargo de professor para a mesma área e qualificação mínima exigidas, o seu preenchimento, em qualquer das situações, ocorrerá de acordo com a ordem de classificação, podendo, inclusive, o candidato ser nomeado e lotado para trabalhar nos campi de Uberlândia, ou demais campi fora de sede, conforme dispuser a portaria de nomeação, observando o interesse da Universidade.</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Cs/>
          <w:sz w:val="24"/>
          <w:szCs w:val="24"/>
        </w:rPr>
      </w:pPr>
      <w:r>
        <w:rPr>
          <w:rFonts w:ascii="Times New Roman" w:hAnsi="Times New Roman"/>
          <w:b/>
          <w:bCs/>
          <w:sz w:val="24"/>
          <w:szCs w:val="24"/>
        </w:rPr>
        <w:t>2 - DO REGIME JURÍDICO/REGIME DE TRABALHO/ATRIBUIÇÕES DO CARGO</w:t>
      </w:r>
    </w:p>
    <w:p>
      <w:pPr>
        <w:pStyle w:val="Normal"/>
        <w:jc w:val="both"/>
        <w:rPr>
          <w:rFonts w:ascii="Times New Roman" w:hAnsi="Times New Roman"/>
          <w:sz w:val="24"/>
          <w:szCs w:val="24"/>
        </w:rPr>
      </w:pPr>
      <w:r>
        <w:rPr>
          <w:rFonts w:ascii="Times New Roman" w:hAnsi="Times New Roman"/>
          <w:b/>
          <w:bCs/>
          <w:sz w:val="24"/>
          <w:szCs w:val="24"/>
        </w:rPr>
        <w:t>2.1</w:t>
      </w:r>
      <w:r>
        <w:rPr>
          <w:rFonts w:ascii="Times New Roman" w:hAnsi="Times New Roman"/>
          <w:sz w:val="24"/>
          <w:szCs w:val="24"/>
        </w:rPr>
        <w:t xml:space="preserve"> – O regime jurídico será o da Lei nº. 8.112, de 11 de dezembro de 1990. </w:t>
      </w:r>
    </w:p>
    <w:p>
      <w:pPr>
        <w:pStyle w:val="Normal"/>
        <w:jc w:val="both"/>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2.1.1</w:t>
      </w:r>
      <w:r>
        <w:rPr>
          <w:rFonts w:ascii="Times New Roman" w:hAnsi="Times New Roman"/>
          <w:sz w:val="24"/>
          <w:szCs w:val="24"/>
        </w:rPr>
        <w:t xml:space="preserve"> - O regime de trabalho é de Dedicação Exclusiva de trabalho, em tempo integral, com dedicação exclusiva às atividades de ensino, pesquisa, extensão e gestão institucional e impedimento do exercício de outra atividade remunerada, pública ou privada, observado o que dispõe o artigo 21 da Lei 12.772/2012. </w:t>
      </w:r>
    </w:p>
    <w:p>
      <w:pPr>
        <w:pStyle w:val="Normal"/>
        <w:jc w:val="both"/>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2.1.2</w:t>
      </w:r>
      <w:r>
        <w:rPr>
          <w:rFonts w:ascii="Times New Roman" w:hAnsi="Times New Roman"/>
          <w:sz w:val="24"/>
          <w:szCs w:val="24"/>
        </w:rPr>
        <w:t xml:space="preserve"> – É vedada a mudança de regime de trabalho aos docentes em estágio probatório. </w:t>
      </w:r>
    </w:p>
    <w:p>
      <w:pPr>
        <w:pStyle w:val="Normal"/>
        <w:jc w:val="both"/>
        <w:rPr>
          <w:rFonts w:ascii="Times New Roman" w:hAnsi="Times New Roman"/>
          <w:sz w:val="24"/>
          <w:szCs w:val="24"/>
        </w:rPr>
      </w:pPr>
      <w:r>
        <w:rPr>
          <w:rFonts w:ascii="Times New Roman" w:hAnsi="Times New Roman"/>
          <w:b/>
          <w:bCs/>
          <w:sz w:val="24"/>
          <w:szCs w:val="24"/>
        </w:rPr>
        <w:t>2.2</w:t>
      </w:r>
      <w:r>
        <w:rPr>
          <w:rFonts w:ascii="Times New Roman" w:hAnsi="Times New Roman"/>
          <w:sz w:val="24"/>
          <w:szCs w:val="24"/>
        </w:rPr>
        <w:t xml:space="preserve"> - São atribuições do cargo de professor as atividades de Ensino, de Pesquisa, de Extensão e gestão institucional, além daquelas previstas em legislação específica, constantes de planos de trabalho e de programas elaborados pelas Unidades Acadêmicas; ou de atos emanados de órgãos ou autoridades competentes e demais disposições do artigo 173 do Regimento Geral da Universidade Federal de Uberlândia, e outras obrigações decorrentes da legislação federal ou da legislação interna </w:t>
      </w:r>
    </w:p>
    <w:p>
      <w:pPr>
        <w:pStyle w:val="Normal"/>
        <w:jc w:val="both"/>
        <w:rPr>
          <w:rFonts w:ascii="Times New Roman" w:hAnsi="Times New Roman"/>
          <w:sz w:val="24"/>
          <w:szCs w:val="24"/>
        </w:rPr>
      </w:pPr>
      <w:r>
        <w:rPr>
          <w:rFonts w:ascii="Times New Roman" w:hAnsi="Times New Roman"/>
          <w:sz w:val="24"/>
          <w:szCs w:val="24"/>
        </w:rPr>
        <w:t xml:space="preserve">da Instituição. </w:t>
      </w:r>
    </w:p>
    <w:p>
      <w:pPr>
        <w:pStyle w:val="Normal"/>
        <w:jc w:val="both"/>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2.2.1</w:t>
      </w:r>
      <w:r>
        <w:rPr>
          <w:rFonts w:ascii="Times New Roman" w:hAnsi="Times New Roman"/>
          <w:sz w:val="24"/>
          <w:szCs w:val="24"/>
        </w:rPr>
        <w:t xml:space="preserve"> - No exercício de suas atribuições o professor incumbir-se-á de: </w:t>
      </w:r>
    </w:p>
    <w:p>
      <w:pPr>
        <w:pStyle w:val="Normal"/>
        <w:widowControl w:val="false"/>
        <w:suppressAutoHyphens w:val="true"/>
        <w:bidi w:val="0"/>
        <w:ind w:left="850" w:right="0" w:hanging="0"/>
        <w:jc w:val="both"/>
        <w:rPr>
          <w:rFonts w:ascii="Times New Roman" w:hAnsi="Times New Roman"/>
          <w:sz w:val="24"/>
          <w:szCs w:val="24"/>
        </w:rPr>
      </w:pPr>
      <w:r>
        <w:rPr>
          <w:rFonts w:ascii="Times New Roman" w:hAnsi="Times New Roman"/>
          <w:sz w:val="24"/>
          <w:szCs w:val="24"/>
        </w:rPr>
        <w:t xml:space="preserve">I. Participar da elaboração da proposta pedagógica de sua Unidade Acadêmica ou Unidade Especial de Ensino; </w:t>
      </w:r>
    </w:p>
    <w:p>
      <w:pPr>
        <w:pStyle w:val="Normal"/>
        <w:widowControl w:val="false"/>
        <w:suppressAutoHyphens w:val="true"/>
        <w:bidi w:val="0"/>
        <w:ind w:left="850" w:right="0" w:hanging="0"/>
        <w:jc w:val="both"/>
        <w:rPr>
          <w:rFonts w:ascii="Times New Roman" w:hAnsi="Times New Roman"/>
          <w:sz w:val="24"/>
          <w:szCs w:val="24"/>
        </w:rPr>
      </w:pPr>
      <w:r>
        <w:rPr>
          <w:rFonts w:ascii="Times New Roman" w:hAnsi="Times New Roman"/>
          <w:sz w:val="24"/>
          <w:szCs w:val="24"/>
        </w:rPr>
        <w:t xml:space="preserve">II. Elaborar e cumprir plano de trabalho, segundo a proposta pedagógica de sua Unidade Acadêmica ou Unidade Especial de Ensino; </w:t>
      </w:r>
    </w:p>
    <w:p>
      <w:pPr>
        <w:pStyle w:val="Normal"/>
        <w:widowControl w:val="false"/>
        <w:suppressAutoHyphens w:val="true"/>
        <w:bidi w:val="0"/>
        <w:ind w:left="850" w:right="0" w:hanging="0"/>
        <w:jc w:val="both"/>
        <w:rPr>
          <w:rFonts w:ascii="Times New Roman" w:hAnsi="Times New Roman"/>
          <w:sz w:val="24"/>
          <w:szCs w:val="24"/>
        </w:rPr>
      </w:pPr>
      <w:r>
        <w:rPr>
          <w:rFonts w:ascii="Times New Roman" w:hAnsi="Times New Roman"/>
          <w:sz w:val="24"/>
          <w:szCs w:val="24"/>
        </w:rPr>
        <w:t xml:space="preserve">III. Zelar pela aprendizagem dos alunos; </w:t>
      </w:r>
    </w:p>
    <w:p>
      <w:pPr>
        <w:pStyle w:val="Normal"/>
        <w:widowControl w:val="false"/>
        <w:suppressAutoHyphens w:val="true"/>
        <w:bidi w:val="0"/>
        <w:ind w:left="850" w:right="0" w:hanging="0"/>
        <w:jc w:val="both"/>
        <w:rPr>
          <w:rFonts w:ascii="Times New Roman" w:hAnsi="Times New Roman"/>
          <w:sz w:val="24"/>
          <w:szCs w:val="24"/>
        </w:rPr>
      </w:pPr>
      <w:r>
        <w:rPr>
          <w:rFonts w:ascii="Times New Roman" w:hAnsi="Times New Roman"/>
          <w:sz w:val="24"/>
          <w:szCs w:val="24"/>
        </w:rPr>
        <w:t xml:space="preserve">IV. Estabelecer estratégias de recuperação para os alunos de menor rendimento; </w:t>
      </w:r>
    </w:p>
    <w:p>
      <w:pPr>
        <w:pStyle w:val="Normal"/>
        <w:widowControl w:val="false"/>
        <w:suppressAutoHyphens w:val="true"/>
        <w:bidi w:val="0"/>
        <w:ind w:left="850" w:right="0" w:hanging="0"/>
        <w:jc w:val="both"/>
        <w:rPr>
          <w:rFonts w:ascii="Times New Roman" w:hAnsi="Times New Roman"/>
          <w:sz w:val="24"/>
          <w:szCs w:val="24"/>
        </w:rPr>
      </w:pPr>
      <w:r>
        <w:rPr>
          <w:rFonts w:ascii="Times New Roman" w:hAnsi="Times New Roman"/>
          <w:sz w:val="24"/>
          <w:szCs w:val="24"/>
        </w:rPr>
        <w:t xml:space="preserve">V. Ministrar, com frequência obrigatória, as aulas que lhe forem designadas pela sua Unidade, nos dias letivos, além de participar integralmente dos períodos dedicados ao planejamento, da Unidade Acadêmica ou Unidade Especial de Ensino; </w:t>
      </w:r>
    </w:p>
    <w:p>
      <w:pPr>
        <w:pStyle w:val="Normal"/>
        <w:widowControl w:val="false"/>
        <w:suppressAutoHyphens w:val="true"/>
        <w:bidi w:val="0"/>
        <w:ind w:left="850" w:right="0" w:hanging="0"/>
        <w:jc w:val="both"/>
        <w:rPr>
          <w:rFonts w:ascii="Times New Roman" w:hAnsi="Times New Roman"/>
          <w:sz w:val="24"/>
          <w:szCs w:val="24"/>
        </w:rPr>
      </w:pPr>
      <w:r>
        <w:rPr>
          <w:rFonts w:ascii="Times New Roman" w:hAnsi="Times New Roman"/>
          <w:sz w:val="24"/>
          <w:szCs w:val="24"/>
        </w:rPr>
        <w:t xml:space="preserve">VI. Colaborar com as atividades de articulação da UFU com a comunidade; e, </w:t>
      </w:r>
    </w:p>
    <w:p>
      <w:pPr>
        <w:pStyle w:val="Normal"/>
        <w:widowControl w:val="false"/>
        <w:suppressAutoHyphens w:val="true"/>
        <w:bidi w:val="0"/>
        <w:ind w:left="850" w:right="0" w:hanging="0"/>
        <w:jc w:val="both"/>
        <w:rPr>
          <w:rFonts w:ascii="Times New Roman" w:hAnsi="Times New Roman"/>
          <w:sz w:val="24"/>
          <w:szCs w:val="24"/>
        </w:rPr>
      </w:pPr>
      <w:r>
        <w:rPr>
          <w:rFonts w:ascii="Times New Roman" w:hAnsi="Times New Roman"/>
          <w:sz w:val="24"/>
          <w:szCs w:val="24"/>
        </w:rPr>
        <w:t xml:space="preserve">VII. Realizar atividades de Ensino, Pesquisa, Extensão e as inerentes ao exercício de direção, assessoramento, chefia, coordenação e assistência na própria instituição, além daquelas previstas em legislação específica constantes de planos de trabalho e de programas elaborados pela Unidade Acadêmica ou Unidade Especial de Ensino.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Cs/>
          <w:sz w:val="24"/>
          <w:szCs w:val="24"/>
        </w:rPr>
      </w:pPr>
      <w:r>
        <w:rPr>
          <w:rFonts w:ascii="Times New Roman" w:hAnsi="Times New Roman"/>
          <w:b/>
          <w:bCs/>
          <w:sz w:val="24"/>
          <w:szCs w:val="24"/>
        </w:rPr>
        <w:t>3 - DA ESPECIFICAÇÃO DO CONCURSO PÚBLICO</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407"/>
        <w:gridCol w:w="1221"/>
        <w:gridCol w:w="4199"/>
        <w:gridCol w:w="1816"/>
      </w:tblGrid>
      <w:tr>
        <w:trPr>
          <w:cantSplit w:val="false"/>
        </w:trPr>
        <w:tc>
          <w:tcPr>
            <w:tcW w:w="24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vAlign w:val="center"/>
          </w:tcPr>
          <w:p>
            <w:pPr>
              <w:pStyle w:val="Contedodatabela"/>
              <w:jc w:val="center"/>
              <w:rPr>
                <w:rFonts w:ascii="Times New Roman" w:hAnsi="Times New Roman"/>
                <w:b/>
                <w:bCs/>
                <w:sz w:val="22"/>
                <w:szCs w:val="22"/>
              </w:rPr>
            </w:pPr>
            <w:r>
              <w:rPr>
                <w:rFonts w:ascii="Times New Roman" w:hAnsi="Times New Roman"/>
                <w:b/>
                <w:bCs/>
                <w:sz w:val="22"/>
                <w:szCs w:val="22"/>
              </w:rPr>
              <w:t>Área</w:t>
            </w:r>
          </w:p>
        </w:tc>
        <w:tc>
          <w:tcPr>
            <w:tcW w:w="122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vAlign w:val="center"/>
          </w:tcPr>
          <w:p>
            <w:pPr>
              <w:pStyle w:val="Contedodatabela"/>
              <w:jc w:val="center"/>
              <w:rPr>
                <w:rFonts w:ascii="Times New Roman" w:hAnsi="Times New Roman"/>
                <w:b/>
                <w:bCs/>
                <w:sz w:val="22"/>
                <w:szCs w:val="22"/>
              </w:rPr>
            </w:pPr>
            <w:r>
              <w:rPr>
                <w:rFonts w:ascii="Times New Roman" w:hAnsi="Times New Roman"/>
                <w:b/>
                <w:bCs/>
                <w:sz w:val="22"/>
                <w:szCs w:val="22"/>
              </w:rPr>
              <w:t>No de vagas</w:t>
            </w:r>
          </w:p>
        </w:tc>
        <w:tc>
          <w:tcPr>
            <w:tcW w:w="41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vAlign w:val="center"/>
          </w:tcPr>
          <w:p>
            <w:pPr>
              <w:pStyle w:val="Contedodatabela"/>
              <w:jc w:val="center"/>
              <w:rPr>
                <w:rFonts w:ascii="Times New Roman" w:hAnsi="Times New Roman"/>
                <w:b/>
                <w:bCs/>
                <w:sz w:val="22"/>
                <w:szCs w:val="22"/>
              </w:rPr>
            </w:pPr>
            <w:r>
              <w:rPr>
                <w:rFonts w:ascii="Times New Roman" w:hAnsi="Times New Roman"/>
                <w:b/>
                <w:bCs/>
                <w:sz w:val="22"/>
                <w:szCs w:val="22"/>
              </w:rPr>
              <w:t>Qualificação Mínima Exigida</w:t>
            </w:r>
          </w:p>
        </w:tc>
        <w:tc>
          <w:tcPr>
            <w:tcW w:w="1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vAlign w:val="center"/>
          </w:tcPr>
          <w:p>
            <w:pPr>
              <w:pStyle w:val="Contedodatabela"/>
              <w:jc w:val="center"/>
              <w:rPr>
                <w:rFonts w:ascii="Times New Roman" w:hAnsi="Times New Roman"/>
                <w:b/>
                <w:bCs/>
                <w:sz w:val="22"/>
                <w:szCs w:val="22"/>
              </w:rPr>
            </w:pPr>
            <w:r>
              <w:rPr>
                <w:rFonts w:ascii="Times New Roman" w:hAnsi="Times New Roman"/>
                <w:b/>
                <w:bCs/>
                <w:sz w:val="22"/>
                <w:szCs w:val="22"/>
              </w:rPr>
              <w:t>Regime de Trabalho</w:t>
            </w:r>
          </w:p>
        </w:tc>
      </w:tr>
      <w:tr>
        <w:trPr>
          <w:cantSplit w:val="false"/>
        </w:trPr>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vAlign w:val="center"/>
          </w:tcPr>
          <w:p>
            <w:pPr>
              <w:pStyle w:val="Contedodatabela"/>
              <w:jc w:val="center"/>
              <w:rPr>
                <w:rFonts w:ascii="Times New Roman" w:hAnsi="Times New Roman"/>
                <w:sz w:val="22"/>
                <w:szCs w:val="22"/>
              </w:rPr>
            </w:pPr>
            <w:r>
              <w:rPr>
                <w:rFonts w:ascii="Times New Roman" w:hAnsi="Times New Roman"/>
                <w:sz w:val="22"/>
                <w:szCs w:val="22"/>
              </w:rPr>
              <w:t>Projeto de Produto, Materiais e Processos Produtivos, Modelagem Eletrônica Avançada</w:t>
            </w:r>
          </w:p>
        </w:tc>
        <w:tc>
          <w:tcPr>
            <w:tcW w:w="1221" w:type="dxa"/>
            <w:tcBorders>
              <w:top w:val="nil"/>
              <w:left w:val="single" w:sz="2" w:space="0" w:color="000001"/>
              <w:bottom w:val="single" w:sz="2" w:space="0" w:color="000001"/>
              <w:insideH w:val="single" w:sz="2" w:space="0" w:color="000001"/>
              <w:right w:val="nil"/>
              <w:insideV w:val="nil"/>
            </w:tcBorders>
            <w:shd w:fill="FFFFFF" w:val="clear"/>
            <w:tcMar>
              <w:left w:w="48" w:type="dxa"/>
            </w:tcMar>
            <w:vAlign w:val="center"/>
          </w:tcPr>
          <w:p>
            <w:pPr>
              <w:pStyle w:val="Contedodatabela"/>
              <w:jc w:val="center"/>
              <w:rPr>
                <w:rFonts w:ascii="Times New Roman" w:hAnsi="Times New Roman"/>
                <w:sz w:val="22"/>
                <w:szCs w:val="22"/>
              </w:rPr>
            </w:pPr>
            <w:r>
              <w:rPr>
                <w:rFonts w:ascii="Times New Roman" w:hAnsi="Times New Roman"/>
                <w:sz w:val="22"/>
                <w:szCs w:val="22"/>
              </w:rPr>
              <w:t>01</w:t>
            </w:r>
          </w:p>
        </w:tc>
        <w:tc>
          <w:tcPr>
            <w:tcW w:w="4199" w:type="dxa"/>
            <w:tcBorders>
              <w:top w:val="nil"/>
              <w:left w:val="single" w:sz="2" w:space="0" w:color="000001"/>
              <w:bottom w:val="single" w:sz="2" w:space="0" w:color="000001"/>
              <w:insideH w:val="single" w:sz="2" w:space="0" w:color="000001"/>
              <w:right w:val="nil"/>
              <w:insideV w:val="nil"/>
            </w:tcBorders>
            <w:shd w:fill="FFFFFF" w:val="clear"/>
            <w:tcMar>
              <w:left w:w="48" w:type="dxa"/>
            </w:tcMar>
            <w:vAlign w:val="center"/>
          </w:tcPr>
          <w:p>
            <w:pPr>
              <w:pStyle w:val="Normal"/>
              <w:jc w:val="center"/>
              <w:rPr>
                <w:rFonts w:ascii="Times New Roman" w:hAnsi="Times New Roman"/>
                <w:sz w:val="22"/>
                <w:szCs w:val="22"/>
              </w:rPr>
            </w:pPr>
            <w:r>
              <w:rPr>
                <w:rFonts w:ascii="Times New Roman" w:hAnsi="Times New Roman"/>
                <w:b/>
                <w:bCs/>
                <w:sz w:val="22"/>
                <w:szCs w:val="22"/>
              </w:rPr>
              <w:t>Graduação</w:t>
            </w:r>
            <w:r>
              <w:rPr>
                <w:rFonts w:ascii="Times New Roman" w:hAnsi="Times New Roman"/>
                <w:sz w:val="22"/>
                <w:szCs w:val="22"/>
              </w:rPr>
              <w:t xml:space="preserve"> em Design ou Desenho Industrial ou Desenho de Produto e </w:t>
            </w:r>
            <w:r>
              <w:rPr>
                <w:rFonts w:ascii="Times New Roman" w:hAnsi="Times New Roman"/>
                <w:b/>
                <w:bCs/>
                <w:sz w:val="22"/>
                <w:szCs w:val="22"/>
              </w:rPr>
              <w:t>Doutorado</w:t>
            </w:r>
            <w:r>
              <w:rPr>
                <w:rFonts w:ascii="Times New Roman" w:hAnsi="Times New Roman"/>
                <w:sz w:val="22"/>
                <w:szCs w:val="22"/>
              </w:rPr>
              <w:t xml:space="preserve"> em Design ou Arte ou Engenharia ou Arquitetura e Urbanismo ou Tecnologia ou Ciências da Computação.</w:t>
            </w:r>
          </w:p>
        </w:tc>
        <w:tc>
          <w:tcPr>
            <w:tcW w:w="1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vAlign w:val="center"/>
          </w:tcPr>
          <w:p>
            <w:pPr>
              <w:pStyle w:val="Contedodatabela"/>
              <w:jc w:val="center"/>
              <w:rPr>
                <w:rFonts w:ascii="Times New Roman" w:hAnsi="Times New Roman"/>
                <w:sz w:val="22"/>
                <w:szCs w:val="22"/>
              </w:rPr>
            </w:pPr>
            <w:r>
              <w:rPr>
                <w:rFonts w:ascii="Times New Roman" w:hAnsi="Times New Roman"/>
                <w:sz w:val="22"/>
                <w:szCs w:val="22"/>
              </w:rPr>
              <w:t>Dedicação Exclusiva</w:t>
            </w:r>
          </w:p>
        </w:tc>
      </w:tr>
    </w:tbl>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Uberlândia, $data$</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Marlene Marins de Camargos Borges</w:t>
      </w:r>
    </w:p>
    <w:sectPr>
      <w:headerReference w:type="default" r:id="rId2"/>
      <w:footerReference w:type="default" r:id="rId3"/>
      <w:type w:val="nextPage"/>
      <w:pgSz w:w="11906" w:h="16838"/>
      <w:pgMar w:left="1701" w:right="567" w:header="255" w:top="2130" w:footer="338" w:bottom="953" w:gutter="0"/>
      <w:pgNumType w:start="0"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jc w:val="right"/>
      <w:rPr/>
    </w:pPr>
    <w:r>
      <w:rPr/>
      <w:fldChar w:fldCharType="begin"/>
    </w:r>
    <w:r>
      <w:instrText> PAGE </w:instrText>
    </w:r>
    <w:r>
      <w:fldChar w:fldCharType="separate"/>
    </w:r>
    <w:r>
      <w:t>0</w:t>
    </w:r>
    <w:r>
      <w:fldChar w:fldCharType="end"/>
    </w:r>
    <w:r>
      <w:rPr/>
      <w:fldChar w:fldCharType="begin"/>
    </w:r>
    <w:r>
      <w:instrText> PAGE </w:instrText>
    </w:r>
    <w:r>
      <w:fldChar w:fldCharType="separate"/>
    </w:r>
    <w:r>
      <w:t>0</w:t>
    </w:r>
    <w:r>
      <w:fldChar w:fldCharType="end"/>
    </w:r>
    <w:r>
      <w:rPr/>
      <w:t>/</w:t>
    </w:r>
    <w:r>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1693"/>
      <w:gridCol w:w="6239"/>
      <w:gridCol w:w="1713"/>
    </w:tblGrid>
    <w:tr>
      <w:trPr>
        <w:cantSplit w:val="false"/>
      </w:trPr>
      <w:tc>
        <w:tcPr>
          <w:tcW w:w="1693" w:type="dxa"/>
          <w:tcBorders>
            <w:top w:val="nil"/>
            <w:left w:val="nil"/>
            <w:bottom w:val="nil"/>
            <w:insideH w:val="nil"/>
            <w:right w:val="nil"/>
            <w:insideV w:val="nil"/>
          </w:tcBorders>
          <w:shd w:fill="FFFFFF" w:val="clear"/>
        </w:tcPr>
        <w:p>
          <w:pPr>
            <w:pStyle w:val="Contedodatabela"/>
            <w:rPr/>
          </w:pPr>
          <w:r>
            <w:rPr/>
            <w:drawing>
              <wp:anchor behindDoc="1" distT="0" distB="0" distL="0" distR="0" simplePos="0" locked="0" layoutInCell="1" allowOverlap="1" relativeHeight="1">
                <wp:simplePos x="0" y="0"/>
                <wp:positionH relativeFrom="column">
                  <wp:align>center</wp:align>
                </wp:positionH>
                <wp:positionV relativeFrom="paragraph">
                  <wp:align>top</wp:align>
                </wp:positionV>
                <wp:extent cx="708025" cy="6991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08025" cy="699135"/>
                        </a:xfrm>
                        <a:prstGeom prst="rect">
                          <a:avLst/>
                        </a:prstGeom>
                        <a:noFill/>
                        <a:ln w="9525">
                          <a:noFill/>
                          <a:miter lim="800000"/>
                          <a:headEnd/>
                          <a:tailEnd/>
                        </a:ln>
                      </pic:spPr>
                    </pic:pic>
                  </a:graphicData>
                </a:graphic>
              </wp:anchor>
            </w:drawing>
          </w:r>
        </w:p>
      </w:tc>
      <w:tc>
        <w:tcPr>
          <w:tcW w:w="6239" w:type="dxa"/>
          <w:tcBorders>
            <w:top w:val="nil"/>
            <w:left w:val="nil"/>
            <w:bottom w:val="nil"/>
            <w:insideH w:val="nil"/>
            <w:right w:val="nil"/>
            <w:insideV w:val="nil"/>
          </w:tcBorders>
          <w:shd w:fill="FFFFFF" w:val="clear"/>
        </w:tcPr>
        <w:p>
          <w:pPr>
            <w:pStyle w:val="Cabealho"/>
            <w:jc w:val="center"/>
            <w:rPr>
              <w:rFonts w:ascii="Times New Roman" w:hAnsi="Times New Roman"/>
              <w:b/>
              <w:bCs/>
            </w:rPr>
          </w:pPr>
          <w:r>
            <w:rPr>
              <w:rFonts w:ascii="Times New Roman" w:hAnsi="Times New Roman"/>
              <w:b/>
              <w:bCs/>
            </w:rPr>
            <w:t>SERVIÇO PÚBLICO FEDERAL</w:t>
          </w:r>
        </w:p>
        <w:p>
          <w:pPr>
            <w:pStyle w:val="Cabealho"/>
            <w:jc w:val="center"/>
            <w:rPr>
              <w:rFonts w:ascii="Times New Roman" w:hAnsi="Times New Roman"/>
              <w:b/>
              <w:bCs/>
            </w:rPr>
          </w:pPr>
          <w:r>
            <w:rPr>
              <w:rFonts w:ascii="Times New Roman" w:hAnsi="Times New Roman"/>
              <w:b/>
              <w:bCs/>
            </w:rPr>
            <w:t>MINISTÉRIO DA EDUCAÇÃO</w:t>
          </w:r>
        </w:p>
        <w:p>
          <w:pPr>
            <w:pStyle w:val="Cabealho"/>
            <w:jc w:val="center"/>
            <w:rPr>
              <w:rFonts w:ascii="Times New Roman" w:hAnsi="Times New Roman"/>
              <w:b/>
              <w:bCs/>
            </w:rPr>
          </w:pPr>
          <w:r>
            <w:rPr>
              <w:rFonts w:ascii="Times New Roman" w:hAnsi="Times New Roman"/>
              <w:b/>
              <w:bCs/>
            </w:rPr>
            <w:t>UNIVERSIDADE FEDERAL DE UBERLÂNDIA</w:t>
          </w:r>
        </w:p>
        <w:p>
          <w:pPr>
            <w:pStyle w:val="Cabealho"/>
            <w:jc w:val="center"/>
            <w:rPr>
              <w:rFonts w:ascii="Times New Roman" w:hAnsi="Times New Roman"/>
              <w:b/>
              <w:bCs/>
            </w:rPr>
          </w:pPr>
          <w:r>
            <w:rPr>
              <w:rFonts w:ascii="Times New Roman" w:hAnsi="Times New Roman"/>
              <w:b/>
              <w:bCs/>
            </w:rPr>
            <w:t>PRÓ-REITORIA DE GESTÃO DE PESSOAS</w:t>
          </w:r>
        </w:p>
      </w:tc>
      <w:tc>
        <w:tcPr>
          <w:tcW w:w="1713" w:type="dxa"/>
          <w:tcBorders>
            <w:top w:val="nil"/>
            <w:left w:val="nil"/>
            <w:bottom w:val="nil"/>
            <w:insideH w:val="nil"/>
            <w:right w:val="nil"/>
            <w:insideV w:val="nil"/>
          </w:tcBorders>
          <w:shd w:fill="FFFFFF" w:val="clear"/>
        </w:tcPr>
        <w:p>
          <w:pPr>
            <w:pStyle w:val="Contedodatabela"/>
            <w:rPr/>
          </w:pPr>
          <w:r>
            <w:rPr/>
            <w:drawing>
              <wp:anchor behindDoc="1" distT="0" distB="0" distL="0" distR="0" simplePos="0" locked="0" layoutInCell="1" allowOverlap="1" relativeHeight="3">
                <wp:simplePos x="0" y="0"/>
                <wp:positionH relativeFrom="column">
                  <wp:align>center</wp:align>
                </wp:positionH>
                <wp:positionV relativeFrom="paragraph">
                  <wp:align>top</wp:align>
                </wp:positionV>
                <wp:extent cx="690245" cy="6902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90245" cy="690245"/>
                        </a:xfrm>
                        <a:prstGeom prst="rect">
                          <a:avLst/>
                        </a:prstGeom>
                        <a:noFill/>
                        <a:ln w="9525">
                          <a:noFill/>
                          <a:miter lim="800000"/>
                          <a:headEnd/>
                          <a:tailEnd/>
                        </a:ln>
                      </pic:spPr>
                    </pic:pic>
                  </a:graphicData>
                </a:graphic>
              </wp:anchor>
            </w:drawing>
          </w:r>
        </w:p>
      </w:tc>
    </w:tr>
    <w:tr>
      <w:trPr>
        <w:cantSplit w:val="false"/>
      </w:trPr>
      <w:tc>
        <w:tcPr>
          <w:tcW w:w="9645" w:type="dxa"/>
          <w:gridSpan w:val="3"/>
          <w:tcBorders>
            <w:top w:val="single" w:sz="2" w:space="0" w:color="000001"/>
            <w:left w:val="nil"/>
            <w:bottom w:val="single" w:sz="2" w:space="0" w:color="000001"/>
            <w:insideH w:val="single" w:sz="2" w:space="0" w:color="000001"/>
            <w:right w:val="nil"/>
            <w:insideV w:val="nil"/>
          </w:tcBorders>
          <w:shd w:fill="FFFFFF" w:val="clear"/>
        </w:tcPr>
        <w:p>
          <w:pPr>
            <w:pStyle w:val="Cabealho"/>
            <w:jc w:val="center"/>
            <w:rPr>
              <w:rFonts w:ascii="Times New Roman" w:hAnsi="Times New Roman"/>
              <w:b/>
              <w:bCs/>
              <w:sz w:val="28"/>
              <w:szCs w:val="28"/>
            </w:rPr>
          </w:pPr>
          <w:r>
            <w:rPr>
              <w:rFonts w:ascii="Times New Roman" w:hAnsi="Times New Roman"/>
              <w:b/>
              <w:bCs/>
              <w:sz w:val="28"/>
              <w:szCs w:val="28"/>
            </w:rPr>
            <w:t>EDITAL n. $numero$</w:t>
          </w:r>
        </w:p>
      </w:tc>
    </w:tr>
  </w:tbl>
  <w:p>
    <w:pPr>
      <w:pStyle w:val="Cabealho"/>
      <w:jc w:val="center"/>
      <w:rPr>
        <w:rFonts w:ascii="Times New Roman" w:hAnsi="Times New Roman"/>
      </w:rPr>
    </w:pPr>
    <w:r>
      <w:rPr>
        <w:rFonts w:ascii="Times New Roman" w:hAnsi="Times New Roman"/>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abealho">
    <w:name w:val="Cabeçalho"/>
    <w:basedOn w:val="Normal"/>
    <w:pPr>
      <w:suppressLineNumbers/>
      <w:tabs>
        <w:tab w:val="center" w:pos="4819" w:leader="none"/>
        <w:tab w:val="right" w:pos="9638" w:leader="none"/>
      </w:tabs>
    </w:pPr>
    <w:rPr/>
  </w:style>
  <w:style w:type="paragraph" w:styleId="Contedodatabela">
    <w:name w:val="Conteúdo da tabela"/>
    <w:basedOn w:val="Normal"/>
    <w:pPr/>
    <w:rPr/>
  </w:style>
  <w:style w:type="paragraph" w:styleId="Rodap">
    <w:name w:val="Rodapé"/>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2016-05-24T19:19:35Z</dcterms:created>
  <dc:language>pt-BR</dc:language>
  <cp:revision>0</cp:revision>
</cp:coreProperties>
</file>