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1DE8F" w14:textId="472AA521" w:rsidR="00B5569D" w:rsidRPr="00A45E4D" w:rsidRDefault="00200C7C" w:rsidP="00A45E4D">
      <w:pPr>
        <w:spacing w:line="360" w:lineRule="auto"/>
        <w:jc w:val="center"/>
        <w:rPr>
          <w:rFonts w:ascii="Times New Roman" w:hAnsi="Times New Roman" w:cs="Times New Roman"/>
          <w:sz w:val="56"/>
          <w:szCs w:val="56"/>
          <w:lang w:val="pt-BR"/>
        </w:rPr>
      </w:pPr>
      <w:r w:rsidRPr="00A45E4D">
        <w:rPr>
          <w:rFonts w:ascii="Times New Roman" w:hAnsi="Times New Roman" w:cs="Times New Roman"/>
          <w:sz w:val="56"/>
          <w:szCs w:val="56"/>
          <w:lang w:val="pt-BR"/>
        </w:rPr>
        <w:t>APS – Finanças I</w:t>
      </w:r>
      <w:r w:rsidR="00FB2C14">
        <w:rPr>
          <w:rFonts w:ascii="Times New Roman" w:hAnsi="Times New Roman" w:cs="Times New Roman"/>
          <w:sz w:val="56"/>
          <w:szCs w:val="56"/>
          <w:lang w:val="pt-BR"/>
        </w:rPr>
        <w:t xml:space="preserve"> – MRV </w:t>
      </w:r>
    </w:p>
    <w:p w14:paraId="0A369440" w14:textId="639560F2" w:rsidR="00200C7C" w:rsidRPr="00A45E4D" w:rsidRDefault="00200C7C" w:rsidP="00A45E4D">
      <w:pPr>
        <w:spacing w:line="360" w:lineRule="auto"/>
        <w:jc w:val="center"/>
        <w:rPr>
          <w:rFonts w:ascii="Times New Roman" w:hAnsi="Times New Roman" w:cs="Times New Roman"/>
          <w:lang w:val="pt-BR"/>
        </w:rPr>
      </w:pPr>
      <w:r w:rsidRPr="00A45E4D">
        <w:rPr>
          <w:rFonts w:ascii="Times New Roman" w:hAnsi="Times New Roman" w:cs="Times New Roman"/>
          <w:lang w:val="pt-BR"/>
        </w:rPr>
        <w:t>Lucas Muchaluat Moreira</w:t>
      </w:r>
    </w:p>
    <w:p w14:paraId="74B4FCA0" w14:textId="6B857D37" w:rsidR="00200C7C" w:rsidRPr="00A45E4D" w:rsidRDefault="00200C7C" w:rsidP="00A45E4D">
      <w:pPr>
        <w:spacing w:line="360" w:lineRule="auto"/>
        <w:jc w:val="center"/>
        <w:rPr>
          <w:rFonts w:ascii="Times New Roman" w:hAnsi="Times New Roman" w:cs="Times New Roman"/>
          <w:lang w:val="pt-BR"/>
        </w:rPr>
      </w:pPr>
      <w:r w:rsidRPr="00A45E4D">
        <w:rPr>
          <w:rFonts w:ascii="Times New Roman" w:hAnsi="Times New Roman" w:cs="Times New Roman"/>
          <w:lang w:val="pt-BR"/>
        </w:rPr>
        <w:t>Luiz Vitor Germanos Teixeira</w:t>
      </w:r>
    </w:p>
    <w:p w14:paraId="7B218EFA" w14:textId="7D9415B3" w:rsidR="00200C7C" w:rsidRPr="00A45E4D" w:rsidRDefault="00200C7C" w:rsidP="00A45E4D">
      <w:pPr>
        <w:spacing w:line="360" w:lineRule="auto"/>
        <w:jc w:val="center"/>
        <w:rPr>
          <w:rFonts w:ascii="Times New Roman" w:hAnsi="Times New Roman" w:cs="Times New Roman"/>
          <w:lang w:val="pt-BR"/>
        </w:rPr>
      </w:pPr>
      <w:r w:rsidRPr="00A45E4D">
        <w:rPr>
          <w:rFonts w:ascii="Times New Roman" w:hAnsi="Times New Roman" w:cs="Times New Roman"/>
          <w:lang w:val="pt-BR"/>
        </w:rPr>
        <w:t>Matheus Pellizzon</w:t>
      </w:r>
    </w:p>
    <w:p w14:paraId="351168D7" w14:textId="467CB281" w:rsidR="00200C7C" w:rsidRPr="00A45E4D" w:rsidRDefault="00200C7C" w:rsidP="00A45E4D">
      <w:pPr>
        <w:spacing w:line="360" w:lineRule="auto"/>
        <w:jc w:val="center"/>
        <w:rPr>
          <w:rFonts w:ascii="Times New Roman" w:hAnsi="Times New Roman" w:cs="Times New Roman"/>
          <w:lang w:val="pt-BR"/>
        </w:rPr>
      </w:pPr>
      <w:r w:rsidRPr="00A45E4D">
        <w:rPr>
          <w:rFonts w:ascii="Times New Roman" w:hAnsi="Times New Roman" w:cs="Times New Roman"/>
          <w:lang w:val="pt-BR"/>
        </w:rPr>
        <w:t>Pedro Teófilo Ramos</w:t>
      </w:r>
    </w:p>
    <w:p w14:paraId="38D8CA3E" w14:textId="6FD37C05" w:rsidR="00200C7C" w:rsidRPr="00A45E4D" w:rsidRDefault="00200C7C" w:rsidP="00A45E4D">
      <w:pPr>
        <w:spacing w:line="360" w:lineRule="auto"/>
        <w:jc w:val="both"/>
        <w:rPr>
          <w:rFonts w:ascii="Times New Roman" w:hAnsi="Times New Roman" w:cs="Times New Roman"/>
          <w:lang w:val="pt-BR"/>
        </w:rPr>
      </w:pPr>
    </w:p>
    <w:p w14:paraId="1F49C14E" w14:textId="6B899FFB" w:rsidR="00200C7C" w:rsidRPr="00A45E4D" w:rsidRDefault="00200C7C" w:rsidP="00A45E4D">
      <w:pPr>
        <w:spacing w:line="360" w:lineRule="auto"/>
        <w:jc w:val="both"/>
        <w:rPr>
          <w:rFonts w:ascii="Times New Roman" w:hAnsi="Times New Roman" w:cs="Times New Roman"/>
          <w:lang w:val="pt-BR"/>
        </w:rPr>
      </w:pPr>
    </w:p>
    <w:p w14:paraId="19CB4770" w14:textId="268052DB" w:rsidR="00200C7C" w:rsidRPr="00A45E4D" w:rsidRDefault="00200C7C" w:rsidP="00A45E4D">
      <w:pPr>
        <w:spacing w:line="360" w:lineRule="auto"/>
        <w:jc w:val="both"/>
        <w:rPr>
          <w:rFonts w:ascii="Times New Roman" w:hAnsi="Times New Roman" w:cs="Times New Roman"/>
          <w:lang w:val="pt-BR"/>
        </w:rPr>
      </w:pPr>
    </w:p>
    <w:p w14:paraId="23F753C2" w14:textId="6254F5CB" w:rsidR="00200C7C" w:rsidRPr="00A45E4D" w:rsidRDefault="00200C7C" w:rsidP="00A45E4D">
      <w:pPr>
        <w:spacing w:line="360" w:lineRule="auto"/>
        <w:jc w:val="both"/>
        <w:rPr>
          <w:rFonts w:ascii="Times New Roman" w:hAnsi="Times New Roman" w:cs="Times New Roman"/>
          <w:lang w:val="pt-BR"/>
        </w:rPr>
      </w:pPr>
    </w:p>
    <w:p w14:paraId="70664F0D" w14:textId="1FF38B8D" w:rsidR="00200C7C" w:rsidRPr="00A45E4D" w:rsidRDefault="00200C7C" w:rsidP="00A45E4D">
      <w:pPr>
        <w:spacing w:line="360" w:lineRule="auto"/>
        <w:jc w:val="both"/>
        <w:rPr>
          <w:rFonts w:ascii="Times New Roman" w:hAnsi="Times New Roman" w:cs="Times New Roman"/>
          <w:lang w:val="pt-BR"/>
        </w:rPr>
      </w:pPr>
    </w:p>
    <w:p w14:paraId="5D3D745E" w14:textId="19A61351" w:rsidR="00200C7C" w:rsidRPr="00A45E4D" w:rsidRDefault="00200C7C" w:rsidP="00A45E4D">
      <w:pPr>
        <w:spacing w:line="360" w:lineRule="auto"/>
        <w:jc w:val="both"/>
        <w:rPr>
          <w:rFonts w:ascii="Times New Roman" w:hAnsi="Times New Roman" w:cs="Times New Roman"/>
          <w:lang w:val="pt-BR"/>
        </w:rPr>
      </w:pPr>
    </w:p>
    <w:p w14:paraId="133FC3C0" w14:textId="10454E81" w:rsidR="00200C7C" w:rsidRPr="00A45E4D" w:rsidRDefault="00200C7C" w:rsidP="00A45E4D">
      <w:pPr>
        <w:spacing w:line="360" w:lineRule="auto"/>
        <w:jc w:val="both"/>
        <w:rPr>
          <w:rFonts w:ascii="Times New Roman" w:hAnsi="Times New Roman" w:cs="Times New Roman"/>
          <w:lang w:val="pt-BR"/>
        </w:rPr>
      </w:pPr>
    </w:p>
    <w:p w14:paraId="4DE175B7" w14:textId="5D6DD8ED" w:rsidR="00200C7C" w:rsidRPr="00A45E4D" w:rsidRDefault="00200C7C" w:rsidP="00A45E4D">
      <w:pPr>
        <w:spacing w:line="360" w:lineRule="auto"/>
        <w:jc w:val="both"/>
        <w:rPr>
          <w:rFonts w:ascii="Times New Roman" w:hAnsi="Times New Roman" w:cs="Times New Roman"/>
          <w:lang w:val="pt-BR"/>
        </w:rPr>
      </w:pPr>
    </w:p>
    <w:p w14:paraId="5A27E811" w14:textId="47FECA90" w:rsidR="00200C7C" w:rsidRPr="00A45E4D" w:rsidRDefault="00200C7C" w:rsidP="00A45E4D">
      <w:pPr>
        <w:spacing w:line="360" w:lineRule="auto"/>
        <w:jc w:val="both"/>
        <w:rPr>
          <w:rFonts w:ascii="Times New Roman" w:hAnsi="Times New Roman" w:cs="Times New Roman"/>
          <w:lang w:val="pt-BR"/>
        </w:rPr>
      </w:pPr>
    </w:p>
    <w:p w14:paraId="755A71AE" w14:textId="3F461E38" w:rsidR="003F31DC" w:rsidRPr="00A45E4D" w:rsidRDefault="003F31DC" w:rsidP="00A45E4D">
      <w:pPr>
        <w:spacing w:line="360" w:lineRule="auto"/>
        <w:jc w:val="both"/>
        <w:rPr>
          <w:rFonts w:ascii="Times New Roman" w:hAnsi="Times New Roman" w:cs="Times New Roman"/>
          <w:lang w:val="pt-BR"/>
        </w:rPr>
      </w:pPr>
    </w:p>
    <w:p w14:paraId="00020E62" w14:textId="69EE7661" w:rsidR="00A45E4D" w:rsidRPr="00A45E4D" w:rsidRDefault="00A45E4D" w:rsidP="00A45E4D">
      <w:pPr>
        <w:spacing w:line="360" w:lineRule="auto"/>
        <w:jc w:val="both"/>
        <w:rPr>
          <w:rFonts w:ascii="Times New Roman" w:hAnsi="Times New Roman" w:cs="Times New Roman"/>
          <w:lang w:val="pt-BR"/>
        </w:rPr>
      </w:pPr>
    </w:p>
    <w:p w14:paraId="7C404A97" w14:textId="497A8B60" w:rsidR="00A45E4D" w:rsidRPr="00A45E4D" w:rsidRDefault="00A45E4D" w:rsidP="00A45E4D">
      <w:pPr>
        <w:spacing w:line="360" w:lineRule="auto"/>
        <w:jc w:val="both"/>
        <w:rPr>
          <w:rFonts w:ascii="Times New Roman" w:hAnsi="Times New Roman" w:cs="Times New Roman"/>
          <w:lang w:val="pt-BR"/>
        </w:rPr>
      </w:pPr>
    </w:p>
    <w:p w14:paraId="7D41B9EA" w14:textId="5D863041" w:rsidR="00A45E4D" w:rsidRPr="00A45E4D" w:rsidRDefault="00A45E4D" w:rsidP="00A45E4D">
      <w:pPr>
        <w:spacing w:line="360" w:lineRule="auto"/>
        <w:jc w:val="both"/>
        <w:rPr>
          <w:rFonts w:ascii="Times New Roman" w:hAnsi="Times New Roman" w:cs="Times New Roman"/>
          <w:lang w:val="pt-BR"/>
        </w:rPr>
      </w:pPr>
    </w:p>
    <w:p w14:paraId="7FF61D54" w14:textId="1FD0190D" w:rsidR="00A45E4D" w:rsidRPr="00A45E4D" w:rsidRDefault="00A45E4D" w:rsidP="00A45E4D">
      <w:pPr>
        <w:spacing w:line="360" w:lineRule="auto"/>
        <w:jc w:val="both"/>
        <w:rPr>
          <w:rFonts w:ascii="Times New Roman" w:hAnsi="Times New Roman" w:cs="Times New Roman"/>
          <w:lang w:val="pt-BR"/>
        </w:rPr>
      </w:pPr>
    </w:p>
    <w:p w14:paraId="0D5DD32E" w14:textId="637B3BD0" w:rsidR="00A45E4D" w:rsidRPr="00A45E4D" w:rsidRDefault="00A45E4D" w:rsidP="00A45E4D">
      <w:pPr>
        <w:spacing w:line="360" w:lineRule="auto"/>
        <w:jc w:val="both"/>
        <w:rPr>
          <w:rFonts w:ascii="Times New Roman" w:hAnsi="Times New Roman" w:cs="Times New Roman"/>
          <w:lang w:val="pt-BR"/>
        </w:rPr>
      </w:pPr>
    </w:p>
    <w:p w14:paraId="09B28BEF" w14:textId="21AEFC7C" w:rsidR="00A45E4D" w:rsidRPr="00A45E4D" w:rsidRDefault="00A45E4D" w:rsidP="00A45E4D">
      <w:pPr>
        <w:spacing w:line="360" w:lineRule="auto"/>
        <w:jc w:val="both"/>
        <w:rPr>
          <w:rFonts w:ascii="Times New Roman" w:hAnsi="Times New Roman" w:cs="Times New Roman"/>
          <w:lang w:val="pt-BR"/>
        </w:rPr>
      </w:pPr>
    </w:p>
    <w:p w14:paraId="5118DE6A" w14:textId="42195948" w:rsidR="00A45E4D" w:rsidRPr="00A45E4D" w:rsidRDefault="00A45E4D" w:rsidP="00A45E4D">
      <w:pPr>
        <w:spacing w:line="360" w:lineRule="auto"/>
        <w:jc w:val="both"/>
        <w:rPr>
          <w:rFonts w:ascii="Times New Roman" w:hAnsi="Times New Roman" w:cs="Times New Roman"/>
          <w:lang w:val="pt-BR"/>
        </w:rPr>
      </w:pPr>
    </w:p>
    <w:p w14:paraId="6182F1A7" w14:textId="77777777" w:rsidR="00A45E4D" w:rsidRPr="00A45E4D" w:rsidRDefault="00A45E4D" w:rsidP="00A45E4D">
      <w:pPr>
        <w:spacing w:line="360" w:lineRule="auto"/>
        <w:jc w:val="both"/>
        <w:rPr>
          <w:rFonts w:ascii="Times New Roman" w:hAnsi="Times New Roman" w:cs="Times New Roman"/>
          <w:lang w:val="pt-BR"/>
        </w:rPr>
      </w:pPr>
    </w:p>
    <w:p w14:paraId="2745E3EF" w14:textId="777D6CFB" w:rsidR="00A45E4D" w:rsidRDefault="00A45E4D" w:rsidP="00A45E4D">
      <w:pPr>
        <w:spacing w:line="360" w:lineRule="auto"/>
        <w:jc w:val="both"/>
        <w:rPr>
          <w:rFonts w:ascii="Times New Roman" w:hAnsi="Times New Roman" w:cs="Times New Roman"/>
          <w:lang w:val="pt-BR"/>
        </w:rPr>
      </w:pPr>
    </w:p>
    <w:p w14:paraId="21CAC6CE" w14:textId="77777777" w:rsidR="00A45E4D" w:rsidRPr="00A45E4D" w:rsidRDefault="00A45E4D" w:rsidP="00A45E4D">
      <w:pPr>
        <w:spacing w:line="360" w:lineRule="auto"/>
        <w:jc w:val="both"/>
        <w:rPr>
          <w:rFonts w:ascii="Times New Roman" w:hAnsi="Times New Roman" w:cs="Times New Roman"/>
          <w:lang w:val="pt-BR"/>
        </w:rPr>
      </w:pPr>
    </w:p>
    <w:p w14:paraId="607B9689" w14:textId="04B5C864" w:rsidR="003F31DC" w:rsidRDefault="00A45E4D" w:rsidP="00A45E4D">
      <w:pPr>
        <w:pStyle w:val="PargrafodaLista"/>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 xml:space="preserve">Introdução à empresa: </w:t>
      </w:r>
      <w:r w:rsidR="003F31DC" w:rsidRPr="00A45E4D">
        <w:rPr>
          <w:rFonts w:ascii="Times New Roman" w:hAnsi="Times New Roman" w:cs="Times New Roman"/>
        </w:rPr>
        <w:t>MRV</w:t>
      </w:r>
    </w:p>
    <w:p w14:paraId="38412D64" w14:textId="104B4204" w:rsidR="003B44E5" w:rsidRPr="003B44E5" w:rsidRDefault="003B44E5" w:rsidP="003B44E5">
      <w:pPr>
        <w:spacing w:line="360" w:lineRule="auto"/>
        <w:ind w:firstLine="720"/>
        <w:jc w:val="both"/>
        <w:rPr>
          <w:rFonts w:ascii="Times New Roman" w:hAnsi="Times New Roman" w:cs="Times New Roman"/>
          <w:lang w:val="pt-BR"/>
        </w:rPr>
      </w:pPr>
      <w:r w:rsidRPr="003B44E5">
        <w:rPr>
          <w:rFonts w:ascii="Times New Roman" w:hAnsi="Times New Roman" w:cs="Times New Roman"/>
          <w:lang w:val="pt-BR"/>
        </w:rPr>
        <w:t>A MRV é a maior incorporadora do Brasil, com foco em habitação popular. Apesar de focar no programa Minha Casa, Minha Vida, a empresa passou a atuar também no segmento de média renda (fora do programa habitacional). A MRV possui operações em todo o país, atuando em 22 estados e 156 cidades do Brasil.</w:t>
      </w:r>
      <w:r>
        <w:rPr>
          <w:rFonts w:ascii="Times New Roman" w:hAnsi="Times New Roman" w:cs="Times New Roman"/>
          <w:lang w:val="pt-BR"/>
        </w:rPr>
        <w:t xml:space="preserve"> Ela</w:t>
      </w:r>
      <w:r w:rsidRPr="003B44E5">
        <w:rPr>
          <w:rFonts w:ascii="Times New Roman" w:hAnsi="Times New Roman" w:cs="Times New Roman"/>
          <w:lang w:val="pt-BR"/>
        </w:rPr>
        <w:t xml:space="preserve"> administra todas as etapas de aquisição, incorporação, construção e comercialização de terrenos em desenvolvimento,</w:t>
      </w:r>
      <w:r>
        <w:rPr>
          <w:rFonts w:ascii="Times New Roman" w:hAnsi="Times New Roman" w:cs="Times New Roman"/>
          <w:lang w:val="pt-BR"/>
        </w:rPr>
        <w:t xml:space="preserve"> tendo ingressado recentemente</w:t>
      </w:r>
      <w:r w:rsidRPr="003B44E5">
        <w:rPr>
          <w:rFonts w:ascii="Times New Roman" w:hAnsi="Times New Roman" w:cs="Times New Roman"/>
          <w:lang w:val="pt-BR"/>
        </w:rPr>
        <w:t xml:space="preserve"> no segmento de imóveis industriais</w:t>
      </w:r>
      <w:r>
        <w:rPr>
          <w:rFonts w:ascii="Times New Roman" w:hAnsi="Times New Roman" w:cs="Times New Roman"/>
          <w:lang w:val="pt-BR"/>
        </w:rPr>
        <w:t xml:space="preserve">. </w:t>
      </w:r>
      <w:r w:rsidRPr="003B44E5">
        <w:rPr>
          <w:rFonts w:ascii="Times New Roman" w:hAnsi="Times New Roman" w:cs="Times New Roman"/>
          <w:lang w:val="pt-BR"/>
        </w:rPr>
        <w:t xml:space="preserve">A empresa acredita ter um conhecimento detalhado das características de cada mercado. Por meio desse modelo, é possível aumentar sua capacidade de crescimento e, devido à dispersão geográfica, a MRV pode reduzir o risco de danos causados ​​por mudanças em legislações específicas do governo municipal, sendo ainda </w:t>
      </w:r>
      <w:proofErr w:type="gramStart"/>
      <w:r w:rsidRPr="003B44E5">
        <w:rPr>
          <w:rFonts w:ascii="Times New Roman" w:hAnsi="Times New Roman" w:cs="Times New Roman"/>
          <w:lang w:val="pt-BR"/>
        </w:rPr>
        <w:t>uma importante</w:t>
      </w:r>
      <w:proofErr w:type="gramEnd"/>
      <w:r w:rsidRPr="003B44E5">
        <w:rPr>
          <w:rFonts w:ascii="Times New Roman" w:hAnsi="Times New Roman" w:cs="Times New Roman"/>
          <w:lang w:val="pt-BR"/>
        </w:rPr>
        <w:t xml:space="preserve"> barreira de entrada para potenciais concorrentes.</w:t>
      </w:r>
    </w:p>
    <w:p w14:paraId="6C409D97" w14:textId="0D9E53B1" w:rsidR="00A45E4D" w:rsidRPr="0004091D" w:rsidRDefault="003F31DC" w:rsidP="00A45E4D">
      <w:pPr>
        <w:spacing w:line="360" w:lineRule="auto"/>
        <w:jc w:val="both"/>
        <w:rPr>
          <w:rFonts w:ascii="Times New Roman" w:hAnsi="Times New Roman" w:cs="Times New Roman"/>
          <w:highlight w:val="yellow"/>
          <w:lang w:val="pt-BR"/>
        </w:rPr>
      </w:pPr>
      <w:r w:rsidRPr="0004091D">
        <w:rPr>
          <w:rFonts w:ascii="Times New Roman" w:hAnsi="Times New Roman" w:cs="Times New Roman"/>
          <w:highlight w:val="yellow"/>
          <w:lang w:val="pt-BR"/>
        </w:rPr>
        <w:t>Observe a evolução destes indicadores financeiros e reflita sobre seu significado. Em complemento investigue e correlacione os resultados com os aspectos estratégicos da empresa e/ou o ambiente de negócios e o cenário macroeconômico local e global; reflita também sobre como a evolução desses indicadores poderiam auxiliar para realizar previsões dos demonstrativos financeiros (Demonstração do Resultado, Balanço Patrimonial e Fluxo de Caixa Financeiro). Em complemento, utilize a análise horizontal e vertical dos demonstrativos financeiros para investigar o comportamento das variáveis que compõe cada indicador</w:t>
      </w:r>
    </w:p>
    <w:p w14:paraId="0DAF3BB3" w14:textId="77777777" w:rsidR="00A67A23" w:rsidRDefault="003F31DC" w:rsidP="00A67A23">
      <w:pPr>
        <w:spacing w:after="0" w:line="360" w:lineRule="auto"/>
        <w:jc w:val="both"/>
        <w:rPr>
          <w:rFonts w:ascii="Times New Roman" w:eastAsia="Times New Roman" w:hAnsi="Times New Roman" w:cs="Times New Roman"/>
          <w:color w:val="000000"/>
        </w:rPr>
      </w:pPr>
      <w:r w:rsidRPr="003F31DC">
        <w:rPr>
          <w:rFonts w:ascii="Times New Roman" w:eastAsia="Times New Roman" w:hAnsi="Times New Roman" w:cs="Times New Roman"/>
          <w:color w:val="000000"/>
          <w:highlight w:val="yellow"/>
          <w:lang w:val="pt-BR"/>
        </w:rPr>
        <w:t xml:space="preserve">Realiza a análise de indicadores, vertical e horizontal completa e sem erros E analisa corretamente os resultados relacionando com aspectos estratégicos da empresa ou do ambiente de negócios. Constrói a tabela clara apresentando os resultados destes indicadores e a AH (análise horizontal) desses resultados. Constrói gráficos que contribuam com a investigação e análise dos indicadores financeiros. </w:t>
      </w:r>
      <w:proofErr w:type="spellStart"/>
      <w:r w:rsidRPr="003F31DC">
        <w:rPr>
          <w:rFonts w:ascii="Times New Roman" w:eastAsia="Times New Roman" w:hAnsi="Times New Roman" w:cs="Times New Roman"/>
          <w:color w:val="000000"/>
          <w:highlight w:val="yellow"/>
        </w:rPr>
        <w:t>Em</w:t>
      </w:r>
      <w:proofErr w:type="spellEnd"/>
      <w:r w:rsidRPr="003F31DC">
        <w:rPr>
          <w:rFonts w:ascii="Times New Roman" w:eastAsia="Times New Roman" w:hAnsi="Times New Roman" w:cs="Times New Roman"/>
          <w:color w:val="000000"/>
          <w:highlight w:val="yellow"/>
        </w:rPr>
        <w:t xml:space="preserve"> </w:t>
      </w:r>
      <w:proofErr w:type="spellStart"/>
      <w:r w:rsidRPr="003F31DC">
        <w:rPr>
          <w:rFonts w:ascii="Times New Roman" w:eastAsia="Times New Roman" w:hAnsi="Times New Roman" w:cs="Times New Roman"/>
          <w:color w:val="000000"/>
          <w:highlight w:val="yellow"/>
        </w:rPr>
        <w:t>complemento</w:t>
      </w:r>
      <w:proofErr w:type="spellEnd"/>
      <w:r w:rsidRPr="003F31DC">
        <w:rPr>
          <w:rFonts w:ascii="Times New Roman" w:eastAsia="Times New Roman" w:hAnsi="Times New Roman" w:cs="Times New Roman"/>
          <w:color w:val="000000"/>
          <w:highlight w:val="yellow"/>
        </w:rPr>
        <w:t xml:space="preserve">, </w:t>
      </w:r>
      <w:proofErr w:type="spellStart"/>
      <w:r w:rsidRPr="003F31DC">
        <w:rPr>
          <w:rFonts w:ascii="Times New Roman" w:eastAsia="Times New Roman" w:hAnsi="Times New Roman" w:cs="Times New Roman"/>
          <w:color w:val="000000"/>
          <w:highlight w:val="yellow"/>
        </w:rPr>
        <w:t>compara</w:t>
      </w:r>
      <w:proofErr w:type="spellEnd"/>
      <w:r w:rsidRPr="003F31DC">
        <w:rPr>
          <w:rFonts w:ascii="Times New Roman" w:eastAsia="Times New Roman" w:hAnsi="Times New Roman" w:cs="Times New Roman"/>
          <w:color w:val="000000"/>
          <w:highlight w:val="yellow"/>
        </w:rPr>
        <w:t xml:space="preserve"> com</w:t>
      </w:r>
    </w:p>
    <w:p w14:paraId="09A5BB42" w14:textId="77777777" w:rsidR="00A67A23" w:rsidRDefault="00A67A23" w:rsidP="00A67A23">
      <w:pPr>
        <w:pStyle w:val="PargrafodaLista"/>
        <w:numPr>
          <w:ilvl w:val="0"/>
          <w:numId w:val="11"/>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Indicadores</w:t>
      </w:r>
      <w:r w:rsidRPr="00A67A23">
        <w:rPr>
          <w:rFonts w:ascii="Times New Roman" w:eastAsia="Times New Roman" w:hAnsi="Times New Roman" w:cs="Times New Roman"/>
          <w:color w:val="000000"/>
        </w:rPr>
        <w:tab/>
      </w:r>
    </w:p>
    <w:p w14:paraId="4C21BB9A" w14:textId="3E47D5C3" w:rsidR="00A67A23" w:rsidRPr="00A67A23" w:rsidRDefault="00FE6BD6" w:rsidP="00A67A23">
      <w:pPr>
        <w:pStyle w:val="PargrafodaLista"/>
        <w:numPr>
          <w:ilvl w:val="1"/>
          <w:numId w:val="11"/>
        </w:numPr>
        <w:spacing w:after="0" w:line="360" w:lineRule="auto"/>
        <w:jc w:val="both"/>
        <w:rPr>
          <w:rFonts w:ascii="Times New Roman" w:eastAsia="Times New Roman" w:hAnsi="Times New Roman" w:cs="Times New Roman"/>
          <w:color w:val="000000"/>
        </w:rPr>
      </w:pPr>
      <w:r w:rsidRPr="00FE6BD6">
        <w:rPr>
          <w:rFonts w:ascii="Times New Roman" w:eastAsia="Times New Roman" w:hAnsi="Times New Roman" w:cs="Times New Roman"/>
          <w:color w:val="000000"/>
        </w:rPr>
        <w:t>Indicadores de Solvência de Curto Prazo</w:t>
      </w:r>
    </w:p>
    <w:p w14:paraId="2FF34EDC" w14:textId="043431D3" w:rsidR="00774E4E" w:rsidRDefault="0004091D" w:rsidP="00A67A23">
      <w:pPr>
        <w:spacing w:after="0" w:line="360" w:lineRule="auto"/>
        <w:ind w:firstLine="720"/>
        <w:jc w:val="both"/>
        <w:rPr>
          <w:rFonts w:ascii="Times New Roman" w:eastAsia="Times New Roman" w:hAnsi="Times New Roman" w:cs="Times New Roman"/>
          <w:color w:val="000000"/>
          <w:lang w:val="pt-BR"/>
        </w:rPr>
      </w:pPr>
      <w:r w:rsidRPr="0004091D">
        <w:rPr>
          <w:rFonts w:ascii="Times New Roman" w:eastAsia="Times New Roman" w:hAnsi="Times New Roman" w:cs="Times New Roman"/>
          <w:color w:val="000000"/>
          <w:lang w:val="pt-BR"/>
        </w:rPr>
        <w:t xml:space="preserve">Analisando </w:t>
      </w:r>
      <w:r>
        <w:rPr>
          <w:rFonts w:ascii="Times New Roman" w:eastAsia="Times New Roman" w:hAnsi="Times New Roman" w:cs="Times New Roman"/>
          <w:color w:val="000000"/>
          <w:lang w:val="pt-BR"/>
        </w:rPr>
        <w:t>os índices de liquidez da MRV</w:t>
      </w:r>
      <w:r w:rsidRPr="0004091D">
        <w:rPr>
          <w:rFonts w:ascii="Times New Roman" w:eastAsia="Times New Roman" w:hAnsi="Times New Roman" w:cs="Times New Roman"/>
          <w:color w:val="000000"/>
          <w:lang w:val="pt-BR"/>
        </w:rPr>
        <w:t>, é</w:t>
      </w:r>
      <w:r>
        <w:rPr>
          <w:rFonts w:ascii="Times New Roman" w:eastAsia="Times New Roman" w:hAnsi="Times New Roman" w:cs="Times New Roman"/>
          <w:color w:val="000000"/>
          <w:lang w:val="pt-BR"/>
        </w:rPr>
        <w:t xml:space="preserve"> possível notar uma tendência de queda, a partir de 2018, tanto da Liquidez Corrente quanto da Seca. Apesar da queda, ela ainda tem capital suficiente para cobrir os custos de suas dívidas de curto prazo, inclusive quando é desconsiderado o uso do estoque para liquidar </w:t>
      </w:r>
      <w:r w:rsidR="00774E4E">
        <w:rPr>
          <w:rFonts w:ascii="Times New Roman" w:eastAsia="Times New Roman" w:hAnsi="Times New Roman" w:cs="Times New Roman"/>
          <w:color w:val="000000"/>
          <w:lang w:val="pt-BR"/>
        </w:rPr>
        <w:t>suas obrigações financeiras. Em relação à</w:t>
      </w:r>
      <w:r w:rsidR="00E553E7">
        <w:rPr>
          <w:rFonts w:ascii="Times New Roman" w:eastAsia="Times New Roman" w:hAnsi="Times New Roman" w:cs="Times New Roman"/>
          <w:color w:val="000000"/>
          <w:lang w:val="pt-BR"/>
        </w:rPr>
        <w:t>s</w:t>
      </w:r>
      <w:r w:rsidR="00774E4E">
        <w:rPr>
          <w:rFonts w:ascii="Times New Roman" w:eastAsia="Times New Roman" w:hAnsi="Times New Roman" w:cs="Times New Roman"/>
          <w:color w:val="000000"/>
          <w:lang w:val="pt-BR"/>
        </w:rPr>
        <w:t xml:space="preserve"> demais empresas desse mesmo setor, os índices da MRV apresentam valores absolutos significativamente menores. Porém, sabendo que os empreendimentos da MRV têm como foco o público de baixa renda, e dados os contratos feitos com o governo (FGTS), ela tem menos risco em seus recebimentos, permitindo que seus índices de liquidez sejam menores que das outras empresas. </w:t>
      </w:r>
    </w:p>
    <w:p w14:paraId="68BDF725" w14:textId="514371CF" w:rsidR="00B81DB7" w:rsidRDefault="00774E4E" w:rsidP="00483341">
      <w:pPr>
        <w:spacing w:after="0" w:line="360" w:lineRule="auto"/>
        <w:jc w:val="center"/>
        <w:rPr>
          <w:rFonts w:ascii="Times New Roman" w:eastAsia="Times New Roman" w:hAnsi="Times New Roman" w:cs="Times New Roman"/>
          <w:color w:val="000000"/>
          <w:lang w:val="pt-BR"/>
        </w:rPr>
      </w:pPr>
      <w:r>
        <w:rPr>
          <w:noProof/>
        </w:rPr>
        <w:lastRenderedPageBreak/>
        <w:drawing>
          <wp:inline distT="0" distB="0" distL="0" distR="0" wp14:anchorId="5E1E2E14" wp14:editId="7A810AEA">
            <wp:extent cx="4991100" cy="16351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8901" cy="1657349"/>
                    </a:xfrm>
                    <a:prstGeom prst="rect">
                      <a:avLst/>
                    </a:prstGeom>
                    <a:noFill/>
                    <a:ln>
                      <a:noFill/>
                    </a:ln>
                  </pic:spPr>
                </pic:pic>
              </a:graphicData>
            </a:graphic>
          </wp:inline>
        </w:drawing>
      </w:r>
    </w:p>
    <w:p w14:paraId="1092DC53" w14:textId="4236B3D7" w:rsidR="003F31DC" w:rsidRDefault="00D55731" w:rsidP="00483341">
      <w:pPr>
        <w:spacing w:line="360" w:lineRule="auto"/>
        <w:jc w:val="center"/>
        <w:rPr>
          <w:rFonts w:ascii="Times New Roman" w:eastAsia="Times New Roman" w:hAnsi="Times New Roman" w:cs="Times New Roman"/>
          <w:lang w:val="pt-BR"/>
        </w:rPr>
      </w:pPr>
      <w:r w:rsidRPr="00516F5F">
        <w:rPr>
          <w:lang w:val="pt-BR"/>
        </w:rPr>
        <w:t xml:space="preserve">Figura </w:t>
      </w:r>
      <w:r w:rsidR="00483341">
        <w:rPr>
          <w:lang w:val="pt-BR"/>
        </w:rPr>
        <w:t>1</w:t>
      </w:r>
      <w:r w:rsidRPr="00516F5F">
        <w:rPr>
          <w:lang w:val="pt-BR"/>
        </w:rPr>
        <w:t xml:space="preserve">: </w:t>
      </w:r>
      <w:r>
        <w:rPr>
          <w:lang w:val="pt-BR"/>
        </w:rPr>
        <w:t>Evolução d</w:t>
      </w:r>
      <w:r w:rsidR="00483341">
        <w:rPr>
          <w:lang w:val="pt-BR"/>
        </w:rPr>
        <w:t>a Liquidez Corrente do setor</w:t>
      </w:r>
    </w:p>
    <w:p w14:paraId="16A72ED8" w14:textId="21A9CA0D" w:rsidR="00B775C5" w:rsidRDefault="00A67A23" w:rsidP="00B775C5">
      <w:pPr>
        <w:spacing w:line="360" w:lineRule="auto"/>
        <w:ind w:firstLine="720"/>
        <w:jc w:val="both"/>
        <w:rPr>
          <w:rFonts w:ascii="Times New Roman" w:hAnsi="Times New Roman" w:cs="Times New Roman"/>
          <w:lang w:val="pt-BR"/>
        </w:rPr>
      </w:pPr>
      <w:r w:rsidRPr="00A67A23">
        <w:rPr>
          <w:rFonts w:ascii="Times New Roman" w:hAnsi="Times New Roman" w:cs="Times New Roman"/>
          <w:lang w:val="pt-BR"/>
        </w:rPr>
        <w:t>A tendê</w:t>
      </w:r>
      <w:r>
        <w:rPr>
          <w:rFonts w:ascii="Times New Roman" w:hAnsi="Times New Roman" w:cs="Times New Roman"/>
          <w:lang w:val="pt-BR"/>
        </w:rPr>
        <w:t xml:space="preserve">ncia vista anteriormente não pode ser replicada para a Liquidez Imediata que, por sua vez, demonstra certa oscilação (queda de 2018 para 2019 e ascensão de 2019 para 2020). A queda em 2019 é explicada </w:t>
      </w:r>
      <w:r w:rsidR="008B57FE">
        <w:rPr>
          <w:rFonts w:ascii="Times New Roman" w:hAnsi="Times New Roman" w:cs="Times New Roman"/>
          <w:lang w:val="pt-BR"/>
        </w:rPr>
        <w:t xml:space="preserve">pelo baixo volume de vendas, impactado pelo problema de repasse do programa </w:t>
      </w:r>
      <w:r w:rsidR="008B57FE" w:rsidRPr="008B57FE">
        <w:rPr>
          <w:rFonts w:ascii="Times New Roman" w:hAnsi="Times New Roman" w:cs="Times New Roman"/>
          <w:i/>
          <w:iCs/>
          <w:lang w:val="pt-BR"/>
        </w:rPr>
        <w:t>Minha Casa, Minha Vid</w:t>
      </w:r>
      <w:r w:rsidR="008B57FE">
        <w:rPr>
          <w:rFonts w:ascii="Times New Roman" w:hAnsi="Times New Roman" w:cs="Times New Roman"/>
          <w:i/>
          <w:iCs/>
          <w:lang w:val="pt-BR"/>
        </w:rPr>
        <w:t>a</w:t>
      </w:r>
      <w:r w:rsidR="00E553E7">
        <w:rPr>
          <w:rFonts w:ascii="Times New Roman" w:hAnsi="Times New Roman" w:cs="Times New Roman"/>
          <w:i/>
          <w:iCs/>
          <w:lang w:val="pt-BR"/>
        </w:rPr>
        <w:t xml:space="preserve">. </w:t>
      </w:r>
      <w:r w:rsidR="00E553E7">
        <w:rPr>
          <w:rFonts w:ascii="Times New Roman" w:hAnsi="Times New Roman" w:cs="Times New Roman"/>
          <w:lang w:val="pt-BR"/>
        </w:rPr>
        <w:t>Isso</w:t>
      </w:r>
      <w:r w:rsidR="008B57FE">
        <w:rPr>
          <w:rFonts w:ascii="Times New Roman" w:hAnsi="Times New Roman" w:cs="Times New Roman"/>
          <w:lang w:val="pt-BR"/>
        </w:rPr>
        <w:t xml:space="preserve"> somado a uma queima de caixa, impulsionado pelo aumento do volume de estoque e aquisição de novos terrenos</w:t>
      </w:r>
      <w:r w:rsidR="00E553E7">
        <w:rPr>
          <w:rFonts w:ascii="Times New Roman" w:hAnsi="Times New Roman" w:cs="Times New Roman"/>
          <w:lang w:val="pt-BR"/>
        </w:rPr>
        <w:t>,</w:t>
      </w:r>
      <w:r w:rsidR="008B57FE">
        <w:rPr>
          <w:rFonts w:ascii="Times New Roman" w:hAnsi="Times New Roman" w:cs="Times New Roman"/>
          <w:lang w:val="pt-BR"/>
        </w:rPr>
        <w:t xml:space="preserve"> resultaram em fracos valores operacionais </w:t>
      </w:r>
      <w:r w:rsidR="00E553E7">
        <w:rPr>
          <w:rFonts w:ascii="Times New Roman" w:hAnsi="Times New Roman" w:cs="Times New Roman"/>
          <w:lang w:val="pt-BR"/>
        </w:rPr>
        <w:t>na 2ª metade do ano</w:t>
      </w:r>
      <w:r w:rsidR="008B57FE">
        <w:rPr>
          <w:rFonts w:ascii="Times New Roman" w:hAnsi="Times New Roman" w:cs="Times New Roman"/>
          <w:lang w:val="pt-BR"/>
        </w:rPr>
        <w:t>. Por outro lado, a ascensão em 2020 se explica pela boa geração de caixa no final do ano, devido à venda do projeto da AHS</w:t>
      </w:r>
      <w:r w:rsidR="00E553E7">
        <w:rPr>
          <w:rFonts w:ascii="Times New Roman" w:hAnsi="Times New Roman" w:cs="Times New Roman"/>
          <w:lang w:val="pt-BR"/>
        </w:rPr>
        <w:t>, que dará forças para impulsionar suas</w:t>
      </w:r>
      <w:r w:rsidR="00E553E7">
        <w:rPr>
          <w:rFonts w:ascii="Times New Roman" w:hAnsi="Times New Roman" w:cs="Times New Roman"/>
          <w:lang w:val="pt-BR"/>
        </w:rPr>
        <w:t xml:space="preserve"> operações principais</w:t>
      </w:r>
      <w:r w:rsidR="00B214BE">
        <w:rPr>
          <w:rFonts w:ascii="Times New Roman" w:hAnsi="Times New Roman" w:cs="Times New Roman"/>
          <w:lang w:val="pt-BR"/>
        </w:rPr>
        <w:t>.</w:t>
      </w:r>
    </w:p>
    <w:p w14:paraId="09B92A5F" w14:textId="45B83A1C" w:rsidR="00D55731" w:rsidRDefault="00D55731" w:rsidP="00D55731">
      <w:pPr>
        <w:spacing w:line="360" w:lineRule="auto"/>
        <w:jc w:val="center"/>
        <w:rPr>
          <w:rFonts w:ascii="Times New Roman" w:hAnsi="Times New Roman" w:cs="Times New Roman"/>
          <w:lang w:val="pt-BR"/>
        </w:rPr>
      </w:pPr>
      <w:r>
        <w:rPr>
          <w:noProof/>
        </w:rPr>
        <w:drawing>
          <wp:inline distT="0" distB="0" distL="0" distR="0" wp14:anchorId="38119B86" wp14:editId="2A742B92">
            <wp:extent cx="3744068" cy="2360295"/>
            <wp:effectExtent l="0" t="0" r="889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068" cy="2360295"/>
                    </a:xfrm>
                    <a:prstGeom prst="rect">
                      <a:avLst/>
                    </a:prstGeom>
                    <a:noFill/>
                    <a:ln>
                      <a:noFill/>
                    </a:ln>
                  </pic:spPr>
                </pic:pic>
              </a:graphicData>
            </a:graphic>
          </wp:inline>
        </w:drawing>
      </w:r>
    </w:p>
    <w:p w14:paraId="479A153F" w14:textId="15A31F70" w:rsidR="00D55731" w:rsidRDefault="00D55731" w:rsidP="00D55731">
      <w:pPr>
        <w:spacing w:line="360" w:lineRule="auto"/>
        <w:jc w:val="center"/>
        <w:rPr>
          <w:rFonts w:ascii="Times New Roman" w:hAnsi="Times New Roman" w:cs="Times New Roman"/>
          <w:lang w:val="pt-BR"/>
        </w:rPr>
      </w:pPr>
      <w:r w:rsidRPr="00516F5F">
        <w:rPr>
          <w:lang w:val="pt-BR"/>
        </w:rPr>
        <w:t xml:space="preserve">Figura </w:t>
      </w:r>
      <w:r w:rsidR="00483341">
        <w:rPr>
          <w:lang w:val="pt-BR"/>
        </w:rPr>
        <w:t>2</w:t>
      </w:r>
      <w:r w:rsidRPr="00516F5F">
        <w:rPr>
          <w:lang w:val="pt-BR"/>
        </w:rPr>
        <w:t xml:space="preserve">: </w:t>
      </w:r>
      <w:r>
        <w:rPr>
          <w:lang w:val="pt-BR"/>
        </w:rPr>
        <w:t xml:space="preserve">Evolução dos indicadores de Solvência de </w:t>
      </w:r>
      <w:r>
        <w:rPr>
          <w:lang w:val="pt-BR"/>
        </w:rPr>
        <w:t>Curto</w:t>
      </w:r>
      <w:r>
        <w:rPr>
          <w:lang w:val="pt-BR"/>
        </w:rPr>
        <w:t xml:space="preserve"> Prazo</w:t>
      </w:r>
    </w:p>
    <w:p w14:paraId="26BCD4FC" w14:textId="46BB11D3" w:rsidR="00B775C5" w:rsidRDefault="00B775C5" w:rsidP="00B775C5">
      <w:pPr>
        <w:pStyle w:val="PargrafodaLista"/>
        <w:numPr>
          <w:ilvl w:val="1"/>
          <w:numId w:val="12"/>
        </w:numPr>
        <w:spacing w:line="360" w:lineRule="auto"/>
        <w:jc w:val="both"/>
        <w:rPr>
          <w:rFonts w:ascii="Times New Roman" w:hAnsi="Times New Roman" w:cs="Times New Roman"/>
        </w:rPr>
      </w:pPr>
      <w:r>
        <w:rPr>
          <w:rFonts w:ascii="Times New Roman" w:hAnsi="Times New Roman" w:cs="Times New Roman"/>
        </w:rPr>
        <w:t>Índices de Solvência de Longo Prazo</w:t>
      </w:r>
    </w:p>
    <w:p w14:paraId="64AF355A" w14:textId="77777777" w:rsidR="00B775C5" w:rsidRPr="00B775C5" w:rsidRDefault="00B775C5" w:rsidP="00B775C5">
      <w:pPr>
        <w:spacing w:line="360" w:lineRule="auto"/>
        <w:ind w:firstLine="720"/>
        <w:jc w:val="both"/>
        <w:rPr>
          <w:rFonts w:ascii="Times New Roman" w:hAnsi="Times New Roman" w:cs="Times New Roman"/>
        </w:rPr>
      </w:pPr>
      <w:r w:rsidRPr="00B775C5">
        <w:rPr>
          <w:rFonts w:ascii="Times New Roman" w:hAnsi="Times New Roman" w:cs="Times New Roman"/>
        </w:rPr>
        <w:t xml:space="preserve">Os indicadores de Solvência de Longo Prazo da companhia tem demonstrado uma pequena tendência de crescimento ao longo dos anos. Inicialmente, o índice de Endividamento Total apresentou uma flutuação de 60 a 66,5%. Isso pode ser explicado pela pressão que as construtoras de baixa renda enxergaram em suas margens </w:t>
      </w:r>
      <w:proofErr w:type="gramStart"/>
      <w:r w:rsidRPr="00B775C5">
        <w:rPr>
          <w:rFonts w:ascii="Times New Roman" w:hAnsi="Times New Roman" w:cs="Times New Roman"/>
        </w:rPr>
        <w:t>nos  últimos</w:t>
      </w:r>
      <w:proofErr w:type="gramEnd"/>
      <w:r w:rsidRPr="00B775C5">
        <w:rPr>
          <w:rFonts w:ascii="Times New Roman" w:hAnsi="Times New Roman" w:cs="Times New Roman"/>
        </w:rPr>
        <w:t xml:space="preserve"> tempos, devido aos custos de construção cada vez mais altos. Atrelado a isso, a MRV começou a buscar novas oportunidades de crescimento, majoritariamente pelo aumento de sua atuação em projetos de média renda, sua </w:t>
      </w:r>
      <w:r w:rsidRPr="00B775C5">
        <w:rPr>
          <w:rFonts w:ascii="Times New Roman" w:hAnsi="Times New Roman" w:cs="Times New Roman"/>
        </w:rPr>
        <w:lastRenderedPageBreak/>
        <w:t>plataforma de aluguel residencial e expansão internacional (projeto AHS). O índice Dívida/Capital Próprio cresceu em torno de 30%, significando que, ao longo dos anos, a MRV tem usado uma maior parte da sua dívida para financiar os seus ativos em relação ao patrimônio dos acionistas, que pode ser explicado também pelos motivos acima. Quanto ao Multiplicador do PL, a tendencia de crescimento também se mostra verdadeira. Com ele em ascensão, é possível concluir que a empresa tem financiado a compra de seus ativos principalmente por meio de dívidas, como visto acima, e não por meio de seu PL.</w:t>
      </w:r>
    </w:p>
    <w:p w14:paraId="118CDE8E" w14:textId="77777777" w:rsidR="00B775C5" w:rsidRPr="00B775C5" w:rsidRDefault="00B775C5" w:rsidP="00B775C5">
      <w:pPr>
        <w:spacing w:line="360" w:lineRule="auto"/>
        <w:ind w:firstLine="720"/>
        <w:jc w:val="both"/>
        <w:rPr>
          <w:rFonts w:ascii="Times New Roman" w:hAnsi="Times New Roman" w:cs="Times New Roman"/>
          <w:lang w:val="pt-BR"/>
        </w:rPr>
      </w:pPr>
      <w:r w:rsidRPr="00B775C5">
        <w:rPr>
          <w:rFonts w:ascii="Times New Roman" w:hAnsi="Times New Roman" w:cs="Times New Roman"/>
        </w:rPr>
        <w:t xml:space="preserve">Os índices de Cobertura de Juros e de Caixa apresentaram comportamento semelhante com o passar do tempo. Desde 2017 até 2019, a empresa demonstrou </w:t>
      </w:r>
      <w:proofErr w:type="gramStart"/>
      <w:r w:rsidRPr="00B775C5">
        <w:rPr>
          <w:rFonts w:ascii="Times New Roman" w:hAnsi="Times New Roman" w:cs="Times New Roman"/>
        </w:rPr>
        <w:t>uma crescimento agressivo</w:t>
      </w:r>
      <w:proofErr w:type="gramEnd"/>
      <w:r w:rsidRPr="00B775C5">
        <w:rPr>
          <w:rFonts w:ascii="Times New Roman" w:hAnsi="Times New Roman" w:cs="Times New Roman"/>
        </w:rPr>
        <w:t xml:space="preserve"> em ambos os índices. Porém em 2020, ambos sofreram uma extrema redução em seu valor absoluto. </w:t>
      </w:r>
      <w:r w:rsidRPr="00B775C5">
        <w:rPr>
          <w:rFonts w:ascii="Times New Roman" w:hAnsi="Times New Roman" w:cs="Times New Roman"/>
          <w:lang w:val="pt-BR"/>
        </w:rPr>
        <w:t xml:space="preserve">Isso pode ser explicado pelo aumento estrondoso das Despesas Financeiras da companhia no ano de 2020, causado principalmente pelos agravamentos da pandemia </w:t>
      </w:r>
      <w:proofErr w:type="gramStart"/>
      <w:r w:rsidRPr="00B775C5">
        <w:rPr>
          <w:rFonts w:ascii="Times New Roman" w:hAnsi="Times New Roman" w:cs="Times New Roman"/>
          <w:lang w:val="pt-BR"/>
        </w:rPr>
        <w:t>do corona</w:t>
      </w:r>
      <w:proofErr w:type="gramEnd"/>
      <w:r w:rsidRPr="00B775C5">
        <w:rPr>
          <w:rFonts w:ascii="Times New Roman" w:hAnsi="Times New Roman" w:cs="Times New Roman"/>
          <w:lang w:val="pt-BR"/>
        </w:rPr>
        <w:t xml:space="preserve"> vírus, atrelado a perda de expectativa, paralização do fluxo de capital e redução do core business da empresa.</w:t>
      </w:r>
    </w:p>
    <w:p w14:paraId="6E72EEEA" w14:textId="30A94C07" w:rsidR="00FE6BD6" w:rsidRDefault="00B775C5" w:rsidP="00FE6BD6">
      <w:pPr>
        <w:spacing w:line="360" w:lineRule="auto"/>
        <w:ind w:firstLine="720"/>
        <w:jc w:val="both"/>
        <w:rPr>
          <w:rFonts w:ascii="Times New Roman" w:hAnsi="Times New Roman" w:cs="Times New Roman"/>
          <w:lang w:val="pt-BR"/>
        </w:rPr>
      </w:pPr>
      <w:r w:rsidRPr="00B775C5">
        <w:rPr>
          <w:rFonts w:ascii="Times New Roman" w:hAnsi="Times New Roman" w:cs="Times New Roman"/>
          <w:lang w:val="pt-BR"/>
        </w:rPr>
        <w:t xml:space="preserve">Por fim, o índice Endividamento/LAJIDA apresenta a mesma tendência de crescimento visto anteriormente, ou seja, uma ascensão constante desde 2018, aumentando 34% em seu valor absoluto. </w:t>
      </w:r>
      <w:r w:rsidRPr="00B775C5">
        <w:rPr>
          <w:rFonts w:ascii="Times New Roman" w:hAnsi="Times New Roman" w:cs="Times New Roman"/>
        </w:rPr>
        <w:t xml:space="preserve">Este é um </w:t>
      </w:r>
      <w:proofErr w:type="spellStart"/>
      <w:r w:rsidRPr="00B775C5">
        <w:rPr>
          <w:rFonts w:ascii="Times New Roman" w:hAnsi="Times New Roman" w:cs="Times New Roman"/>
        </w:rPr>
        <w:t>indicador</w:t>
      </w:r>
      <w:proofErr w:type="spellEnd"/>
      <w:r w:rsidRPr="00B775C5">
        <w:rPr>
          <w:rFonts w:ascii="Times New Roman" w:hAnsi="Times New Roman" w:cs="Times New Roman"/>
        </w:rPr>
        <w:t xml:space="preserve"> muito representativo da segurança que </w:t>
      </w:r>
      <w:proofErr w:type="gramStart"/>
      <w:r w:rsidRPr="00B775C5">
        <w:rPr>
          <w:rFonts w:ascii="Times New Roman" w:hAnsi="Times New Roman" w:cs="Times New Roman"/>
        </w:rPr>
        <w:t>a</w:t>
      </w:r>
      <w:proofErr w:type="gramEnd"/>
      <w:r w:rsidRPr="00B775C5">
        <w:rPr>
          <w:rFonts w:ascii="Times New Roman" w:hAnsi="Times New Roman" w:cs="Times New Roman"/>
        </w:rPr>
        <w:t xml:space="preserve"> empresa tem para passar por momentos de crise, como a do COVID-19. Seu valor de 14,6 em 2020 significa que é preciso 14,6 vezes a geração de caixa atual da empresa para pagamento integral da sua dívida. </w:t>
      </w:r>
      <w:r w:rsidRPr="00E553E7">
        <w:rPr>
          <w:rFonts w:ascii="Times New Roman" w:hAnsi="Times New Roman" w:cs="Times New Roman"/>
          <w:lang w:val="pt-BR"/>
        </w:rPr>
        <w:t xml:space="preserve">Um índice com esse valor indica que é menos provável a MRV </w:t>
      </w:r>
      <w:r w:rsidR="00E553E7">
        <w:rPr>
          <w:rFonts w:ascii="Times New Roman" w:hAnsi="Times New Roman" w:cs="Times New Roman"/>
          <w:lang w:val="pt-BR"/>
        </w:rPr>
        <w:t>ser</w:t>
      </w:r>
      <w:r w:rsidRPr="00E553E7">
        <w:rPr>
          <w:rFonts w:ascii="Times New Roman" w:hAnsi="Times New Roman" w:cs="Times New Roman"/>
          <w:lang w:val="pt-BR"/>
        </w:rPr>
        <w:t xml:space="preserve"> capaz de honrar suas obrigações.</w:t>
      </w:r>
    </w:p>
    <w:p w14:paraId="69D66C33" w14:textId="7C78B897" w:rsidR="00D55731" w:rsidRDefault="00D55731" w:rsidP="00D55731">
      <w:pPr>
        <w:spacing w:line="360" w:lineRule="auto"/>
        <w:jc w:val="both"/>
        <w:rPr>
          <w:rFonts w:ascii="Times New Roman" w:hAnsi="Times New Roman" w:cs="Times New Roman"/>
          <w:lang w:val="pt-BR"/>
        </w:rPr>
      </w:pPr>
      <w:r>
        <w:rPr>
          <w:noProof/>
        </w:rPr>
        <w:drawing>
          <wp:inline distT="0" distB="0" distL="0" distR="0" wp14:anchorId="53A52C35" wp14:editId="68C471CC">
            <wp:extent cx="5400040" cy="15900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590040"/>
                    </a:xfrm>
                    <a:prstGeom prst="rect">
                      <a:avLst/>
                    </a:prstGeom>
                    <a:noFill/>
                    <a:ln>
                      <a:noFill/>
                    </a:ln>
                  </pic:spPr>
                </pic:pic>
              </a:graphicData>
            </a:graphic>
          </wp:inline>
        </w:drawing>
      </w:r>
    </w:p>
    <w:p w14:paraId="3E4E7E27" w14:textId="60138C58" w:rsidR="00D55731" w:rsidRPr="00E553E7" w:rsidRDefault="00D55731" w:rsidP="00D55731">
      <w:pPr>
        <w:spacing w:line="360" w:lineRule="auto"/>
        <w:jc w:val="center"/>
        <w:rPr>
          <w:rFonts w:ascii="Times New Roman" w:hAnsi="Times New Roman" w:cs="Times New Roman"/>
          <w:lang w:val="pt-BR"/>
        </w:rPr>
      </w:pPr>
      <w:r w:rsidRPr="00516F5F">
        <w:rPr>
          <w:lang w:val="pt-BR"/>
        </w:rPr>
        <w:t xml:space="preserve">Figura </w:t>
      </w:r>
      <w:r w:rsidR="00483341">
        <w:rPr>
          <w:lang w:val="pt-BR"/>
        </w:rPr>
        <w:t>3</w:t>
      </w:r>
      <w:r w:rsidRPr="00516F5F">
        <w:rPr>
          <w:lang w:val="pt-BR"/>
        </w:rPr>
        <w:t xml:space="preserve">: </w:t>
      </w:r>
      <w:r>
        <w:rPr>
          <w:lang w:val="pt-BR"/>
        </w:rPr>
        <w:t xml:space="preserve">Evolução dos indicadores de </w:t>
      </w:r>
      <w:r>
        <w:rPr>
          <w:lang w:val="pt-BR"/>
        </w:rPr>
        <w:t>Solvência de Longo Prazo</w:t>
      </w:r>
    </w:p>
    <w:p w14:paraId="564DBF56" w14:textId="0DADFFA0" w:rsidR="00FE6BD6" w:rsidRPr="003B44E5" w:rsidRDefault="00FE6BD6" w:rsidP="00FE6BD6">
      <w:pPr>
        <w:pStyle w:val="PargrafodaLista"/>
        <w:numPr>
          <w:ilvl w:val="1"/>
          <w:numId w:val="12"/>
        </w:numPr>
        <w:spacing w:line="360" w:lineRule="auto"/>
        <w:jc w:val="both"/>
        <w:rPr>
          <w:rFonts w:ascii="Times New Roman" w:hAnsi="Times New Roman" w:cs="Times New Roman"/>
        </w:rPr>
      </w:pPr>
      <w:r w:rsidRPr="00FE6BD6">
        <w:rPr>
          <w:rFonts w:ascii="Times New Roman" w:hAnsi="Times New Roman" w:cs="Times New Roman"/>
        </w:rPr>
        <w:t>Indicadores de Gestão de Ativos ou de Giro</w:t>
      </w:r>
    </w:p>
    <w:p w14:paraId="05C69DA4" w14:textId="48FE1F0B" w:rsidR="00FE6BD6" w:rsidRPr="00FE6BD6" w:rsidRDefault="00FE6BD6" w:rsidP="00FE6BD6">
      <w:pPr>
        <w:spacing w:line="360" w:lineRule="auto"/>
        <w:ind w:firstLine="720"/>
        <w:jc w:val="both"/>
        <w:rPr>
          <w:rFonts w:ascii="Times New Roman" w:hAnsi="Times New Roman" w:cs="Times New Roman"/>
          <w:lang w:val="pt-BR"/>
        </w:rPr>
      </w:pPr>
      <w:r w:rsidRPr="00FE6BD6">
        <w:rPr>
          <w:rFonts w:ascii="Times New Roman" w:hAnsi="Times New Roman" w:cs="Times New Roman"/>
          <w:lang w:val="pt-BR"/>
        </w:rPr>
        <w:t>Ao analisarmos o</w:t>
      </w:r>
      <w:r>
        <w:rPr>
          <w:rFonts w:ascii="Times New Roman" w:hAnsi="Times New Roman" w:cs="Times New Roman"/>
          <w:lang w:val="pt-BR"/>
        </w:rPr>
        <w:t xml:space="preserve"> </w:t>
      </w:r>
      <w:r w:rsidRPr="00FE6BD6">
        <w:rPr>
          <w:rFonts w:ascii="Times New Roman" w:hAnsi="Times New Roman" w:cs="Times New Roman"/>
          <w:lang w:val="pt-BR"/>
        </w:rPr>
        <w:t xml:space="preserve">Giro do Estoque e Prazo Médio de Estocagem podemos inferir que a MRV vem ganhando </w:t>
      </w:r>
      <w:r w:rsidR="00005D06">
        <w:rPr>
          <w:rFonts w:ascii="Times New Roman" w:hAnsi="Times New Roman" w:cs="Times New Roman"/>
          <w:lang w:val="pt-BR"/>
        </w:rPr>
        <w:t xml:space="preserve">mercado </w:t>
      </w:r>
      <w:r w:rsidRPr="00FE6BD6">
        <w:rPr>
          <w:rFonts w:ascii="Times New Roman" w:hAnsi="Times New Roman" w:cs="Times New Roman"/>
          <w:lang w:val="pt-BR"/>
        </w:rPr>
        <w:t xml:space="preserve">ao longo do tempo. </w:t>
      </w:r>
      <w:r w:rsidR="00005D06">
        <w:rPr>
          <w:rFonts w:ascii="Times New Roman" w:hAnsi="Times New Roman" w:cs="Times New Roman"/>
          <w:lang w:val="pt-BR"/>
        </w:rPr>
        <w:t>É notável um</w:t>
      </w:r>
      <w:r w:rsidRPr="00FE6BD6">
        <w:rPr>
          <w:rFonts w:ascii="Times New Roman" w:hAnsi="Times New Roman" w:cs="Times New Roman"/>
          <w:lang w:val="pt-BR"/>
        </w:rPr>
        <w:t xml:space="preserve"> aumento gradual no seu giro de estoque e uma queda significativa no seu prazo médio de estocagem. Isto se </w:t>
      </w:r>
      <w:r w:rsidR="00E553E7" w:rsidRPr="00FE6BD6">
        <w:rPr>
          <w:rFonts w:ascii="Times New Roman" w:hAnsi="Times New Roman" w:cs="Times New Roman"/>
          <w:lang w:val="pt-BR"/>
        </w:rPr>
        <w:t>dá</w:t>
      </w:r>
      <w:r w:rsidRPr="00FE6BD6">
        <w:rPr>
          <w:rFonts w:ascii="Times New Roman" w:hAnsi="Times New Roman" w:cs="Times New Roman"/>
          <w:lang w:val="pt-BR"/>
        </w:rPr>
        <w:t xml:space="preserve"> </w:t>
      </w:r>
      <w:r w:rsidR="00005D06">
        <w:rPr>
          <w:rFonts w:ascii="Times New Roman" w:hAnsi="Times New Roman" w:cs="Times New Roman"/>
          <w:lang w:val="pt-BR"/>
        </w:rPr>
        <w:t xml:space="preserve">principalmente a uma mudança de regra do programa </w:t>
      </w:r>
      <w:r w:rsidR="00005D06">
        <w:rPr>
          <w:rFonts w:ascii="Times New Roman" w:hAnsi="Times New Roman" w:cs="Times New Roman"/>
          <w:i/>
          <w:iCs/>
          <w:lang w:val="pt-BR"/>
        </w:rPr>
        <w:t xml:space="preserve">Minha Casa, Minha </w:t>
      </w:r>
      <w:r w:rsidR="00005D06" w:rsidRPr="00005D06">
        <w:rPr>
          <w:rFonts w:ascii="Times New Roman" w:hAnsi="Times New Roman" w:cs="Times New Roman"/>
          <w:lang w:val="pt-BR"/>
        </w:rPr>
        <w:t>Vida</w:t>
      </w:r>
      <w:r w:rsidR="00005D06">
        <w:rPr>
          <w:rFonts w:ascii="Times New Roman" w:hAnsi="Times New Roman" w:cs="Times New Roman"/>
          <w:lang w:val="pt-BR"/>
        </w:rPr>
        <w:t>, que somado a</w:t>
      </w:r>
      <w:r w:rsidRPr="00FE6BD6">
        <w:rPr>
          <w:rFonts w:ascii="Times New Roman" w:hAnsi="Times New Roman" w:cs="Times New Roman"/>
          <w:lang w:val="pt-BR"/>
        </w:rPr>
        <w:t xml:space="preserve"> redução das taxas de juros entre 2019 e 2020, permitiu </w:t>
      </w:r>
      <w:proofErr w:type="gramStart"/>
      <w:r w:rsidRPr="00FE6BD6">
        <w:rPr>
          <w:rFonts w:ascii="Times New Roman" w:hAnsi="Times New Roman" w:cs="Times New Roman"/>
          <w:lang w:val="pt-BR"/>
        </w:rPr>
        <w:t>o</w:t>
      </w:r>
      <w:r w:rsidR="00005D06">
        <w:rPr>
          <w:rFonts w:ascii="Times New Roman" w:hAnsi="Times New Roman" w:cs="Times New Roman"/>
          <w:lang w:val="pt-BR"/>
        </w:rPr>
        <w:t xml:space="preserve"> mais</w:t>
      </w:r>
      <w:r w:rsidRPr="00FE6BD6">
        <w:rPr>
          <w:rFonts w:ascii="Times New Roman" w:hAnsi="Times New Roman" w:cs="Times New Roman"/>
          <w:lang w:val="pt-BR"/>
        </w:rPr>
        <w:t xml:space="preserve"> financiamento</w:t>
      </w:r>
      <w:r w:rsidR="00005D06">
        <w:rPr>
          <w:rFonts w:ascii="Times New Roman" w:hAnsi="Times New Roman" w:cs="Times New Roman"/>
          <w:lang w:val="pt-BR"/>
        </w:rPr>
        <w:t>s</w:t>
      </w:r>
      <w:proofErr w:type="gramEnd"/>
      <w:r w:rsidRPr="00FE6BD6">
        <w:rPr>
          <w:rFonts w:ascii="Times New Roman" w:hAnsi="Times New Roman" w:cs="Times New Roman"/>
          <w:lang w:val="pt-BR"/>
        </w:rPr>
        <w:t xml:space="preserve"> de moradias</w:t>
      </w:r>
      <w:r w:rsidR="00005D06">
        <w:rPr>
          <w:rFonts w:ascii="Times New Roman" w:hAnsi="Times New Roman" w:cs="Times New Roman"/>
          <w:lang w:val="pt-BR"/>
        </w:rPr>
        <w:t>.</w:t>
      </w:r>
      <w:r w:rsidRPr="00FE6BD6">
        <w:rPr>
          <w:rFonts w:ascii="Times New Roman" w:hAnsi="Times New Roman" w:cs="Times New Roman"/>
          <w:lang w:val="pt-BR"/>
        </w:rPr>
        <w:t xml:space="preserve"> </w:t>
      </w:r>
      <w:r w:rsidR="00005D06">
        <w:rPr>
          <w:rFonts w:ascii="Times New Roman" w:hAnsi="Times New Roman" w:cs="Times New Roman"/>
          <w:lang w:val="pt-BR"/>
        </w:rPr>
        <w:t>Isso acabou</w:t>
      </w:r>
      <w:r w:rsidRPr="00FE6BD6">
        <w:rPr>
          <w:rFonts w:ascii="Times New Roman" w:hAnsi="Times New Roman" w:cs="Times New Roman"/>
          <w:lang w:val="pt-BR"/>
        </w:rPr>
        <w:t xml:space="preserve"> </w:t>
      </w:r>
      <w:r w:rsidR="00005D06">
        <w:rPr>
          <w:rFonts w:ascii="Times New Roman" w:hAnsi="Times New Roman" w:cs="Times New Roman"/>
          <w:lang w:val="pt-BR"/>
        </w:rPr>
        <w:t>refletindo</w:t>
      </w:r>
      <w:r w:rsidRPr="00FE6BD6">
        <w:rPr>
          <w:rFonts w:ascii="Times New Roman" w:hAnsi="Times New Roman" w:cs="Times New Roman"/>
          <w:lang w:val="pt-BR"/>
        </w:rPr>
        <w:t xml:space="preserve"> </w:t>
      </w:r>
      <w:r w:rsidRPr="00FE6BD6">
        <w:rPr>
          <w:rFonts w:ascii="Times New Roman" w:hAnsi="Times New Roman" w:cs="Times New Roman"/>
          <w:lang w:val="pt-BR"/>
        </w:rPr>
        <w:lastRenderedPageBreak/>
        <w:t>em uma maior demanda por residências</w:t>
      </w:r>
      <w:r w:rsidR="00005D06">
        <w:rPr>
          <w:rFonts w:ascii="Times New Roman" w:hAnsi="Times New Roman" w:cs="Times New Roman"/>
          <w:lang w:val="pt-BR"/>
        </w:rPr>
        <w:t>,</w:t>
      </w:r>
      <w:r w:rsidRPr="00FE6BD6">
        <w:rPr>
          <w:rFonts w:ascii="Times New Roman" w:hAnsi="Times New Roman" w:cs="Times New Roman"/>
          <w:lang w:val="pt-BR"/>
        </w:rPr>
        <w:t xml:space="preserve"> uma oportunidade que a MRV conseguiu alavancar com ganhos de escala, algo refletido nesses indicadores. Com relação ao Giro de Contas a Receber e ao Prazo Médio de Recebimento</w:t>
      </w:r>
      <w:r w:rsidR="00005D06">
        <w:rPr>
          <w:rFonts w:ascii="Times New Roman" w:hAnsi="Times New Roman" w:cs="Times New Roman"/>
          <w:lang w:val="pt-BR"/>
        </w:rPr>
        <w:t>,</w:t>
      </w:r>
      <w:r w:rsidRPr="00FE6BD6">
        <w:rPr>
          <w:rFonts w:ascii="Times New Roman" w:hAnsi="Times New Roman" w:cs="Times New Roman"/>
          <w:lang w:val="pt-BR"/>
        </w:rPr>
        <w:t xml:space="preserve"> podemos aferir que a empresa busca atingir um Prazo Médio de 100 dias para o recebimento, </w:t>
      </w:r>
      <w:r w:rsidR="00005D06">
        <w:rPr>
          <w:rFonts w:ascii="Times New Roman" w:hAnsi="Times New Roman" w:cs="Times New Roman"/>
          <w:lang w:val="pt-BR"/>
        </w:rPr>
        <w:t>indicando</w:t>
      </w:r>
      <w:r w:rsidRPr="00FE6BD6">
        <w:rPr>
          <w:rFonts w:ascii="Times New Roman" w:hAnsi="Times New Roman" w:cs="Times New Roman"/>
          <w:lang w:val="pt-BR"/>
        </w:rPr>
        <w:t xml:space="preserve"> uma grande diligência no gerenciamento dos fluxos de pagamento. Por fim, apesar dos ganhos apresentados anteriormente, não houve nenhuma mudança no modelo de negócio ou na gestão da companhia que mudasse significa</w:t>
      </w:r>
      <w:r w:rsidR="00005D06">
        <w:rPr>
          <w:rFonts w:ascii="Times New Roman" w:hAnsi="Times New Roman" w:cs="Times New Roman"/>
          <w:lang w:val="pt-BR"/>
        </w:rPr>
        <w:t xml:space="preserve">ntemente </w:t>
      </w:r>
      <w:r w:rsidRPr="00FE6BD6">
        <w:rPr>
          <w:rFonts w:ascii="Times New Roman" w:hAnsi="Times New Roman" w:cs="Times New Roman"/>
          <w:lang w:val="pt-BR"/>
        </w:rPr>
        <w:t>o Giro Total do Ativo ao longo do período analisado. Isto demonstra que apesar da melhora na saúde financeira da empresa, não houve ganhos de produtividade em sua atividade operacional.</w:t>
      </w:r>
    </w:p>
    <w:p w14:paraId="20E5659E" w14:textId="7BFAEB6D" w:rsidR="00B775C5" w:rsidRDefault="00FE6BD6" w:rsidP="00FE6BD6">
      <w:pPr>
        <w:rPr>
          <w:rFonts w:ascii="Times New Roman" w:hAnsi="Times New Roman" w:cs="Times New Roman"/>
        </w:rPr>
      </w:pPr>
      <w:r w:rsidRPr="0011557D">
        <w:rPr>
          <w:rFonts w:ascii="Arial" w:eastAsiaTheme="majorEastAsia" w:hAnsi="Arial" w:cs="Arial"/>
          <w:noProof/>
        </w:rPr>
        <w:drawing>
          <wp:inline distT="0" distB="0" distL="0" distR="0" wp14:anchorId="3CD056FA" wp14:editId="729A9746">
            <wp:extent cx="6196480" cy="1748790"/>
            <wp:effectExtent l="0" t="0" r="0" b="3810"/>
            <wp:docPr id="5"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1"/>
                    <a:stretch>
                      <a:fillRect/>
                    </a:stretch>
                  </pic:blipFill>
                  <pic:spPr>
                    <a:xfrm>
                      <a:off x="0" y="0"/>
                      <a:ext cx="6207533" cy="1751909"/>
                    </a:xfrm>
                    <a:prstGeom prst="rect">
                      <a:avLst/>
                    </a:prstGeom>
                  </pic:spPr>
                </pic:pic>
              </a:graphicData>
            </a:graphic>
          </wp:inline>
        </w:drawing>
      </w:r>
    </w:p>
    <w:p w14:paraId="6426A4B0" w14:textId="2466B3F5" w:rsidR="00D55731" w:rsidRPr="00D55731" w:rsidRDefault="00D55731" w:rsidP="00D55731">
      <w:pPr>
        <w:spacing w:line="360" w:lineRule="auto"/>
        <w:jc w:val="center"/>
        <w:rPr>
          <w:rFonts w:ascii="Times New Roman" w:hAnsi="Times New Roman" w:cs="Times New Roman"/>
          <w:lang w:val="pt-BR"/>
        </w:rPr>
      </w:pPr>
      <w:r w:rsidRPr="00516F5F">
        <w:rPr>
          <w:lang w:val="pt-BR"/>
        </w:rPr>
        <w:t xml:space="preserve">Figura </w:t>
      </w:r>
      <w:r w:rsidR="00483341">
        <w:rPr>
          <w:lang w:val="pt-BR"/>
        </w:rPr>
        <w:t>4</w:t>
      </w:r>
      <w:r w:rsidRPr="00516F5F">
        <w:rPr>
          <w:lang w:val="pt-BR"/>
        </w:rPr>
        <w:t xml:space="preserve">: </w:t>
      </w:r>
      <w:r>
        <w:rPr>
          <w:lang w:val="pt-BR"/>
        </w:rPr>
        <w:t xml:space="preserve">Evolução dos indicadores </w:t>
      </w:r>
      <w:r>
        <w:rPr>
          <w:lang w:val="pt-BR"/>
        </w:rPr>
        <w:t>de Gestão de Ativos ou de Giro</w:t>
      </w:r>
    </w:p>
    <w:p w14:paraId="2CBC5532" w14:textId="3F3BE0EB" w:rsidR="00FE6BD6" w:rsidRDefault="00FE6BD6" w:rsidP="00FE6BD6">
      <w:pPr>
        <w:pStyle w:val="PargrafodaLista"/>
        <w:numPr>
          <w:ilvl w:val="1"/>
          <w:numId w:val="12"/>
        </w:numPr>
        <w:spacing w:line="360" w:lineRule="auto"/>
        <w:jc w:val="both"/>
        <w:rPr>
          <w:rFonts w:ascii="Times New Roman" w:hAnsi="Times New Roman" w:cs="Times New Roman"/>
        </w:rPr>
      </w:pPr>
      <w:r>
        <w:rPr>
          <w:rFonts w:ascii="Times New Roman" w:hAnsi="Times New Roman" w:cs="Times New Roman"/>
        </w:rPr>
        <w:t>Medidas de Lucratividade</w:t>
      </w:r>
    </w:p>
    <w:p w14:paraId="7B668EEB" w14:textId="06478EF0" w:rsidR="00FE6BD6" w:rsidRPr="00005D06" w:rsidRDefault="00FE6BD6" w:rsidP="00FE6BD6">
      <w:pPr>
        <w:spacing w:line="360" w:lineRule="auto"/>
        <w:ind w:firstLine="720"/>
        <w:jc w:val="both"/>
        <w:rPr>
          <w:rFonts w:ascii="Times New Roman" w:hAnsi="Times New Roman" w:cs="Times New Roman"/>
          <w:lang w:val="pt-BR"/>
        </w:rPr>
      </w:pPr>
      <w:r w:rsidRPr="003B44E5">
        <w:rPr>
          <w:rFonts w:ascii="Times New Roman" w:hAnsi="Times New Roman" w:cs="Times New Roman"/>
          <w:lang w:val="pt-BR"/>
        </w:rPr>
        <w:t xml:space="preserve">Em termos de margem, as três medidas de lucratividade apresentam comportamento decrescente congruente. </w:t>
      </w:r>
      <w:r w:rsidRPr="00005D06">
        <w:rPr>
          <w:rFonts w:ascii="Times New Roman" w:hAnsi="Times New Roman" w:cs="Times New Roman"/>
          <w:lang w:val="pt-BR"/>
        </w:rPr>
        <w:t xml:space="preserve">A começar pela Margem Bruta, que demonstra a lucratividade das vendas, o declínio foi de </w:t>
      </w:r>
      <w:r w:rsidR="00005D06" w:rsidRPr="00005D06">
        <w:rPr>
          <w:rFonts w:ascii="Times New Roman" w:hAnsi="Times New Roman" w:cs="Times New Roman"/>
          <w:lang w:val="pt-BR"/>
        </w:rPr>
        <w:t>1</w:t>
      </w:r>
      <w:r w:rsidR="00005D06">
        <w:rPr>
          <w:rFonts w:ascii="Times New Roman" w:hAnsi="Times New Roman" w:cs="Times New Roman"/>
          <w:lang w:val="pt-BR"/>
        </w:rPr>
        <w:t>6,7</w:t>
      </w:r>
      <w:r w:rsidRPr="00005D06">
        <w:rPr>
          <w:rFonts w:ascii="Times New Roman" w:hAnsi="Times New Roman" w:cs="Times New Roman"/>
          <w:lang w:val="pt-BR"/>
        </w:rPr>
        <w:t>% ao longo dos 4 últimos anos, simbolizando uma perda do potencial de retorno gerado pelas vendas</w:t>
      </w:r>
      <w:r w:rsidR="003B44E5">
        <w:rPr>
          <w:rFonts w:ascii="Times New Roman" w:hAnsi="Times New Roman" w:cs="Times New Roman"/>
          <w:lang w:val="pt-BR"/>
        </w:rPr>
        <w:t>, visto o aumento dos custos</w:t>
      </w:r>
      <w:r w:rsidRPr="00005D06">
        <w:rPr>
          <w:rFonts w:ascii="Times New Roman" w:hAnsi="Times New Roman" w:cs="Times New Roman"/>
          <w:lang w:val="pt-BR"/>
        </w:rPr>
        <w:t xml:space="preserve">. A Margem Líquida, com queda de </w:t>
      </w:r>
      <w:r w:rsidR="00005D06" w:rsidRPr="00005D06">
        <w:rPr>
          <w:rFonts w:ascii="Times New Roman" w:hAnsi="Times New Roman" w:cs="Times New Roman"/>
          <w:lang w:val="pt-BR"/>
        </w:rPr>
        <w:t>3</w:t>
      </w:r>
      <w:r w:rsidR="00005D06">
        <w:rPr>
          <w:rFonts w:ascii="Times New Roman" w:hAnsi="Times New Roman" w:cs="Times New Roman"/>
          <w:lang w:val="pt-BR"/>
        </w:rPr>
        <w:t>6,4</w:t>
      </w:r>
      <w:r w:rsidRPr="00005D06">
        <w:rPr>
          <w:rFonts w:ascii="Times New Roman" w:hAnsi="Times New Roman" w:cs="Times New Roman"/>
          <w:lang w:val="pt-BR"/>
        </w:rPr>
        <w:t xml:space="preserve">% ao longo do mesmo período analisado, simboliza uma perda da lucratividade do negócio, indicando pouca eficiência da companhia em converter Receita em Lucro propriamente dito. Por fim, a Margem </w:t>
      </w:r>
      <w:proofErr w:type="spellStart"/>
      <w:r w:rsidRPr="00005D06">
        <w:rPr>
          <w:rFonts w:ascii="Times New Roman" w:hAnsi="Times New Roman" w:cs="Times New Roman"/>
          <w:lang w:val="pt-BR"/>
        </w:rPr>
        <w:t>Ebitda</w:t>
      </w:r>
      <w:proofErr w:type="spellEnd"/>
      <w:r w:rsidRPr="00005D06">
        <w:rPr>
          <w:rFonts w:ascii="Times New Roman" w:hAnsi="Times New Roman" w:cs="Times New Roman"/>
          <w:lang w:val="pt-BR"/>
        </w:rPr>
        <w:t xml:space="preserve">, indicadora da lucratividade operacional da companhia, sofreu uma redução de </w:t>
      </w:r>
      <w:r w:rsidR="00005D06" w:rsidRPr="00005D06">
        <w:rPr>
          <w:rFonts w:ascii="Times New Roman" w:hAnsi="Times New Roman" w:cs="Times New Roman"/>
          <w:lang w:val="pt-BR"/>
        </w:rPr>
        <w:t>1</w:t>
      </w:r>
      <w:r w:rsidR="00005D06">
        <w:rPr>
          <w:rFonts w:ascii="Times New Roman" w:hAnsi="Times New Roman" w:cs="Times New Roman"/>
          <w:lang w:val="pt-BR"/>
        </w:rPr>
        <w:t>7,5</w:t>
      </w:r>
      <w:r w:rsidRPr="00005D06">
        <w:rPr>
          <w:rFonts w:ascii="Times New Roman" w:hAnsi="Times New Roman" w:cs="Times New Roman"/>
          <w:lang w:val="pt-BR"/>
        </w:rPr>
        <w:t xml:space="preserve">% desde 2017, demonstrando que suas operações </w:t>
      </w:r>
      <w:proofErr w:type="gramStart"/>
      <w:r w:rsidRPr="00005D06">
        <w:rPr>
          <w:rFonts w:ascii="Times New Roman" w:hAnsi="Times New Roman" w:cs="Times New Roman"/>
          <w:lang w:val="pt-BR"/>
        </w:rPr>
        <w:t>tem</w:t>
      </w:r>
      <w:proofErr w:type="gramEnd"/>
      <w:r w:rsidRPr="00005D06">
        <w:rPr>
          <w:rFonts w:ascii="Times New Roman" w:hAnsi="Times New Roman" w:cs="Times New Roman"/>
          <w:lang w:val="pt-BR"/>
        </w:rPr>
        <w:t xml:space="preserve"> retornado cada vez menos lucro.</w:t>
      </w:r>
    </w:p>
    <w:p w14:paraId="77307D0C" w14:textId="2DD7E0A6" w:rsidR="00FE6BD6" w:rsidRDefault="00FE6BD6" w:rsidP="00FE6BD6">
      <w:pPr>
        <w:spacing w:line="360" w:lineRule="auto"/>
        <w:ind w:firstLine="720"/>
        <w:jc w:val="both"/>
        <w:rPr>
          <w:rFonts w:ascii="Times New Roman" w:hAnsi="Times New Roman" w:cs="Times New Roman"/>
          <w:lang w:val="pt-BR"/>
        </w:rPr>
      </w:pPr>
      <w:r w:rsidRPr="003B44E5">
        <w:rPr>
          <w:rFonts w:ascii="Times New Roman" w:hAnsi="Times New Roman" w:cs="Times New Roman"/>
          <w:lang w:val="pt-BR"/>
        </w:rPr>
        <w:t>Sob a perspectiva de rentabilidade, tanto o ROA (</w:t>
      </w:r>
      <w:proofErr w:type="spellStart"/>
      <w:r w:rsidRPr="003B44E5">
        <w:rPr>
          <w:rFonts w:ascii="Times New Roman" w:hAnsi="Times New Roman" w:cs="Times New Roman"/>
          <w:i/>
          <w:iCs/>
          <w:lang w:val="pt-BR"/>
        </w:rPr>
        <w:t>Return</w:t>
      </w:r>
      <w:proofErr w:type="spellEnd"/>
      <w:r w:rsidRPr="003B44E5">
        <w:rPr>
          <w:rFonts w:ascii="Times New Roman" w:hAnsi="Times New Roman" w:cs="Times New Roman"/>
          <w:i/>
          <w:iCs/>
          <w:lang w:val="pt-BR"/>
        </w:rPr>
        <w:t xml:space="preserve"> </w:t>
      </w:r>
      <w:proofErr w:type="spellStart"/>
      <w:r w:rsidRPr="003B44E5">
        <w:rPr>
          <w:rFonts w:ascii="Times New Roman" w:hAnsi="Times New Roman" w:cs="Times New Roman"/>
          <w:i/>
          <w:iCs/>
          <w:lang w:val="pt-BR"/>
        </w:rPr>
        <w:t>on</w:t>
      </w:r>
      <w:proofErr w:type="spellEnd"/>
      <w:r w:rsidRPr="003B44E5">
        <w:rPr>
          <w:rFonts w:ascii="Times New Roman" w:hAnsi="Times New Roman" w:cs="Times New Roman"/>
          <w:i/>
          <w:iCs/>
          <w:lang w:val="pt-BR"/>
        </w:rPr>
        <w:t xml:space="preserve"> </w:t>
      </w:r>
      <w:proofErr w:type="spellStart"/>
      <w:r w:rsidRPr="003B44E5">
        <w:rPr>
          <w:rFonts w:ascii="Times New Roman" w:hAnsi="Times New Roman" w:cs="Times New Roman"/>
          <w:i/>
          <w:iCs/>
          <w:lang w:val="pt-BR"/>
        </w:rPr>
        <w:t>Assets</w:t>
      </w:r>
      <w:proofErr w:type="spellEnd"/>
      <w:r w:rsidRPr="003B44E5">
        <w:rPr>
          <w:rFonts w:ascii="Times New Roman" w:hAnsi="Times New Roman" w:cs="Times New Roman"/>
          <w:lang w:val="pt-BR"/>
        </w:rPr>
        <w:t>), quanto o ROE (</w:t>
      </w:r>
      <w:proofErr w:type="spellStart"/>
      <w:r w:rsidRPr="003B44E5">
        <w:rPr>
          <w:rFonts w:ascii="Times New Roman" w:hAnsi="Times New Roman" w:cs="Times New Roman"/>
          <w:i/>
          <w:iCs/>
          <w:lang w:val="pt-BR"/>
        </w:rPr>
        <w:t>Return</w:t>
      </w:r>
      <w:proofErr w:type="spellEnd"/>
      <w:r w:rsidRPr="003B44E5">
        <w:rPr>
          <w:rFonts w:ascii="Times New Roman" w:hAnsi="Times New Roman" w:cs="Times New Roman"/>
          <w:i/>
          <w:iCs/>
          <w:lang w:val="pt-BR"/>
        </w:rPr>
        <w:t xml:space="preserve"> </w:t>
      </w:r>
      <w:proofErr w:type="spellStart"/>
      <w:r w:rsidRPr="003B44E5">
        <w:rPr>
          <w:rFonts w:ascii="Times New Roman" w:hAnsi="Times New Roman" w:cs="Times New Roman"/>
          <w:i/>
          <w:iCs/>
          <w:lang w:val="pt-BR"/>
        </w:rPr>
        <w:t>on</w:t>
      </w:r>
      <w:proofErr w:type="spellEnd"/>
      <w:r w:rsidRPr="003B44E5">
        <w:rPr>
          <w:rFonts w:ascii="Times New Roman" w:hAnsi="Times New Roman" w:cs="Times New Roman"/>
          <w:i/>
          <w:iCs/>
          <w:lang w:val="pt-BR"/>
        </w:rPr>
        <w:t xml:space="preserve"> </w:t>
      </w:r>
      <w:proofErr w:type="spellStart"/>
      <w:r w:rsidRPr="003B44E5">
        <w:rPr>
          <w:rFonts w:ascii="Times New Roman" w:hAnsi="Times New Roman" w:cs="Times New Roman"/>
          <w:i/>
          <w:iCs/>
          <w:lang w:val="pt-BR"/>
        </w:rPr>
        <w:t>Equity</w:t>
      </w:r>
      <w:proofErr w:type="spellEnd"/>
      <w:r w:rsidRPr="003B44E5">
        <w:rPr>
          <w:rFonts w:ascii="Times New Roman" w:hAnsi="Times New Roman" w:cs="Times New Roman"/>
          <w:lang w:val="pt-BR"/>
        </w:rPr>
        <w:t xml:space="preserve">), apresentaram comportamento semelhante. </w:t>
      </w:r>
      <w:r w:rsidRPr="008A36F7">
        <w:rPr>
          <w:rFonts w:ascii="Times New Roman" w:hAnsi="Times New Roman" w:cs="Times New Roman"/>
          <w:lang w:val="pt-BR"/>
        </w:rPr>
        <w:t>Ambos aumentaram de 2017 para 2018, decorrente d</w:t>
      </w:r>
      <w:r w:rsidR="00D55731">
        <w:rPr>
          <w:rFonts w:ascii="Times New Roman" w:hAnsi="Times New Roman" w:cs="Times New Roman"/>
          <w:lang w:val="pt-BR"/>
        </w:rPr>
        <w:t>o alto valor</w:t>
      </w:r>
      <w:r w:rsidR="008A36F7" w:rsidRPr="008A36F7">
        <w:rPr>
          <w:rFonts w:ascii="Times New Roman" w:hAnsi="Times New Roman" w:cs="Times New Roman"/>
          <w:lang w:val="pt-BR"/>
        </w:rPr>
        <w:t xml:space="preserve"> de dí</w:t>
      </w:r>
      <w:r w:rsidR="008A36F7">
        <w:rPr>
          <w:rFonts w:ascii="Times New Roman" w:hAnsi="Times New Roman" w:cs="Times New Roman"/>
          <w:lang w:val="pt-BR"/>
        </w:rPr>
        <w:t>vidas amortizadas em 2018</w:t>
      </w:r>
      <w:r w:rsidR="00D55731">
        <w:rPr>
          <w:rFonts w:ascii="Times New Roman" w:hAnsi="Times New Roman" w:cs="Times New Roman"/>
          <w:lang w:val="pt-BR"/>
        </w:rPr>
        <w:t xml:space="preserve"> (ROE)</w:t>
      </w:r>
      <w:r w:rsidR="00D55731">
        <w:rPr>
          <w:rFonts w:ascii="Times New Roman" w:hAnsi="Times New Roman" w:cs="Times New Roman"/>
          <w:lang w:val="pt-BR"/>
        </w:rPr>
        <w:t>, além</w:t>
      </w:r>
      <w:r w:rsidR="00D55731">
        <w:rPr>
          <w:rFonts w:ascii="Times New Roman" w:hAnsi="Times New Roman" w:cs="Times New Roman"/>
          <w:lang w:val="pt-BR"/>
        </w:rPr>
        <w:t xml:space="preserve"> da liquidação da grande quantidade de investimentos em controladoria em conjunto (ROA)</w:t>
      </w:r>
      <w:r w:rsidRPr="008A36F7">
        <w:rPr>
          <w:rFonts w:ascii="Times New Roman" w:hAnsi="Times New Roman" w:cs="Times New Roman"/>
          <w:lang w:val="pt-BR"/>
        </w:rPr>
        <w:t xml:space="preserve">. </w:t>
      </w:r>
      <w:r w:rsidRPr="00D55731">
        <w:rPr>
          <w:rFonts w:ascii="Times New Roman" w:hAnsi="Times New Roman" w:cs="Times New Roman"/>
          <w:lang w:val="pt-BR"/>
        </w:rPr>
        <w:t xml:space="preserve">Porém, ambos vem diminuindo desde então, devido </w:t>
      </w:r>
      <w:r w:rsidR="00D55731">
        <w:rPr>
          <w:rFonts w:ascii="Times New Roman" w:hAnsi="Times New Roman" w:cs="Times New Roman"/>
          <w:lang w:val="pt-BR"/>
        </w:rPr>
        <w:t>à redução do Lucro Líquido, derivada do</w:t>
      </w:r>
      <w:r w:rsidRPr="00D55731">
        <w:rPr>
          <w:rFonts w:ascii="Times New Roman" w:hAnsi="Times New Roman" w:cs="Times New Roman"/>
          <w:lang w:val="pt-BR"/>
        </w:rPr>
        <w:t xml:space="preserve"> aumento constante dos custos de construção, agravados pela situação de calamidade pública trazido pelo efeito COVID-19 em 2020.</w:t>
      </w:r>
    </w:p>
    <w:p w14:paraId="4DD2198B" w14:textId="4D5F6001" w:rsidR="00D55731" w:rsidRDefault="00D55731" w:rsidP="00D55731">
      <w:pPr>
        <w:spacing w:line="360" w:lineRule="auto"/>
        <w:jc w:val="center"/>
        <w:rPr>
          <w:rFonts w:ascii="Times New Roman" w:hAnsi="Times New Roman" w:cs="Times New Roman"/>
          <w:lang w:val="pt-BR"/>
        </w:rPr>
      </w:pPr>
      <w:r>
        <w:rPr>
          <w:noProof/>
        </w:rPr>
        <w:lastRenderedPageBreak/>
        <w:drawing>
          <wp:inline distT="0" distB="0" distL="0" distR="0" wp14:anchorId="3940560F" wp14:editId="015FBCED">
            <wp:extent cx="3657600" cy="2282559"/>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6035" cy="2306545"/>
                    </a:xfrm>
                    <a:prstGeom prst="rect">
                      <a:avLst/>
                    </a:prstGeom>
                    <a:noFill/>
                    <a:ln>
                      <a:noFill/>
                    </a:ln>
                  </pic:spPr>
                </pic:pic>
              </a:graphicData>
            </a:graphic>
          </wp:inline>
        </w:drawing>
      </w:r>
    </w:p>
    <w:p w14:paraId="5EF2D93B" w14:textId="4827AFDE" w:rsidR="00D55731" w:rsidRPr="00D55731" w:rsidRDefault="00D55731" w:rsidP="00D55731">
      <w:pPr>
        <w:spacing w:line="360" w:lineRule="auto"/>
        <w:jc w:val="center"/>
        <w:rPr>
          <w:rFonts w:ascii="Times New Roman" w:hAnsi="Times New Roman" w:cs="Times New Roman"/>
          <w:lang w:val="pt-BR"/>
        </w:rPr>
      </w:pPr>
      <w:r w:rsidRPr="00516F5F">
        <w:rPr>
          <w:lang w:val="pt-BR"/>
        </w:rPr>
        <w:t xml:space="preserve">Figura </w:t>
      </w:r>
      <w:r w:rsidR="00483341">
        <w:rPr>
          <w:lang w:val="pt-BR"/>
        </w:rPr>
        <w:t>5</w:t>
      </w:r>
      <w:r w:rsidRPr="00516F5F">
        <w:rPr>
          <w:lang w:val="pt-BR"/>
        </w:rPr>
        <w:t xml:space="preserve">: </w:t>
      </w:r>
      <w:r>
        <w:rPr>
          <w:lang w:val="pt-BR"/>
        </w:rPr>
        <w:t xml:space="preserve">Evolução dos indicadores </w:t>
      </w:r>
      <w:r>
        <w:rPr>
          <w:lang w:val="pt-BR"/>
        </w:rPr>
        <w:t>de Medidas de Lucratividade</w:t>
      </w:r>
    </w:p>
    <w:p w14:paraId="65E46DEE" w14:textId="3C63C604" w:rsidR="00FE6BD6" w:rsidRDefault="00FE6BD6" w:rsidP="00FE6BD6">
      <w:pPr>
        <w:pStyle w:val="PargrafodaLista"/>
        <w:numPr>
          <w:ilvl w:val="1"/>
          <w:numId w:val="12"/>
        </w:numPr>
        <w:spacing w:line="360" w:lineRule="auto"/>
        <w:jc w:val="both"/>
        <w:rPr>
          <w:rFonts w:ascii="Times New Roman" w:hAnsi="Times New Roman" w:cs="Times New Roman"/>
        </w:rPr>
      </w:pPr>
      <w:r>
        <w:rPr>
          <w:rFonts w:ascii="Times New Roman" w:hAnsi="Times New Roman" w:cs="Times New Roman"/>
        </w:rPr>
        <w:t>Medidas de Valor de Mercado</w:t>
      </w:r>
    </w:p>
    <w:p w14:paraId="074777CA" w14:textId="3768B53D" w:rsidR="00FE6BD6" w:rsidRPr="00FE6BD6" w:rsidRDefault="00FE6BD6" w:rsidP="00FE6BD6">
      <w:pPr>
        <w:spacing w:line="360" w:lineRule="auto"/>
        <w:ind w:firstLine="720"/>
        <w:jc w:val="both"/>
        <w:rPr>
          <w:rFonts w:ascii="Times New Roman" w:hAnsi="Times New Roman" w:cs="Times New Roman"/>
          <w:lang w:val="pt-BR"/>
        </w:rPr>
      </w:pPr>
      <w:r w:rsidRPr="00FE6BD6">
        <w:rPr>
          <w:rFonts w:ascii="Times New Roman" w:hAnsi="Times New Roman" w:cs="Times New Roman"/>
          <w:lang w:val="pt-BR"/>
        </w:rPr>
        <w:t xml:space="preserve">Ao analisarmos o múltiplo P/E da MRV podemos perceber que a empresa começa a ser negociada a um prêmio significativamente maior a partir de 2018. Isto se deu por uma mudança na regra do financiamento da “minha casa minha vida” neste ano, que democratizou ainda mais o acesso a esse financiamento, algo que acabou aumentando o mercado em potencial a ser explorado pela construtora. Algo que acabou elevando o preço das ações da companhia, dado que agora </w:t>
      </w:r>
      <w:proofErr w:type="spellStart"/>
      <w:r w:rsidRPr="00FE6BD6">
        <w:rPr>
          <w:rFonts w:ascii="Times New Roman" w:hAnsi="Times New Roman" w:cs="Times New Roman"/>
          <w:lang w:val="pt-BR"/>
        </w:rPr>
        <w:t>esta</w:t>
      </w:r>
      <w:proofErr w:type="spellEnd"/>
      <w:r w:rsidRPr="00FE6BD6">
        <w:rPr>
          <w:rFonts w:ascii="Times New Roman" w:hAnsi="Times New Roman" w:cs="Times New Roman"/>
          <w:lang w:val="pt-BR"/>
        </w:rPr>
        <w:t xml:space="preserve"> teria mais espaço para crescer e consequentemente gerar um maior fluxo de caixa.</w:t>
      </w:r>
    </w:p>
    <w:p w14:paraId="368A9434" w14:textId="46FDB3FC" w:rsidR="00FE6BD6" w:rsidRPr="00FE6BD6" w:rsidRDefault="00FE6BD6" w:rsidP="00FE6BD6">
      <w:pPr>
        <w:spacing w:line="360" w:lineRule="auto"/>
        <w:ind w:firstLine="720"/>
        <w:jc w:val="both"/>
        <w:rPr>
          <w:rFonts w:ascii="Times New Roman" w:hAnsi="Times New Roman" w:cs="Times New Roman"/>
          <w:lang w:val="pt-BR"/>
        </w:rPr>
      </w:pPr>
      <w:r w:rsidRPr="00FE6BD6">
        <w:rPr>
          <w:rFonts w:ascii="Times New Roman" w:hAnsi="Times New Roman" w:cs="Times New Roman"/>
          <w:lang w:val="pt-BR"/>
        </w:rPr>
        <w:t xml:space="preserve">Com relação ao índice livro-à-mercado, também podemos ver um aumento significativo a partir de 2018. Isto se </w:t>
      </w:r>
      <w:proofErr w:type="spellStart"/>
      <w:proofErr w:type="gramStart"/>
      <w:r w:rsidRPr="00FE6BD6">
        <w:rPr>
          <w:rFonts w:ascii="Times New Roman" w:hAnsi="Times New Roman" w:cs="Times New Roman"/>
          <w:lang w:val="pt-BR"/>
        </w:rPr>
        <w:t>da</w:t>
      </w:r>
      <w:proofErr w:type="spellEnd"/>
      <w:proofErr w:type="gramEnd"/>
      <w:r w:rsidRPr="00FE6BD6">
        <w:rPr>
          <w:rFonts w:ascii="Times New Roman" w:hAnsi="Times New Roman" w:cs="Times New Roman"/>
          <w:lang w:val="pt-BR"/>
        </w:rPr>
        <w:t xml:space="preserve"> pelo mesmo fato explicado anteriormente, a democratização do programa “minha casa minha vida” em 2018 aumentou o mercado endereçável da MRV, este novo potencial de ganho acaba sendo precificado pelos investidores, algo que aumenta o valor de mercado da empresa que por fim aumenta o índice, dado que o valor contábil se manteve constante.</w:t>
      </w:r>
    </w:p>
    <w:p w14:paraId="0C8088BC" w14:textId="188A0BD8" w:rsidR="00FE6BD6" w:rsidRPr="00FE6BD6" w:rsidRDefault="00FE6BD6" w:rsidP="003B44E5">
      <w:pPr>
        <w:spacing w:line="360" w:lineRule="auto"/>
        <w:jc w:val="center"/>
        <w:rPr>
          <w:rFonts w:ascii="Times New Roman" w:hAnsi="Times New Roman" w:cs="Times New Roman"/>
          <w:highlight w:val="yellow"/>
        </w:rPr>
      </w:pPr>
      <w:r>
        <w:rPr>
          <w:rFonts w:ascii="Times New Roman" w:hAnsi="Times New Roman" w:cs="Times New Roman"/>
          <w:noProof/>
        </w:rPr>
        <w:drawing>
          <wp:inline distT="0" distB="0" distL="0" distR="0" wp14:anchorId="02F52900" wp14:editId="1B369B0C">
            <wp:extent cx="3387090" cy="2145609"/>
            <wp:effectExtent l="0" t="0" r="381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6228" cy="2170402"/>
                    </a:xfrm>
                    <a:prstGeom prst="rect">
                      <a:avLst/>
                    </a:prstGeom>
                  </pic:spPr>
                </pic:pic>
              </a:graphicData>
            </a:graphic>
          </wp:inline>
        </w:drawing>
      </w:r>
    </w:p>
    <w:p w14:paraId="40635994" w14:textId="5A89F93B" w:rsidR="005D4C8E" w:rsidRPr="00A67A23" w:rsidRDefault="00FE6BD6" w:rsidP="003B44E5">
      <w:pPr>
        <w:spacing w:line="360" w:lineRule="auto"/>
        <w:jc w:val="center"/>
        <w:rPr>
          <w:rFonts w:ascii="Times New Roman" w:hAnsi="Times New Roman" w:cs="Times New Roman"/>
          <w:lang w:val="pt-BR"/>
        </w:rPr>
      </w:pPr>
      <w:r w:rsidRPr="00516F5F">
        <w:rPr>
          <w:lang w:val="pt-BR"/>
        </w:rPr>
        <w:t xml:space="preserve">Figura </w:t>
      </w:r>
      <w:r w:rsidR="00483341">
        <w:rPr>
          <w:lang w:val="pt-BR"/>
        </w:rPr>
        <w:t>6</w:t>
      </w:r>
      <w:r w:rsidRPr="00516F5F">
        <w:rPr>
          <w:lang w:val="pt-BR"/>
        </w:rPr>
        <w:t xml:space="preserve">: </w:t>
      </w:r>
      <w:r>
        <w:rPr>
          <w:lang w:val="pt-BR"/>
        </w:rPr>
        <w:t xml:space="preserve">Evolução dos indicadores P/E </w:t>
      </w:r>
      <w:proofErr w:type="spellStart"/>
      <w:r>
        <w:rPr>
          <w:lang w:val="pt-BR"/>
        </w:rPr>
        <w:t>e</w:t>
      </w:r>
      <w:proofErr w:type="spellEnd"/>
      <w:r>
        <w:rPr>
          <w:lang w:val="pt-BR"/>
        </w:rPr>
        <w:t xml:space="preserve"> Valor Mercado/Valor Contábil</w:t>
      </w:r>
    </w:p>
    <w:p w14:paraId="305AED98" w14:textId="31633B3E" w:rsidR="00A67A23" w:rsidRDefault="00C33114" w:rsidP="00B775C5">
      <w:pPr>
        <w:pStyle w:val="PargrafodaLista"/>
        <w:numPr>
          <w:ilvl w:val="0"/>
          <w:numId w:val="12"/>
        </w:numPr>
        <w:spacing w:after="0" w:line="360" w:lineRule="auto"/>
        <w:jc w:val="both"/>
        <w:rPr>
          <w:rFonts w:ascii="Times New Roman" w:eastAsia="Times New Roman" w:hAnsi="Times New Roman" w:cs="Times New Roman"/>
          <w:color w:val="000000"/>
        </w:rPr>
      </w:pPr>
      <w:bookmarkStart w:id="0" w:name="_Hlk66735231"/>
      <w:r>
        <w:rPr>
          <w:rFonts w:ascii="Times New Roman" w:eastAsia="Times New Roman" w:hAnsi="Times New Roman" w:cs="Times New Roman"/>
          <w:color w:val="000000"/>
        </w:rPr>
        <w:lastRenderedPageBreak/>
        <w:t>Análise DuPont</w:t>
      </w:r>
    </w:p>
    <w:p w14:paraId="46E47CE2" w14:textId="395F8D04" w:rsidR="005736FC" w:rsidRDefault="005736FC" w:rsidP="00B775C5">
      <w:pPr>
        <w:pStyle w:val="PargrafodaLista"/>
        <w:numPr>
          <w:ilvl w:val="1"/>
          <w:numId w:val="12"/>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Evolução ao longo dos anos</w:t>
      </w:r>
    </w:p>
    <w:p w14:paraId="2E27A000" w14:textId="580E6909" w:rsidR="00AB0A53" w:rsidRDefault="00DD0685" w:rsidP="008B6EBF">
      <w:pPr>
        <w:spacing w:after="0" w:line="360" w:lineRule="auto"/>
        <w:ind w:firstLine="360"/>
        <w:jc w:val="both"/>
        <w:rPr>
          <w:rFonts w:ascii="Times New Roman" w:eastAsia="Times New Roman" w:hAnsi="Times New Roman" w:cs="Times New Roman"/>
          <w:color w:val="000000"/>
          <w:lang w:val="pt-BR"/>
        </w:rPr>
      </w:pPr>
      <w:r w:rsidRPr="00DD0685">
        <w:rPr>
          <w:rFonts w:ascii="Times New Roman" w:eastAsia="Times New Roman" w:hAnsi="Times New Roman" w:cs="Times New Roman"/>
          <w:color w:val="000000"/>
          <w:lang w:val="pt-BR"/>
        </w:rPr>
        <w:t>Em 2018, o ROE apresentou u</w:t>
      </w:r>
      <w:r>
        <w:rPr>
          <w:rFonts w:ascii="Times New Roman" w:eastAsia="Times New Roman" w:hAnsi="Times New Roman" w:cs="Times New Roman"/>
          <w:color w:val="000000"/>
          <w:lang w:val="pt-BR"/>
        </w:rPr>
        <w:t xml:space="preserve">m crescimento que foi puxado principalmente pelo aumento do </w:t>
      </w:r>
      <w:r w:rsidR="00090D80">
        <w:rPr>
          <w:rFonts w:ascii="Times New Roman" w:eastAsia="Times New Roman" w:hAnsi="Times New Roman" w:cs="Times New Roman"/>
          <w:color w:val="000000"/>
          <w:lang w:val="pt-BR"/>
        </w:rPr>
        <w:t xml:space="preserve">Giro do Ativo, que cresceu 22% em relação ao ano anterior. Essa movimentação é explicada tanto pelo aumento das Vendas quanto pela queda no Ativo Total. Vale destacar que essa queda foi puxada pela diminuição da conta Investimentos no BP </w:t>
      </w:r>
      <w:r w:rsidR="00090D80" w:rsidRPr="00AB0A53">
        <w:rPr>
          <w:rFonts w:ascii="Times New Roman" w:eastAsia="Times New Roman" w:hAnsi="Times New Roman" w:cs="Times New Roman"/>
          <w:color w:val="000000"/>
          <w:highlight w:val="green"/>
          <w:lang w:val="pt-BR"/>
        </w:rPr>
        <w:t>[</w:t>
      </w:r>
      <w:r w:rsidR="00AB0A53" w:rsidRPr="00090D80">
        <w:rPr>
          <w:rFonts w:ascii="Times New Roman" w:eastAsia="Times New Roman" w:hAnsi="Times New Roman" w:cs="Times New Roman"/>
          <w:color w:val="000000"/>
          <w:highlight w:val="green"/>
          <w:lang w:val="pt-BR"/>
        </w:rPr>
        <w:t>referência</w:t>
      </w:r>
      <w:r w:rsidR="00090D80" w:rsidRPr="00090D80">
        <w:rPr>
          <w:rFonts w:ascii="Times New Roman" w:eastAsia="Times New Roman" w:hAnsi="Times New Roman" w:cs="Times New Roman"/>
          <w:color w:val="000000"/>
          <w:highlight w:val="green"/>
          <w:lang w:val="pt-BR"/>
        </w:rPr>
        <w:t xml:space="preserve"> tabela</w:t>
      </w:r>
      <w:r w:rsidR="00AB0A53">
        <w:rPr>
          <w:rFonts w:ascii="Times New Roman" w:eastAsia="Times New Roman" w:hAnsi="Times New Roman" w:cs="Times New Roman"/>
          <w:color w:val="000000"/>
          <w:highlight w:val="green"/>
          <w:lang w:val="pt-BR"/>
        </w:rPr>
        <w:t>/anexos</w:t>
      </w:r>
      <w:r w:rsidR="00090D80" w:rsidRPr="00090D80">
        <w:rPr>
          <w:rFonts w:ascii="Times New Roman" w:eastAsia="Times New Roman" w:hAnsi="Times New Roman" w:cs="Times New Roman"/>
          <w:color w:val="000000"/>
          <w:highlight w:val="green"/>
          <w:lang w:val="pt-BR"/>
        </w:rPr>
        <w:t>....],</w:t>
      </w:r>
      <w:r w:rsidR="00090D80">
        <w:rPr>
          <w:rFonts w:ascii="Times New Roman" w:eastAsia="Times New Roman" w:hAnsi="Times New Roman" w:cs="Times New Roman"/>
          <w:color w:val="000000"/>
          <w:lang w:val="pt-BR"/>
        </w:rPr>
        <w:t xml:space="preserve"> que representava 7,38% do Ativo Total e passou a representar 0,34%, sem que houvesse nenhuma </w:t>
      </w:r>
      <w:r w:rsidR="00AB0A53">
        <w:rPr>
          <w:rFonts w:ascii="Times New Roman" w:eastAsia="Times New Roman" w:hAnsi="Times New Roman" w:cs="Times New Roman"/>
          <w:color w:val="000000"/>
          <w:lang w:val="pt-BR"/>
        </w:rPr>
        <w:t>contrapartida</w:t>
      </w:r>
      <w:r w:rsidR="00090D80">
        <w:rPr>
          <w:rFonts w:ascii="Times New Roman" w:eastAsia="Times New Roman" w:hAnsi="Times New Roman" w:cs="Times New Roman"/>
          <w:color w:val="000000"/>
          <w:lang w:val="pt-BR"/>
        </w:rPr>
        <w:t xml:space="preserve"> clara.</w:t>
      </w:r>
      <w:r w:rsidR="008B6EBF">
        <w:rPr>
          <w:rFonts w:ascii="Times New Roman" w:eastAsia="Times New Roman" w:hAnsi="Times New Roman" w:cs="Times New Roman"/>
          <w:color w:val="000000"/>
          <w:lang w:val="pt-BR"/>
        </w:rPr>
        <w:t xml:space="preserve"> </w:t>
      </w:r>
      <w:r w:rsidR="00AB0A53">
        <w:rPr>
          <w:rFonts w:ascii="Times New Roman" w:eastAsia="Times New Roman" w:hAnsi="Times New Roman" w:cs="Times New Roman"/>
          <w:color w:val="000000"/>
          <w:lang w:val="pt-BR"/>
        </w:rPr>
        <w:t xml:space="preserve">O </w:t>
      </w:r>
      <w:r>
        <w:rPr>
          <w:rFonts w:ascii="Times New Roman" w:eastAsia="Times New Roman" w:hAnsi="Times New Roman" w:cs="Times New Roman"/>
          <w:color w:val="000000"/>
          <w:lang w:val="pt-BR"/>
        </w:rPr>
        <w:t xml:space="preserve">GAF </w:t>
      </w:r>
      <w:r w:rsidR="00AB0A53">
        <w:rPr>
          <w:rFonts w:ascii="Times New Roman" w:eastAsia="Times New Roman" w:hAnsi="Times New Roman" w:cs="Times New Roman"/>
          <w:color w:val="000000"/>
          <w:lang w:val="pt-BR"/>
        </w:rPr>
        <w:t>também contribuiu para o crescimento do ROE em 2018</w:t>
      </w:r>
      <w:r>
        <w:rPr>
          <w:rFonts w:ascii="Times New Roman" w:eastAsia="Times New Roman" w:hAnsi="Times New Roman" w:cs="Times New Roman"/>
          <w:color w:val="000000"/>
          <w:lang w:val="pt-BR"/>
        </w:rPr>
        <w:t xml:space="preserve">. </w:t>
      </w:r>
      <w:r w:rsidR="00AB0A53">
        <w:rPr>
          <w:rFonts w:ascii="Times New Roman" w:eastAsia="Times New Roman" w:hAnsi="Times New Roman" w:cs="Times New Roman"/>
          <w:color w:val="000000"/>
          <w:lang w:val="pt-BR"/>
        </w:rPr>
        <w:t xml:space="preserve">Seu crescimento </w:t>
      </w:r>
      <w:r>
        <w:rPr>
          <w:rFonts w:ascii="Times New Roman" w:eastAsia="Times New Roman" w:hAnsi="Times New Roman" w:cs="Times New Roman"/>
          <w:color w:val="000000"/>
          <w:lang w:val="pt-BR"/>
        </w:rPr>
        <w:t>foi causad</w:t>
      </w:r>
      <w:r w:rsidR="00AB0A53">
        <w:rPr>
          <w:rFonts w:ascii="Times New Roman" w:eastAsia="Times New Roman" w:hAnsi="Times New Roman" w:cs="Times New Roman"/>
          <w:color w:val="000000"/>
          <w:lang w:val="pt-BR"/>
        </w:rPr>
        <w:t xml:space="preserve">o </w:t>
      </w:r>
      <w:r>
        <w:rPr>
          <w:rFonts w:ascii="Times New Roman" w:eastAsia="Times New Roman" w:hAnsi="Times New Roman" w:cs="Times New Roman"/>
          <w:color w:val="000000"/>
          <w:lang w:val="pt-BR"/>
        </w:rPr>
        <w:t>por uma queda no patrimônio líquido</w:t>
      </w:r>
      <w:r w:rsidR="00090D80">
        <w:rPr>
          <w:rFonts w:ascii="Times New Roman" w:eastAsia="Times New Roman" w:hAnsi="Times New Roman" w:cs="Times New Roman"/>
          <w:color w:val="000000"/>
          <w:lang w:val="pt-BR"/>
        </w:rPr>
        <w:t xml:space="preserve">, dada a </w:t>
      </w:r>
      <w:r w:rsidR="00AB0A53">
        <w:rPr>
          <w:rFonts w:ascii="Times New Roman" w:eastAsia="Times New Roman" w:hAnsi="Times New Roman" w:cs="Times New Roman"/>
          <w:color w:val="000000"/>
          <w:lang w:val="pt-BR"/>
        </w:rPr>
        <w:t xml:space="preserve">redução </w:t>
      </w:r>
      <w:r w:rsidR="00090D80">
        <w:rPr>
          <w:rFonts w:ascii="Times New Roman" w:eastAsia="Times New Roman" w:hAnsi="Times New Roman" w:cs="Times New Roman"/>
          <w:color w:val="000000"/>
          <w:lang w:val="pt-BR"/>
        </w:rPr>
        <w:t xml:space="preserve">do capital social e da reserva de lucros </w:t>
      </w:r>
      <w:r w:rsidR="00090D80" w:rsidRPr="00AB0A53">
        <w:rPr>
          <w:rFonts w:ascii="Times New Roman" w:eastAsia="Times New Roman" w:hAnsi="Times New Roman" w:cs="Times New Roman"/>
          <w:color w:val="000000"/>
          <w:highlight w:val="green"/>
          <w:lang w:val="pt-BR"/>
        </w:rPr>
        <w:t>[referência BP nos anexos].</w:t>
      </w:r>
      <w:r w:rsidR="00090D80">
        <w:rPr>
          <w:rFonts w:ascii="Times New Roman" w:eastAsia="Times New Roman" w:hAnsi="Times New Roman" w:cs="Times New Roman"/>
          <w:color w:val="000000"/>
          <w:lang w:val="pt-BR"/>
        </w:rPr>
        <w:t xml:space="preserve"> </w:t>
      </w:r>
      <w:r w:rsidR="00AB0A53">
        <w:rPr>
          <w:rFonts w:ascii="Times New Roman" w:eastAsia="Times New Roman" w:hAnsi="Times New Roman" w:cs="Times New Roman"/>
          <w:color w:val="000000"/>
          <w:lang w:val="pt-BR"/>
        </w:rPr>
        <w:t>Já a</w:t>
      </w:r>
      <w:r w:rsidR="00090D80">
        <w:rPr>
          <w:rFonts w:ascii="Times New Roman" w:eastAsia="Times New Roman" w:hAnsi="Times New Roman" w:cs="Times New Roman"/>
          <w:color w:val="000000"/>
          <w:lang w:val="pt-BR"/>
        </w:rPr>
        <w:t xml:space="preserve"> </w:t>
      </w:r>
      <w:r w:rsidR="00AB0A53">
        <w:rPr>
          <w:rFonts w:ascii="Times New Roman" w:eastAsia="Times New Roman" w:hAnsi="Times New Roman" w:cs="Times New Roman"/>
          <w:color w:val="000000"/>
          <w:lang w:val="pt-BR"/>
        </w:rPr>
        <w:t>M</w:t>
      </w:r>
      <w:r w:rsidR="00090D80">
        <w:rPr>
          <w:rFonts w:ascii="Times New Roman" w:eastAsia="Times New Roman" w:hAnsi="Times New Roman" w:cs="Times New Roman"/>
          <w:color w:val="000000"/>
          <w:lang w:val="pt-BR"/>
        </w:rPr>
        <w:t xml:space="preserve">argem </w:t>
      </w:r>
      <w:r w:rsidR="00AB0A53">
        <w:rPr>
          <w:rFonts w:ascii="Times New Roman" w:eastAsia="Times New Roman" w:hAnsi="Times New Roman" w:cs="Times New Roman"/>
          <w:color w:val="000000"/>
          <w:lang w:val="pt-BR"/>
        </w:rPr>
        <w:t>L</w:t>
      </w:r>
      <w:r w:rsidR="00090D80">
        <w:rPr>
          <w:rFonts w:ascii="Times New Roman" w:eastAsia="Times New Roman" w:hAnsi="Times New Roman" w:cs="Times New Roman"/>
          <w:color w:val="000000"/>
          <w:lang w:val="pt-BR"/>
        </w:rPr>
        <w:t>íquida</w:t>
      </w:r>
      <w:r w:rsidR="00AB0A53">
        <w:rPr>
          <w:rFonts w:ascii="Times New Roman" w:eastAsia="Times New Roman" w:hAnsi="Times New Roman" w:cs="Times New Roman"/>
          <w:color w:val="000000"/>
          <w:lang w:val="pt-BR"/>
        </w:rPr>
        <w:t xml:space="preserve"> caiu 5% em relação ao ano anterior, impedindo um aumento ainda maior do ROE. Essa queda é um reflexo da diminuição na Margem Bruta</w:t>
      </w:r>
      <w:r w:rsidR="008B6EBF">
        <w:rPr>
          <w:rFonts w:ascii="Times New Roman" w:eastAsia="Times New Roman" w:hAnsi="Times New Roman" w:cs="Times New Roman"/>
          <w:color w:val="000000"/>
          <w:lang w:val="pt-BR"/>
        </w:rPr>
        <w:t xml:space="preserve">, cuja queda ocorreu pelo fato de que o Custo dos Produtos Vendidos aumentou mais do que as Vendas no período. </w:t>
      </w:r>
    </w:p>
    <w:p w14:paraId="3BE05C61" w14:textId="44A6C213" w:rsidR="008B6EBF" w:rsidRDefault="008B6EBF" w:rsidP="008B6EBF">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De 2018 para 2019, h</w:t>
      </w:r>
      <w:r w:rsidR="003B44E5">
        <w:rPr>
          <w:rFonts w:ascii="Times New Roman" w:eastAsia="Times New Roman" w:hAnsi="Times New Roman" w:cs="Times New Roman"/>
          <w:color w:val="000000"/>
          <w:lang w:val="pt-BR"/>
        </w:rPr>
        <w:t>ouve</w:t>
      </w:r>
      <w:r>
        <w:rPr>
          <w:rFonts w:ascii="Times New Roman" w:eastAsia="Times New Roman" w:hAnsi="Times New Roman" w:cs="Times New Roman"/>
          <w:color w:val="000000"/>
          <w:lang w:val="pt-BR"/>
        </w:rPr>
        <w:t xml:space="preserve"> uma queda de 6% no ROE. O multiplicador do Patrimônio Líquido e o Giro do Ativo variaram muito pouco (aumento de 3% e 4% respectivamente), enquanto a Margem Líquida apresentou uma forte queda. Para explicar esse resultado negativo é importante olhar novamente para a Margem Bruta</w:t>
      </w:r>
      <w:r w:rsidR="00D2159E">
        <w:rPr>
          <w:rFonts w:ascii="Times New Roman" w:eastAsia="Times New Roman" w:hAnsi="Times New Roman" w:cs="Times New Roman"/>
          <w:color w:val="000000"/>
          <w:lang w:val="pt-BR"/>
        </w:rPr>
        <w:t xml:space="preserve"> que caiu 8%, graças a uma inflação mais acentuada do custo, quando comparada com as vendas do ano.</w:t>
      </w:r>
    </w:p>
    <w:p w14:paraId="4EDBE721" w14:textId="77777777" w:rsidR="002204E3" w:rsidRDefault="00D2159E" w:rsidP="008B6EBF">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 xml:space="preserve">Finalmente, em 2020 temos uma grande redução do ROE. É importante destacar que o cenário de crise e pandemia certamente contribuíram para esse resultado, uma vez que a MRV é muito dependente de repasses do governo e nesse ano, outras prioridades surgiram, tirando o foco de programas como </w:t>
      </w:r>
      <w:r w:rsidRPr="00D2159E">
        <w:rPr>
          <w:rFonts w:ascii="Times New Roman" w:eastAsia="Times New Roman" w:hAnsi="Times New Roman" w:cs="Times New Roman"/>
          <w:i/>
          <w:iCs/>
          <w:color w:val="000000"/>
          <w:lang w:val="pt-BR"/>
        </w:rPr>
        <w:t>Minha Casa, Minha Vida</w:t>
      </w:r>
      <w:r>
        <w:rPr>
          <w:rFonts w:ascii="Times New Roman" w:eastAsia="Times New Roman" w:hAnsi="Times New Roman" w:cs="Times New Roman"/>
          <w:color w:val="000000"/>
          <w:lang w:val="pt-BR"/>
        </w:rPr>
        <w:t>. Dito isso, a parcela mais impactada foi a Margem Líquida, novamente, devido ao fenômeno observado anteriormente</w:t>
      </w:r>
      <w:r w:rsidR="00BC2305">
        <w:rPr>
          <w:rFonts w:ascii="Times New Roman" w:eastAsia="Times New Roman" w:hAnsi="Times New Roman" w:cs="Times New Roman"/>
          <w:color w:val="000000"/>
          <w:lang w:val="pt-BR"/>
        </w:rPr>
        <w:t xml:space="preserve"> somado ao</w:t>
      </w:r>
      <w:r>
        <w:rPr>
          <w:rFonts w:ascii="Times New Roman" w:eastAsia="Times New Roman" w:hAnsi="Times New Roman" w:cs="Times New Roman"/>
          <w:color w:val="000000"/>
          <w:lang w:val="pt-BR"/>
        </w:rPr>
        <w:t xml:space="preserve"> crescimento </w:t>
      </w:r>
      <w:r w:rsidR="00BC2305">
        <w:rPr>
          <w:rFonts w:ascii="Times New Roman" w:eastAsia="Times New Roman" w:hAnsi="Times New Roman" w:cs="Times New Roman"/>
          <w:color w:val="000000"/>
          <w:lang w:val="pt-BR"/>
        </w:rPr>
        <w:t>d</w:t>
      </w:r>
      <w:r>
        <w:rPr>
          <w:rFonts w:ascii="Times New Roman" w:eastAsia="Times New Roman" w:hAnsi="Times New Roman" w:cs="Times New Roman"/>
          <w:color w:val="000000"/>
          <w:lang w:val="pt-BR"/>
        </w:rPr>
        <w:t>o Passivo Financeiro</w:t>
      </w:r>
      <w:r w:rsidR="00BC2305">
        <w:rPr>
          <w:rFonts w:ascii="Times New Roman" w:eastAsia="Times New Roman" w:hAnsi="Times New Roman" w:cs="Times New Roman"/>
          <w:color w:val="000000"/>
          <w:lang w:val="pt-BR"/>
        </w:rPr>
        <w:t>, que ocasionou um aumento substancial da Despesa Financeira. Usualmente, o resultado financeiro da MRV faz com que o LAIR seja pouco mais de 19% maior que o LAJIR. Nesse último ano, o aumento da Despesa Financeira fez com que o LAIR fosse apenas 6% maior do que o LAJIR, refletindo, posteriormente, no Lucro Líquido.</w:t>
      </w:r>
      <w:r w:rsidR="00516F5F">
        <w:rPr>
          <w:rFonts w:ascii="Times New Roman" w:eastAsia="Times New Roman" w:hAnsi="Times New Roman" w:cs="Times New Roman"/>
          <w:color w:val="000000"/>
          <w:lang w:val="pt-BR"/>
        </w:rPr>
        <w:t xml:space="preserve"> </w:t>
      </w:r>
    </w:p>
    <w:p w14:paraId="2062F808" w14:textId="55812C69" w:rsidR="00D2159E" w:rsidRDefault="00516F5F" w:rsidP="008B6EBF">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 xml:space="preserve">A evolução do ROE e de seus componentes DuPont </w:t>
      </w:r>
      <w:r w:rsidR="002204E3">
        <w:rPr>
          <w:rFonts w:ascii="Times New Roman" w:eastAsia="Times New Roman" w:hAnsi="Times New Roman" w:cs="Times New Roman"/>
          <w:color w:val="000000"/>
          <w:lang w:val="pt-BR"/>
        </w:rPr>
        <w:t xml:space="preserve">discutidos nessa seção </w:t>
      </w:r>
      <w:r>
        <w:rPr>
          <w:rFonts w:ascii="Times New Roman" w:eastAsia="Times New Roman" w:hAnsi="Times New Roman" w:cs="Times New Roman"/>
          <w:color w:val="000000"/>
          <w:lang w:val="pt-BR"/>
        </w:rPr>
        <w:t xml:space="preserve">podem ser observados na </w:t>
      </w:r>
      <w:r w:rsidRPr="00516F5F">
        <w:rPr>
          <w:rFonts w:ascii="Times New Roman" w:eastAsia="Times New Roman" w:hAnsi="Times New Roman" w:cs="Times New Roman"/>
          <w:color w:val="000000"/>
          <w:highlight w:val="green"/>
          <w:lang w:val="pt-BR"/>
        </w:rPr>
        <w:t>Figura 1.</w:t>
      </w:r>
    </w:p>
    <w:p w14:paraId="727FAD77" w14:textId="77777777" w:rsidR="002204E3" w:rsidRDefault="002204E3" w:rsidP="002204E3">
      <w:pPr>
        <w:keepNext/>
        <w:spacing w:line="360" w:lineRule="auto"/>
        <w:jc w:val="center"/>
      </w:pPr>
      <w:r>
        <w:rPr>
          <w:noProof/>
          <w:lang w:val="pt-BR"/>
        </w:rPr>
        <w:lastRenderedPageBreak/>
        <w:drawing>
          <wp:inline distT="0" distB="0" distL="0" distR="0" wp14:anchorId="424EA7DF" wp14:editId="03E039EB">
            <wp:extent cx="4488180" cy="48243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5042" cy="4863993"/>
                    </a:xfrm>
                    <a:prstGeom prst="rect">
                      <a:avLst/>
                    </a:prstGeom>
                    <a:noFill/>
                    <a:ln>
                      <a:noFill/>
                    </a:ln>
                  </pic:spPr>
                </pic:pic>
              </a:graphicData>
            </a:graphic>
          </wp:inline>
        </w:drawing>
      </w:r>
    </w:p>
    <w:p w14:paraId="272E9D20" w14:textId="77777777" w:rsidR="002204E3" w:rsidRPr="00516F5F" w:rsidRDefault="002204E3" w:rsidP="002204E3">
      <w:pPr>
        <w:pStyle w:val="Legenda"/>
        <w:jc w:val="center"/>
        <w:rPr>
          <w:rFonts w:ascii="Times New Roman" w:hAnsi="Times New Roman" w:cs="Times New Roman"/>
          <w:lang w:val="pt-BR"/>
        </w:rPr>
      </w:pPr>
      <w:r w:rsidRPr="00516F5F">
        <w:rPr>
          <w:lang w:val="pt-BR"/>
        </w:rPr>
        <w:t xml:space="preserve">Figura </w:t>
      </w:r>
      <w:r>
        <w:fldChar w:fldCharType="begin"/>
      </w:r>
      <w:r w:rsidRPr="00516F5F">
        <w:rPr>
          <w:lang w:val="pt-BR"/>
        </w:rPr>
        <w:instrText xml:space="preserve"> SEQ Figura \* ARABIC </w:instrText>
      </w:r>
      <w:r>
        <w:fldChar w:fldCharType="separate"/>
      </w:r>
      <w:r w:rsidRPr="00516F5F">
        <w:rPr>
          <w:noProof/>
          <w:lang w:val="pt-BR"/>
        </w:rPr>
        <w:t>1</w:t>
      </w:r>
      <w:r>
        <w:fldChar w:fldCharType="end"/>
      </w:r>
      <w:r w:rsidRPr="00516F5F">
        <w:rPr>
          <w:lang w:val="pt-BR"/>
        </w:rPr>
        <w:t xml:space="preserve">: </w:t>
      </w:r>
      <w:r>
        <w:rPr>
          <w:lang w:val="pt-BR"/>
        </w:rPr>
        <w:t>No primeiro gráfico, evolução da Margem Líquida, do Giro do Ativo e do próprio ROE; no segundo, evolução do Multiplicador do Patrimônio Líquido</w:t>
      </w:r>
    </w:p>
    <w:p w14:paraId="5791A0BE" w14:textId="77777777" w:rsidR="002204E3" w:rsidRDefault="002204E3" w:rsidP="008B6EBF">
      <w:pPr>
        <w:spacing w:after="0" w:line="360" w:lineRule="auto"/>
        <w:ind w:firstLine="360"/>
        <w:jc w:val="both"/>
        <w:rPr>
          <w:rFonts w:ascii="Times New Roman" w:eastAsia="Times New Roman" w:hAnsi="Times New Roman" w:cs="Times New Roman"/>
          <w:color w:val="000000"/>
          <w:lang w:val="pt-BR"/>
        </w:rPr>
      </w:pPr>
    </w:p>
    <w:p w14:paraId="51D64E74" w14:textId="77777777" w:rsidR="005736FC" w:rsidRDefault="005736FC" w:rsidP="008B6EBF">
      <w:pPr>
        <w:spacing w:after="0" w:line="360" w:lineRule="auto"/>
        <w:ind w:firstLine="360"/>
        <w:jc w:val="both"/>
        <w:rPr>
          <w:rFonts w:ascii="Times New Roman" w:eastAsia="Times New Roman" w:hAnsi="Times New Roman" w:cs="Times New Roman"/>
          <w:color w:val="000000"/>
          <w:lang w:val="pt-BR"/>
        </w:rPr>
      </w:pPr>
    </w:p>
    <w:p w14:paraId="34BED25D" w14:textId="51450902" w:rsidR="005736FC" w:rsidRPr="005736FC" w:rsidRDefault="005736FC" w:rsidP="00B775C5">
      <w:pPr>
        <w:pStyle w:val="PargrafodaLista"/>
        <w:numPr>
          <w:ilvl w:val="1"/>
          <w:numId w:val="12"/>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Comparação com a Direcional</w:t>
      </w:r>
    </w:p>
    <w:p w14:paraId="09DD42FA" w14:textId="33744507" w:rsidR="00AB0A53" w:rsidRPr="00DD0685" w:rsidRDefault="008065A8" w:rsidP="00516F5F">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Em comparação com a Direcional, uma de suas concorrentes, a MRV apresenta um ROE mais constante e com menos variações</w:t>
      </w:r>
      <w:r w:rsidR="00516F5F">
        <w:rPr>
          <w:rFonts w:ascii="Times New Roman" w:eastAsia="Times New Roman" w:hAnsi="Times New Roman" w:cs="Times New Roman"/>
          <w:color w:val="000000"/>
          <w:lang w:val="pt-BR"/>
        </w:rPr>
        <w:t xml:space="preserve">, como pode-se </w:t>
      </w:r>
      <w:r w:rsidR="00516F5F" w:rsidRPr="00516F5F">
        <w:rPr>
          <w:rFonts w:ascii="Times New Roman" w:eastAsia="Times New Roman" w:hAnsi="Times New Roman" w:cs="Times New Roman"/>
          <w:color w:val="000000"/>
          <w:highlight w:val="green"/>
          <w:lang w:val="pt-BR"/>
        </w:rPr>
        <w:t xml:space="preserve">observar nas </w:t>
      </w:r>
      <w:r w:rsidR="00516F5F" w:rsidRPr="00B220DD">
        <w:rPr>
          <w:rFonts w:ascii="Times New Roman" w:eastAsia="Times New Roman" w:hAnsi="Times New Roman" w:cs="Times New Roman"/>
          <w:color w:val="000000"/>
          <w:highlight w:val="green"/>
          <w:lang w:val="pt-BR"/>
        </w:rPr>
        <w:t xml:space="preserve">Tabelas </w:t>
      </w:r>
      <w:r w:rsidR="00B220DD" w:rsidRPr="00B220DD">
        <w:rPr>
          <w:rFonts w:ascii="Times New Roman" w:eastAsia="Times New Roman" w:hAnsi="Times New Roman" w:cs="Times New Roman"/>
          <w:color w:val="000000"/>
          <w:highlight w:val="green"/>
          <w:lang w:val="pt-BR"/>
        </w:rPr>
        <w:t>1</w:t>
      </w:r>
      <w:r w:rsidR="00516F5F" w:rsidRPr="00B220DD">
        <w:rPr>
          <w:rFonts w:ascii="Times New Roman" w:eastAsia="Times New Roman" w:hAnsi="Times New Roman" w:cs="Times New Roman"/>
          <w:color w:val="000000"/>
          <w:highlight w:val="green"/>
          <w:lang w:val="pt-BR"/>
        </w:rPr>
        <w:t xml:space="preserve"> e </w:t>
      </w:r>
      <w:r w:rsidR="00B220DD" w:rsidRPr="00B220DD">
        <w:rPr>
          <w:rFonts w:ascii="Times New Roman" w:eastAsia="Times New Roman" w:hAnsi="Times New Roman" w:cs="Times New Roman"/>
          <w:color w:val="000000"/>
          <w:highlight w:val="green"/>
          <w:lang w:val="pt-BR"/>
        </w:rPr>
        <w:t>2</w:t>
      </w:r>
      <w:r>
        <w:rPr>
          <w:rFonts w:ascii="Times New Roman" w:eastAsia="Times New Roman" w:hAnsi="Times New Roman" w:cs="Times New Roman"/>
          <w:color w:val="000000"/>
          <w:lang w:val="pt-BR"/>
        </w:rPr>
        <w:t>. Isso deve-se ao fato de que em 2017 e 2018 a Direcional teve Margem Líquida negativa, que reflete no prejuízo que a empresa teve nesses períodos</w:t>
      </w:r>
      <w:r w:rsidR="00792424">
        <w:rPr>
          <w:rFonts w:ascii="Times New Roman" w:eastAsia="Times New Roman" w:hAnsi="Times New Roman" w:cs="Times New Roman"/>
          <w:color w:val="000000"/>
          <w:lang w:val="pt-BR"/>
        </w:rPr>
        <w:t xml:space="preserve">. </w:t>
      </w:r>
      <w:r>
        <w:rPr>
          <w:rFonts w:ascii="Times New Roman" w:eastAsia="Times New Roman" w:hAnsi="Times New Roman" w:cs="Times New Roman"/>
          <w:color w:val="000000"/>
          <w:lang w:val="pt-BR"/>
        </w:rPr>
        <w:t>No ano seguinte</w:t>
      </w:r>
      <w:r w:rsidR="00792424">
        <w:rPr>
          <w:rFonts w:ascii="Times New Roman" w:eastAsia="Times New Roman" w:hAnsi="Times New Roman" w:cs="Times New Roman"/>
          <w:color w:val="000000"/>
          <w:lang w:val="pt-BR"/>
        </w:rPr>
        <w:t>, a empresa voltou a ter lucro e em 2020 passa a ter um Retorno sobre o Patrimônio Líquido semelhante ao da MRV.</w:t>
      </w:r>
    </w:p>
    <w:p w14:paraId="06ABBF4C" w14:textId="77777777" w:rsidR="00DD0685" w:rsidRPr="00DD0685" w:rsidRDefault="00DD0685" w:rsidP="00DD0685">
      <w:pPr>
        <w:spacing w:after="0" w:line="360" w:lineRule="auto"/>
        <w:jc w:val="both"/>
        <w:rPr>
          <w:rFonts w:ascii="Times New Roman" w:eastAsia="Times New Roman" w:hAnsi="Times New Roman" w:cs="Times New Roman"/>
          <w:color w:val="000000"/>
          <w:lang w:val="pt-BR"/>
        </w:rPr>
      </w:pPr>
    </w:p>
    <w:p w14:paraId="28584371" w14:textId="54A8463B" w:rsidR="00516F5F" w:rsidRPr="00B220DD" w:rsidRDefault="00516F5F" w:rsidP="00B220DD">
      <w:pPr>
        <w:pStyle w:val="Legenda"/>
        <w:keepNext/>
        <w:jc w:val="center"/>
        <w:rPr>
          <w:lang w:val="pt-BR"/>
        </w:rPr>
      </w:pPr>
      <w:r w:rsidRPr="00B220DD">
        <w:rPr>
          <w:lang w:val="pt-BR"/>
        </w:rPr>
        <w:t xml:space="preserve">Tabela </w:t>
      </w:r>
      <w:r>
        <w:fldChar w:fldCharType="begin"/>
      </w:r>
      <w:r w:rsidRPr="00B220DD">
        <w:rPr>
          <w:lang w:val="pt-BR"/>
        </w:rPr>
        <w:instrText xml:space="preserve"> SEQ Tabela \* ARABIC </w:instrText>
      </w:r>
      <w:r>
        <w:fldChar w:fldCharType="separate"/>
      </w:r>
      <w:r w:rsidR="00B220DD">
        <w:rPr>
          <w:noProof/>
          <w:lang w:val="pt-BR"/>
        </w:rPr>
        <w:t>1</w:t>
      </w:r>
      <w:r>
        <w:fldChar w:fldCharType="end"/>
      </w:r>
      <w:r w:rsidR="00B220DD" w:rsidRPr="00B220DD">
        <w:rPr>
          <w:lang w:val="pt-BR"/>
        </w:rPr>
        <w:t xml:space="preserve">: </w:t>
      </w:r>
      <w:r w:rsidR="00B220DD" w:rsidRPr="00C33114">
        <w:rPr>
          <w:rFonts w:ascii="Times New Roman" w:hAnsi="Times New Roman" w:cs="Times New Roman"/>
          <w:lang w:val="pt-BR"/>
        </w:rPr>
        <w:t>evolução dos componentes do ROE</w:t>
      </w:r>
      <w:r w:rsidR="00B220DD">
        <w:rPr>
          <w:rFonts w:ascii="Times New Roman" w:hAnsi="Times New Roman" w:cs="Times New Roman"/>
          <w:lang w:val="pt-BR"/>
        </w:rPr>
        <w:t xml:space="preserve"> da MRV</w:t>
      </w:r>
      <w:r w:rsidR="00B220DD" w:rsidRPr="00C33114">
        <w:rPr>
          <w:rFonts w:ascii="Times New Roman" w:hAnsi="Times New Roman" w:cs="Times New Roman"/>
          <w:lang w:val="pt-BR"/>
        </w:rPr>
        <w:t>, conforme DuPont</w:t>
      </w:r>
      <w:r w:rsidR="00B220DD">
        <w:rPr>
          <w:rFonts w:ascii="Times New Roman" w:hAnsi="Times New Roman" w:cs="Times New Roman"/>
          <w:lang w:val="pt-BR"/>
        </w:rPr>
        <w:t xml:space="preserve"> </w:t>
      </w:r>
    </w:p>
    <w:tbl>
      <w:tblPr>
        <w:tblW w:w="8474" w:type="dxa"/>
        <w:tblLook w:val="04A0" w:firstRow="1" w:lastRow="0" w:firstColumn="1" w:lastColumn="0" w:noHBand="0" w:noVBand="1"/>
      </w:tblPr>
      <w:tblGrid>
        <w:gridCol w:w="2806"/>
        <w:gridCol w:w="1417"/>
        <w:gridCol w:w="1417"/>
        <w:gridCol w:w="1417"/>
        <w:gridCol w:w="1417"/>
      </w:tblGrid>
      <w:tr w:rsidR="00C33114" w:rsidRPr="00C33114" w14:paraId="12EE078E" w14:textId="77777777" w:rsidTr="00B421E0">
        <w:trPr>
          <w:trHeight w:val="294"/>
        </w:trPr>
        <w:tc>
          <w:tcPr>
            <w:tcW w:w="2806" w:type="dxa"/>
            <w:tcBorders>
              <w:top w:val="single" w:sz="4" w:space="0" w:color="auto"/>
              <w:left w:val="single" w:sz="4" w:space="0" w:color="auto"/>
              <w:bottom w:val="single" w:sz="4" w:space="0" w:color="auto"/>
              <w:right w:val="nil"/>
            </w:tcBorders>
            <w:shd w:val="clear" w:color="auto" w:fill="44546A" w:themeFill="text2"/>
            <w:noWrap/>
            <w:vAlign w:val="bottom"/>
            <w:hideMark/>
          </w:tcPr>
          <w:p w14:paraId="7B0B3B6C" w14:textId="118F8328" w:rsidR="00C33114" w:rsidRPr="00B421E0" w:rsidRDefault="00280555" w:rsidP="00C33114">
            <w:pPr>
              <w:spacing w:after="0" w:line="240" w:lineRule="auto"/>
              <w:jc w:val="center"/>
              <w:rPr>
                <w:rFonts w:eastAsia="Times New Roman" w:cstheme="minorHAnsi"/>
                <w:b/>
                <w:bCs/>
                <w:color w:val="FFFFFF" w:themeColor="background1"/>
                <w:sz w:val="24"/>
                <w:szCs w:val="24"/>
                <w:lang w:val="pt-BR"/>
              </w:rPr>
            </w:pPr>
            <w:r w:rsidRPr="00B421E0">
              <w:rPr>
                <w:rFonts w:eastAsia="Times New Roman" w:cstheme="minorHAnsi"/>
                <w:b/>
                <w:bCs/>
                <w:color w:val="FFFFFF" w:themeColor="background1"/>
                <w:sz w:val="24"/>
                <w:szCs w:val="24"/>
                <w:lang w:val="pt-BR"/>
              </w:rPr>
              <w:t>MRV</w:t>
            </w:r>
          </w:p>
        </w:tc>
        <w:tc>
          <w:tcPr>
            <w:tcW w:w="1417" w:type="dxa"/>
            <w:tcBorders>
              <w:top w:val="single" w:sz="4" w:space="0" w:color="auto"/>
              <w:left w:val="single" w:sz="4" w:space="0" w:color="auto"/>
              <w:bottom w:val="single" w:sz="4" w:space="0" w:color="auto"/>
              <w:right w:val="single" w:sz="4" w:space="0" w:color="auto"/>
            </w:tcBorders>
            <w:shd w:val="clear" w:color="auto" w:fill="44546A" w:themeFill="text2"/>
            <w:noWrap/>
            <w:hideMark/>
          </w:tcPr>
          <w:p w14:paraId="78F38ACD" w14:textId="77777777" w:rsidR="00C33114" w:rsidRPr="00B421E0" w:rsidRDefault="00C33114" w:rsidP="00C33114">
            <w:pPr>
              <w:spacing w:after="0" w:line="240" w:lineRule="auto"/>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2017</w:t>
            </w:r>
          </w:p>
        </w:tc>
        <w:tc>
          <w:tcPr>
            <w:tcW w:w="1417" w:type="dxa"/>
            <w:tcBorders>
              <w:top w:val="single" w:sz="4" w:space="0" w:color="auto"/>
              <w:left w:val="nil"/>
              <w:bottom w:val="single" w:sz="4" w:space="0" w:color="auto"/>
              <w:right w:val="single" w:sz="4" w:space="0" w:color="auto"/>
            </w:tcBorders>
            <w:shd w:val="clear" w:color="auto" w:fill="44546A" w:themeFill="text2"/>
            <w:noWrap/>
            <w:hideMark/>
          </w:tcPr>
          <w:p w14:paraId="3220E252" w14:textId="77777777" w:rsidR="00C33114" w:rsidRPr="00B421E0" w:rsidRDefault="00C33114" w:rsidP="00C33114">
            <w:pPr>
              <w:spacing w:after="0" w:line="240" w:lineRule="auto"/>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2018</w:t>
            </w:r>
          </w:p>
        </w:tc>
        <w:tc>
          <w:tcPr>
            <w:tcW w:w="1417" w:type="dxa"/>
            <w:tcBorders>
              <w:top w:val="single" w:sz="4" w:space="0" w:color="auto"/>
              <w:left w:val="nil"/>
              <w:bottom w:val="single" w:sz="4" w:space="0" w:color="auto"/>
              <w:right w:val="single" w:sz="4" w:space="0" w:color="auto"/>
            </w:tcBorders>
            <w:shd w:val="clear" w:color="auto" w:fill="44546A" w:themeFill="text2"/>
            <w:noWrap/>
            <w:hideMark/>
          </w:tcPr>
          <w:p w14:paraId="32972368" w14:textId="77777777" w:rsidR="00C33114" w:rsidRPr="00B421E0" w:rsidRDefault="00C33114" w:rsidP="00C33114">
            <w:pPr>
              <w:spacing w:after="0" w:line="240" w:lineRule="auto"/>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2019</w:t>
            </w:r>
          </w:p>
        </w:tc>
        <w:tc>
          <w:tcPr>
            <w:tcW w:w="1417" w:type="dxa"/>
            <w:tcBorders>
              <w:top w:val="single" w:sz="4" w:space="0" w:color="auto"/>
              <w:left w:val="nil"/>
              <w:bottom w:val="single" w:sz="4" w:space="0" w:color="auto"/>
              <w:right w:val="single" w:sz="4" w:space="0" w:color="auto"/>
            </w:tcBorders>
            <w:shd w:val="clear" w:color="auto" w:fill="44546A" w:themeFill="text2"/>
            <w:noWrap/>
            <w:hideMark/>
          </w:tcPr>
          <w:p w14:paraId="6B36086C" w14:textId="77777777" w:rsidR="00C33114" w:rsidRPr="00B421E0" w:rsidRDefault="00C33114" w:rsidP="00C33114">
            <w:pPr>
              <w:spacing w:after="0" w:line="240" w:lineRule="auto"/>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2020</w:t>
            </w:r>
          </w:p>
        </w:tc>
      </w:tr>
      <w:tr w:rsidR="00C33114" w:rsidRPr="00C33114" w14:paraId="40857458" w14:textId="77777777" w:rsidTr="00280555">
        <w:trPr>
          <w:trHeight w:val="294"/>
        </w:trPr>
        <w:tc>
          <w:tcPr>
            <w:tcW w:w="2806" w:type="dxa"/>
            <w:tcBorders>
              <w:top w:val="single" w:sz="4" w:space="0" w:color="auto"/>
              <w:left w:val="single" w:sz="4" w:space="0" w:color="auto"/>
              <w:bottom w:val="single" w:sz="4" w:space="0" w:color="auto"/>
              <w:right w:val="single" w:sz="4" w:space="0" w:color="auto"/>
            </w:tcBorders>
            <w:shd w:val="clear" w:color="auto" w:fill="auto"/>
            <w:noWrap/>
            <w:hideMark/>
          </w:tcPr>
          <w:p w14:paraId="50A490DA" w14:textId="77777777" w:rsidR="00C33114" w:rsidRPr="00C33114" w:rsidRDefault="00C33114" w:rsidP="00C33114">
            <w:pPr>
              <w:spacing w:after="0" w:line="240" w:lineRule="auto"/>
              <w:jc w:val="center"/>
              <w:rPr>
                <w:rFonts w:ascii="Calibri" w:eastAsia="Times New Roman" w:hAnsi="Calibri" w:cs="Calibri"/>
                <w:b/>
                <w:bCs/>
              </w:rPr>
            </w:pPr>
            <w:proofErr w:type="spellStart"/>
            <w:r w:rsidRPr="00C33114">
              <w:rPr>
                <w:rFonts w:ascii="Calibri" w:eastAsia="Times New Roman" w:hAnsi="Calibri" w:cs="Calibri"/>
                <w:b/>
                <w:bCs/>
              </w:rPr>
              <w:t>Margem</w:t>
            </w:r>
            <w:proofErr w:type="spellEnd"/>
            <w:r w:rsidRPr="00C33114">
              <w:rPr>
                <w:rFonts w:ascii="Calibri" w:eastAsia="Times New Roman" w:hAnsi="Calibri" w:cs="Calibri"/>
                <w:b/>
                <w:bCs/>
              </w:rPr>
              <w:t xml:space="preserve"> </w:t>
            </w:r>
            <w:proofErr w:type="spellStart"/>
            <w:r w:rsidRPr="00C33114">
              <w:rPr>
                <w:rFonts w:ascii="Calibri" w:eastAsia="Times New Roman" w:hAnsi="Calibri" w:cs="Calibri"/>
                <w:b/>
                <w:bCs/>
              </w:rPr>
              <w:t>Líquida</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5455D2DC"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0,1471</w:t>
            </w:r>
          </w:p>
        </w:tc>
        <w:tc>
          <w:tcPr>
            <w:tcW w:w="1417" w:type="dxa"/>
            <w:tcBorders>
              <w:top w:val="nil"/>
              <w:left w:val="nil"/>
              <w:bottom w:val="single" w:sz="4" w:space="0" w:color="auto"/>
              <w:right w:val="single" w:sz="4" w:space="0" w:color="auto"/>
            </w:tcBorders>
            <w:shd w:val="clear" w:color="auto" w:fill="auto"/>
            <w:noWrap/>
            <w:vAlign w:val="bottom"/>
            <w:hideMark/>
          </w:tcPr>
          <w:p w14:paraId="7B872FB0"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0,1399</w:t>
            </w:r>
          </w:p>
        </w:tc>
        <w:tc>
          <w:tcPr>
            <w:tcW w:w="1417" w:type="dxa"/>
            <w:tcBorders>
              <w:top w:val="nil"/>
              <w:left w:val="nil"/>
              <w:bottom w:val="single" w:sz="4" w:space="0" w:color="auto"/>
              <w:right w:val="single" w:sz="4" w:space="0" w:color="auto"/>
            </w:tcBorders>
            <w:shd w:val="clear" w:color="auto" w:fill="auto"/>
            <w:noWrap/>
            <w:vAlign w:val="bottom"/>
            <w:hideMark/>
          </w:tcPr>
          <w:p w14:paraId="0C3D771D"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0,1235</w:t>
            </w:r>
          </w:p>
        </w:tc>
        <w:tc>
          <w:tcPr>
            <w:tcW w:w="1417" w:type="dxa"/>
            <w:tcBorders>
              <w:top w:val="nil"/>
              <w:left w:val="nil"/>
              <w:bottom w:val="single" w:sz="4" w:space="0" w:color="auto"/>
              <w:right w:val="single" w:sz="4" w:space="0" w:color="auto"/>
            </w:tcBorders>
            <w:shd w:val="clear" w:color="auto" w:fill="auto"/>
            <w:noWrap/>
            <w:vAlign w:val="bottom"/>
            <w:hideMark/>
          </w:tcPr>
          <w:p w14:paraId="2D0F56E6"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0,0934</w:t>
            </w:r>
          </w:p>
        </w:tc>
      </w:tr>
      <w:tr w:rsidR="00C33114" w:rsidRPr="00C33114" w14:paraId="68962159" w14:textId="77777777" w:rsidTr="00C33114">
        <w:trPr>
          <w:trHeight w:val="294"/>
        </w:trPr>
        <w:tc>
          <w:tcPr>
            <w:tcW w:w="2806" w:type="dxa"/>
            <w:tcBorders>
              <w:top w:val="nil"/>
              <w:left w:val="single" w:sz="4" w:space="0" w:color="auto"/>
              <w:bottom w:val="single" w:sz="4" w:space="0" w:color="auto"/>
              <w:right w:val="single" w:sz="4" w:space="0" w:color="auto"/>
            </w:tcBorders>
            <w:shd w:val="clear" w:color="auto" w:fill="auto"/>
            <w:noWrap/>
            <w:hideMark/>
          </w:tcPr>
          <w:p w14:paraId="5ACD360C" w14:textId="77777777" w:rsidR="00C33114" w:rsidRPr="00C33114" w:rsidRDefault="00C33114" w:rsidP="00C33114">
            <w:pPr>
              <w:spacing w:after="0" w:line="240" w:lineRule="auto"/>
              <w:jc w:val="center"/>
              <w:rPr>
                <w:rFonts w:ascii="Calibri" w:eastAsia="Times New Roman" w:hAnsi="Calibri" w:cs="Calibri"/>
                <w:b/>
                <w:bCs/>
              </w:rPr>
            </w:pPr>
            <w:r w:rsidRPr="00C33114">
              <w:rPr>
                <w:rFonts w:ascii="Calibri" w:eastAsia="Times New Roman" w:hAnsi="Calibri" w:cs="Calibri"/>
                <w:b/>
                <w:bCs/>
              </w:rPr>
              <w:t xml:space="preserve">Giro do </w:t>
            </w:r>
            <w:proofErr w:type="spellStart"/>
            <w:r w:rsidRPr="00C33114">
              <w:rPr>
                <w:rFonts w:ascii="Calibri" w:eastAsia="Times New Roman" w:hAnsi="Calibri" w:cs="Calibri"/>
                <w:b/>
                <w:bCs/>
              </w:rPr>
              <w:t>Ativo</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0D9F61A6"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0,3269</w:t>
            </w:r>
          </w:p>
        </w:tc>
        <w:tc>
          <w:tcPr>
            <w:tcW w:w="1417" w:type="dxa"/>
            <w:tcBorders>
              <w:top w:val="nil"/>
              <w:left w:val="nil"/>
              <w:bottom w:val="single" w:sz="4" w:space="0" w:color="auto"/>
              <w:right w:val="single" w:sz="4" w:space="0" w:color="auto"/>
            </w:tcBorders>
            <w:shd w:val="clear" w:color="auto" w:fill="auto"/>
            <w:noWrap/>
            <w:vAlign w:val="bottom"/>
            <w:hideMark/>
          </w:tcPr>
          <w:p w14:paraId="3671D760"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0,3974</w:t>
            </w:r>
          </w:p>
        </w:tc>
        <w:tc>
          <w:tcPr>
            <w:tcW w:w="1417" w:type="dxa"/>
            <w:tcBorders>
              <w:top w:val="nil"/>
              <w:left w:val="nil"/>
              <w:bottom w:val="single" w:sz="4" w:space="0" w:color="auto"/>
              <w:right w:val="single" w:sz="4" w:space="0" w:color="auto"/>
            </w:tcBorders>
            <w:shd w:val="clear" w:color="auto" w:fill="auto"/>
            <w:noWrap/>
            <w:vAlign w:val="bottom"/>
            <w:hideMark/>
          </w:tcPr>
          <w:p w14:paraId="48604EF2"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0,4123</w:t>
            </w:r>
          </w:p>
        </w:tc>
        <w:tc>
          <w:tcPr>
            <w:tcW w:w="1417" w:type="dxa"/>
            <w:tcBorders>
              <w:top w:val="nil"/>
              <w:left w:val="nil"/>
              <w:bottom w:val="single" w:sz="4" w:space="0" w:color="auto"/>
              <w:right w:val="single" w:sz="4" w:space="0" w:color="auto"/>
            </w:tcBorders>
            <w:shd w:val="clear" w:color="auto" w:fill="auto"/>
            <w:noWrap/>
            <w:vAlign w:val="bottom"/>
            <w:hideMark/>
          </w:tcPr>
          <w:p w14:paraId="31C18849"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0,368</w:t>
            </w:r>
          </w:p>
        </w:tc>
      </w:tr>
      <w:tr w:rsidR="00C33114" w:rsidRPr="00C33114" w14:paraId="3014BA0F" w14:textId="77777777" w:rsidTr="00C33114">
        <w:trPr>
          <w:trHeight w:val="294"/>
        </w:trPr>
        <w:tc>
          <w:tcPr>
            <w:tcW w:w="2806" w:type="dxa"/>
            <w:tcBorders>
              <w:top w:val="nil"/>
              <w:left w:val="single" w:sz="4" w:space="0" w:color="auto"/>
              <w:bottom w:val="single" w:sz="4" w:space="0" w:color="auto"/>
              <w:right w:val="single" w:sz="4" w:space="0" w:color="auto"/>
            </w:tcBorders>
            <w:shd w:val="clear" w:color="auto" w:fill="auto"/>
            <w:noWrap/>
            <w:hideMark/>
          </w:tcPr>
          <w:p w14:paraId="628A4273" w14:textId="77777777" w:rsidR="00C33114" w:rsidRPr="00C33114" w:rsidRDefault="00C33114" w:rsidP="00C33114">
            <w:pPr>
              <w:spacing w:after="0" w:line="240" w:lineRule="auto"/>
              <w:jc w:val="center"/>
              <w:rPr>
                <w:rFonts w:ascii="Calibri" w:eastAsia="Times New Roman" w:hAnsi="Calibri" w:cs="Calibri"/>
                <w:b/>
                <w:bCs/>
              </w:rPr>
            </w:pPr>
            <w:proofErr w:type="spellStart"/>
            <w:r w:rsidRPr="00C33114">
              <w:rPr>
                <w:rFonts w:ascii="Calibri" w:eastAsia="Times New Roman" w:hAnsi="Calibri" w:cs="Calibri"/>
                <w:b/>
                <w:bCs/>
              </w:rPr>
              <w:t>Multiplicador</w:t>
            </w:r>
            <w:proofErr w:type="spellEnd"/>
            <w:r w:rsidRPr="00C33114">
              <w:rPr>
                <w:rFonts w:ascii="Calibri" w:eastAsia="Times New Roman" w:hAnsi="Calibri" w:cs="Calibri"/>
                <w:b/>
                <w:bCs/>
              </w:rPr>
              <w:t xml:space="preserve"> do PL</w:t>
            </w:r>
          </w:p>
        </w:tc>
        <w:tc>
          <w:tcPr>
            <w:tcW w:w="1417" w:type="dxa"/>
            <w:tcBorders>
              <w:top w:val="nil"/>
              <w:left w:val="nil"/>
              <w:bottom w:val="single" w:sz="4" w:space="0" w:color="auto"/>
              <w:right w:val="single" w:sz="4" w:space="0" w:color="auto"/>
            </w:tcBorders>
            <w:shd w:val="clear" w:color="auto" w:fill="auto"/>
            <w:noWrap/>
            <w:vAlign w:val="bottom"/>
            <w:hideMark/>
          </w:tcPr>
          <w:p w14:paraId="6D241DED"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2,5113</w:t>
            </w:r>
          </w:p>
        </w:tc>
        <w:tc>
          <w:tcPr>
            <w:tcW w:w="1417" w:type="dxa"/>
            <w:tcBorders>
              <w:top w:val="nil"/>
              <w:left w:val="nil"/>
              <w:bottom w:val="single" w:sz="4" w:space="0" w:color="auto"/>
              <w:right w:val="single" w:sz="4" w:space="0" w:color="auto"/>
            </w:tcBorders>
            <w:shd w:val="clear" w:color="auto" w:fill="auto"/>
            <w:noWrap/>
            <w:vAlign w:val="bottom"/>
            <w:hideMark/>
          </w:tcPr>
          <w:p w14:paraId="1D9CF95F"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2,7975</w:t>
            </w:r>
          </w:p>
        </w:tc>
        <w:tc>
          <w:tcPr>
            <w:tcW w:w="1417" w:type="dxa"/>
            <w:tcBorders>
              <w:top w:val="nil"/>
              <w:left w:val="nil"/>
              <w:bottom w:val="single" w:sz="4" w:space="0" w:color="auto"/>
              <w:right w:val="single" w:sz="4" w:space="0" w:color="auto"/>
            </w:tcBorders>
            <w:shd w:val="clear" w:color="auto" w:fill="auto"/>
            <w:noWrap/>
            <w:vAlign w:val="bottom"/>
            <w:hideMark/>
          </w:tcPr>
          <w:p w14:paraId="2A17771F"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2,8747</w:t>
            </w:r>
          </w:p>
        </w:tc>
        <w:tc>
          <w:tcPr>
            <w:tcW w:w="1417" w:type="dxa"/>
            <w:tcBorders>
              <w:top w:val="nil"/>
              <w:left w:val="nil"/>
              <w:bottom w:val="single" w:sz="4" w:space="0" w:color="auto"/>
              <w:right w:val="single" w:sz="4" w:space="0" w:color="auto"/>
            </w:tcBorders>
            <w:shd w:val="clear" w:color="auto" w:fill="auto"/>
            <w:noWrap/>
            <w:vAlign w:val="bottom"/>
            <w:hideMark/>
          </w:tcPr>
          <w:p w14:paraId="6141B049" w14:textId="77777777" w:rsidR="00C33114" w:rsidRPr="00C33114" w:rsidRDefault="00C33114" w:rsidP="00C33114">
            <w:pPr>
              <w:spacing w:after="0" w:line="240" w:lineRule="auto"/>
              <w:jc w:val="center"/>
              <w:rPr>
                <w:rFonts w:ascii="Calibri" w:eastAsia="Times New Roman" w:hAnsi="Calibri" w:cs="Calibri"/>
                <w:color w:val="000000"/>
              </w:rPr>
            </w:pPr>
            <w:r w:rsidRPr="00C33114">
              <w:rPr>
                <w:rFonts w:ascii="Calibri" w:eastAsia="Times New Roman" w:hAnsi="Calibri" w:cs="Calibri"/>
                <w:color w:val="000000"/>
              </w:rPr>
              <w:t>2,9931</w:t>
            </w:r>
          </w:p>
        </w:tc>
      </w:tr>
      <w:tr w:rsidR="00C33114" w:rsidRPr="00C33114" w14:paraId="6C74C6D3" w14:textId="77777777" w:rsidTr="00B421E0">
        <w:trPr>
          <w:trHeight w:val="294"/>
        </w:trPr>
        <w:tc>
          <w:tcPr>
            <w:tcW w:w="2806" w:type="dxa"/>
            <w:tcBorders>
              <w:top w:val="nil"/>
              <w:left w:val="single" w:sz="4" w:space="0" w:color="auto"/>
              <w:bottom w:val="single" w:sz="4" w:space="0" w:color="auto"/>
              <w:right w:val="single" w:sz="4" w:space="0" w:color="auto"/>
            </w:tcBorders>
            <w:shd w:val="clear" w:color="auto" w:fill="D9D9D9" w:themeFill="background1" w:themeFillShade="D9"/>
            <w:noWrap/>
            <w:hideMark/>
          </w:tcPr>
          <w:p w14:paraId="2632AD9D" w14:textId="77777777" w:rsidR="00C33114" w:rsidRPr="00B421E0" w:rsidRDefault="00C33114" w:rsidP="00C33114">
            <w:pPr>
              <w:spacing w:after="0" w:line="240" w:lineRule="auto"/>
              <w:jc w:val="center"/>
              <w:rPr>
                <w:rFonts w:ascii="Calibri" w:eastAsia="Times New Roman" w:hAnsi="Calibri" w:cs="Calibri"/>
                <w:b/>
                <w:bCs/>
              </w:rPr>
            </w:pPr>
            <w:r w:rsidRPr="00B421E0">
              <w:rPr>
                <w:rFonts w:ascii="Calibri" w:eastAsia="Times New Roman" w:hAnsi="Calibri" w:cs="Calibri"/>
                <w:b/>
                <w:bCs/>
              </w:rPr>
              <w:t>ROE</w:t>
            </w: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14:paraId="013B238D" w14:textId="77777777" w:rsidR="00C33114" w:rsidRPr="00B421E0" w:rsidRDefault="00C33114" w:rsidP="00C33114">
            <w:pPr>
              <w:spacing w:after="0" w:line="240" w:lineRule="auto"/>
              <w:jc w:val="center"/>
              <w:rPr>
                <w:rFonts w:ascii="Calibri" w:eastAsia="Times New Roman" w:hAnsi="Calibri" w:cs="Calibri"/>
                <w:b/>
                <w:bCs/>
                <w:color w:val="000000"/>
              </w:rPr>
            </w:pPr>
            <w:r w:rsidRPr="00B421E0">
              <w:rPr>
                <w:rFonts w:ascii="Calibri" w:eastAsia="Times New Roman" w:hAnsi="Calibri" w:cs="Calibri"/>
                <w:b/>
                <w:bCs/>
                <w:color w:val="000000"/>
              </w:rPr>
              <w:t>0,1208</w:t>
            </w: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14:paraId="54CF7E96" w14:textId="77777777" w:rsidR="00C33114" w:rsidRPr="00B421E0" w:rsidRDefault="00C33114" w:rsidP="00C33114">
            <w:pPr>
              <w:spacing w:after="0" w:line="240" w:lineRule="auto"/>
              <w:jc w:val="center"/>
              <w:rPr>
                <w:rFonts w:ascii="Calibri" w:eastAsia="Times New Roman" w:hAnsi="Calibri" w:cs="Calibri"/>
                <w:b/>
                <w:bCs/>
                <w:color w:val="000000"/>
              </w:rPr>
            </w:pPr>
            <w:r w:rsidRPr="00B421E0">
              <w:rPr>
                <w:rFonts w:ascii="Calibri" w:eastAsia="Times New Roman" w:hAnsi="Calibri" w:cs="Calibri"/>
                <w:b/>
                <w:bCs/>
                <w:color w:val="000000"/>
              </w:rPr>
              <w:t>0,1555</w:t>
            </w: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14:paraId="37381A55" w14:textId="77777777" w:rsidR="00C33114" w:rsidRPr="00B421E0" w:rsidRDefault="00C33114" w:rsidP="00C33114">
            <w:pPr>
              <w:spacing w:after="0" w:line="240" w:lineRule="auto"/>
              <w:jc w:val="center"/>
              <w:rPr>
                <w:rFonts w:ascii="Calibri" w:eastAsia="Times New Roman" w:hAnsi="Calibri" w:cs="Calibri"/>
                <w:b/>
                <w:bCs/>
                <w:color w:val="000000"/>
              </w:rPr>
            </w:pPr>
            <w:r w:rsidRPr="00B421E0">
              <w:rPr>
                <w:rFonts w:ascii="Calibri" w:eastAsia="Times New Roman" w:hAnsi="Calibri" w:cs="Calibri"/>
                <w:b/>
                <w:bCs/>
                <w:color w:val="000000"/>
              </w:rPr>
              <w:t>0,1464</w:t>
            </w:r>
          </w:p>
        </w:tc>
        <w:tc>
          <w:tcPr>
            <w:tcW w:w="1417" w:type="dxa"/>
            <w:tcBorders>
              <w:top w:val="nil"/>
              <w:left w:val="nil"/>
              <w:bottom w:val="single" w:sz="4" w:space="0" w:color="auto"/>
              <w:right w:val="single" w:sz="4" w:space="0" w:color="auto"/>
            </w:tcBorders>
            <w:shd w:val="clear" w:color="auto" w:fill="D9D9D9" w:themeFill="background1" w:themeFillShade="D9"/>
            <w:noWrap/>
            <w:vAlign w:val="bottom"/>
            <w:hideMark/>
          </w:tcPr>
          <w:p w14:paraId="7E570C03" w14:textId="77777777" w:rsidR="00C33114" w:rsidRPr="00B421E0" w:rsidRDefault="00C33114" w:rsidP="00C33114">
            <w:pPr>
              <w:spacing w:after="0" w:line="240" w:lineRule="auto"/>
              <w:jc w:val="center"/>
              <w:rPr>
                <w:rFonts w:ascii="Calibri" w:eastAsia="Times New Roman" w:hAnsi="Calibri" w:cs="Calibri"/>
                <w:b/>
                <w:bCs/>
                <w:color w:val="000000"/>
              </w:rPr>
            </w:pPr>
            <w:r w:rsidRPr="00B421E0">
              <w:rPr>
                <w:rFonts w:ascii="Calibri" w:eastAsia="Times New Roman" w:hAnsi="Calibri" w:cs="Calibri"/>
                <w:b/>
                <w:bCs/>
                <w:color w:val="000000"/>
              </w:rPr>
              <w:t>0,1029</w:t>
            </w:r>
          </w:p>
        </w:tc>
      </w:tr>
    </w:tbl>
    <w:p w14:paraId="6ED8C680" w14:textId="5B152B74" w:rsidR="004E2AEA" w:rsidRDefault="004E2AEA" w:rsidP="00DD0685">
      <w:pPr>
        <w:spacing w:line="360" w:lineRule="auto"/>
        <w:jc w:val="center"/>
        <w:rPr>
          <w:rFonts w:ascii="Times New Roman" w:hAnsi="Times New Roman" w:cs="Times New Roman"/>
          <w:lang w:val="pt-BR"/>
        </w:rPr>
      </w:pPr>
    </w:p>
    <w:p w14:paraId="3B106958" w14:textId="3789351A" w:rsidR="00B220DD" w:rsidRPr="00B220DD" w:rsidRDefault="00B220DD" w:rsidP="00B220DD">
      <w:pPr>
        <w:pStyle w:val="Legenda"/>
        <w:keepNext/>
        <w:jc w:val="center"/>
        <w:rPr>
          <w:lang w:val="pt-BR"/>
        </w:rPr>
      </w:pPr>
      <w:r w:rsidRPr="00B220DD">
        <w:rPr>
          <w:lang w:val="pt-BR"/>
        </w:rPr>
        <w:t xml:space="preserve">Tabela </w:t>
      </w:r>
      <w:r>
        <w:fldChar w:fldCharType="begin"/>
      </w:r>
      <w:r w:rsidRPr="00B220DD">
        <w:rPr>
          <w:lang w:val="pt-BR"/>
        </w:rPr>
        <w:instrText xml:space="preserve"> SEQ Tabela \* ARABIC </w:instrText>
      </w:r>
      <w:r>
        <w:fldChar w:fldCharType="separate"/>
      </w:r>
      <w:r w:rsidRPr="00B220DD">
        <w:rPr>
          <w:noProof/>
          <w:lang w:val="pt-BR"/>
        </w:rPr>
        <w:t>2</w:t>
      </w:r>
      <w:r>
        <w:fldChar w:fldCharType="end"/>
      </w:r>
      <w:r w:rsidRPr="00B220DD">
        <w:rPr>
          <w:lang w:val="pt-BR"/>
        </w:rPr>
        <w:t xml:space="preserve">: </w:t>
      </w:r>
      <w:r w:rsidRPr="00C33114">
        <w:rPr>
          <w:rFonts w:ascii="Times New Roman" w:hAnsi="Times New Roman" w:cs="Times New Roman"/>
          <w:lang w:val="pt-BR"/>
        </w:rPr>
        <w:t>evolução dos componentes do ROE</w:t>
      </w:r>
      <w:r>
        <w:rPr>
          <w:rFonts w:ascii="Times New Roman" w:hAnsi="Times New Roman" w:cs="Times New Roman"/>
          <w:lang w:val="pt-BR"/>
        </w:rPr>
        <w:t xml:space="preserve"> da Direcional</w:t>
      </w:r>
      <w:r w:rsidRPr="00C33114">
        <w:rPr>
          <w:rFonts w:ascii="Times New Roman" w:hAnsi="Times New Roman" w:cs="Times New Roman"/>
          <w:lang w:val="pt-BR"/>
        </w:rPr>
        <w:t>, conforme DuPont</w:t>
      </w:r>
    </w:p>
    <w:tbl>
      <w:tblPr>
        <w:tblStyle w:val="Tabelacomgrade"/>
        <w:tblW w:w="8485" w:type="dxa"/>
        <w:tblLook w:val="04A0" w:firstRow="1" w:lastRow="0" w:firstColumn="1" w:lastColumn="0" w:noHBand="0" w:noVBand="1"/>
      </w:tblPr>
      <w:tblGrid>
        <w:gridCol w:w="2809"/>
        <w:gridCol w:w="1419"/>
        <w:gridCol w:w="1419"/>
        <w:gridCol w:w="1419"/>
        <w:gridCol w:w="1419"/>
      </w:tblGrid>
      <w:tr w:rsidR="00B5569D" w:rsidRPr="008065A8" w14:paraId="4092B8F6" w14:textId="77777777" w:rsidTr="00B5569D">
        <w:trPr>
          <w:trHeight w:val="304"/>
        </w:trPr>
        <w:tc>
          <w:tcPr>
            <w:tcW w:w="2809" w:type="dxa"/>
            <w:shd w:val="clear" w:color="auto" w:fill="44546A" w:themeFill="text2"/>
            <w:noWrap/>
            <w:hideMark/>
          </w:tcPr>
          <w:p w14:paraId="595DBE92" w14:textId="77CD11DE" w:rsidR="00B5569D" w:rsidRPr="00B421E0" w:rsidRDefault="00B5569D" w:rsidP="00B5569D">
            <w:pPr>
              <w:jc w:val="center"/>
              <w:rPr>
                <w:rFonts w:ascii="Calibri" w:eastAsia="Times New Roman" w:hAnsi="Calibri" w:cs="Calibri"/>
                <w:b/>
                <w:bCs/>
                <w:color w:val="FFFFFF" w:themeColor="background1"/>
                <w:sz w:val="24"/>
                <w:szCs w:val="24"/>
                <w:lang w:val="pt-BR"/>
              </w:rPr>
            </w:pPr>
            <w:r w:rsidRPr="00B421E0">
              <w:rPr>
                <w:rFonts w:ascii="Calibri" w:eastAsia="Times New Roman" w:hAnsi="Calibri" w:cs="Calibri"/>
                <w:b/>
                <w:bCs/>
                <w:color w:val="FFFFFF" w:themeColor="background1"/>
                <w:sz w:val="24"/>
                <w:szCs w:val="24"/>
                <w:lang w:val="pt-BR"/>
              </w:rPr>
              <w:t>Direcional</w:t>
            </w:r>
          </w:p>
        </w:tc>
        <w:tc>
          <w:tcPr>
            <w:tcW w:w="1419" w:type="dxa"/>
            <w:shd w:val="clear" w:color="auto" w:fill="44546A" w:themeFill="text2"/>
            <w:noWrap/>
            <w:hideMark/>
          </w:tcPr>
          <w:p w14:paraId="7C64DC73" w14:textId="77777777" w:rsidR="00B5569D" w:rsidRPr="00B421E0" w:rsidRDefault="00B5569D" w:rsidP="00B5569D">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2017</w:t>
            </w:r>
          </w:p>
        </w:tc>
        <w:tc>
          <w:tcPr>
            <w:tcW w:w="1419" w:type="dxa"/>
            <w:shd w:val="clear" w:color="auto" w:fill="44546A" w:themeFill="text2"/>
            <w:noWrap/>
            <w:hideMark/>
          </w:tcPr>
          <w:p w14:paraId="446A19D1" w14:textId="77777777" w:rsidR="00B5569D" w:rsidRPr="00B421E0" w:rsidRDefault="00B5569D" w:rsidP="00B5569D">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2018</w:t>
            </w:r>
          </w:p>
        </w:tc>
        <w:tc>
          <w:tcPr>
            <w:tcW w:w="1419" w:type="dxa"/>
            <w:tcBorders>
              <w:right w:val="nil"/>
            </w:tcBorders>
            <w:shd w:val="clear" w:color="auto" w:fill="44546A" w:themeFill="text2"/>
            <w:noWrap/>
            <w:hideMark/>
          </w:tcPr>
          <w:p w14:paraId="356D5273" w14:textId="2525A383" w:rsidR="00B5569D" w:rsidRPr="00B421E0" w:rsidRDefault="00B5569D" w:rsidP="00B5569D">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2019</w:t>
            </w:r>
          </w:p>
        </w:tc>
        <w:tc>
          <w:tcPr>
            <w:tcW w:w="1419" w:type="dxa"/>
            <w:tcBorders>
              <w:left w:val="nil"/>
            </w:tcBorders>
            <w:shd w:val="clear" w:color="auto" w:fill="44546A" w:themeFill="text2"/>
            <w:noWrap/>
            <w:hideMark/>
          </w:tcPr>
          <w:p w14:paraId="3E00D25B" w14:textId="58DDA9E5" w:rsidR="00B5569D" w:rsidRPr="00B421E0" w:rsidRDefault="00B5569D" w:rsidP="00B5569D">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2020</w:t>
            </w:r>
          </w:p>
        </w:tc>
      </w:tr>
      <w:tr w:rsidR="008065A8" w:rsidRPr="008065A8" w14:paraId="6C2DB7FA" w14:textId="77777777" w:rsidTr="00AF5C32">
        <w:trPr>
          <w:trHeight w:val="304"/>
        </w:trPr>
        <w:tc>
          <w:tcPr>
            <w:tcW w:w="2809" w:type="dxa"/>
            <w:noWrap/>
            <w:hideMark/>
          </w:tcPr>
          <w:p w14:paraId="57CE8F48" w14:textId="77777777" w:rsidR="008065A8" w:rsidRPr="008065A8" w:rsidRDefault="008065A8" w:rsidP="008065A8">
            <w:pPr>
              <w:jc w:val="center"/>
              <w:rPr>
                <w:rFonts w:ascii="Calibri" w:eastAsia="Times New Roman" w:hAnsi="Calibri" w:cs="Calibri"/>
                <w:b/>
                <w:bCs/>
              </w:rPr>
            </w:pPr>
            <w:proofErr w:type="spellStart"/>
            <w:r w:rsidRPr="008065A8">
              <w:rPr>
                <w:rFonts w:ascii="Calibri" w:eastAsia="Times New Roman" w:hAnsi="Calibri" w:cs="Calibri"/>
                <w:b/>
                <w:bCs/>
              </w:rPr>
              <w:t>Margem</w:t>
            </w:r>
            <w:proofErr w:type="spellEnd"/>
            <w:r w:rsidRPr="008065A8">
              <w:rPr>
                <w:rFonts w:ascii="Calibri" w:eastAsia="Times New Roman" w:hAnsi="Calibri" w:cs="Calibri"/>
                <w:b/>
                <w:bCs/>
              </w:rPr>
              <w:t xml:space="preserve"> </w:t>
            </w:r>
            <w:proofErr w:type="spellStart"/>
            <w:r w:rsidRPr="008065A8">
              <w:rPr>
                <w:rFonts w:ascii="Calibri" w:eastAsia="Times New Roman" w:hAnsi="Calibri" w:cs="Calibri"/>
                <w:b/>
                <w:bCs/>
              </w:rPr>
              <w:t>Líquida</w:t>
            </w:r>
            <w:proofErr w:type="spellEnd"/>
          </w:p>
        </w:tc>
        <w:tc>
          <w:tcPr>
            <w:tcW w:w="1419" w:type="dxa"/>
            <w:noWrap/>
            <w:hideMark/>
          </w:tcPr>
          <w:p w14:paraId="2A5B95CC"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-0,1828</w:t>
            </w:r>
          </w:p>
        </w:tc>
        <w:tc>
          <w:tcPr>
            <w:tcW w:w="1419" w:type="dxa"/>
            <w:noWrap/>
            <w:hideMark/>
          </w:tcPr>
          <w:p w14:paraId="168E8861"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-0,0634</w:t>
            </w:r>
          </w:p>
        </w:tc>
        <w:tc>
          <w:tcPr>
            <w:tcW w:w="1419" w:type="dxa"/>
            <w:noWrap/>
            <w:hideMark/>
          </w:tcPr>
          <w:p w14:paraId="7512BFD6"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0,0829</w:t>
            </w:r>
          </w:p>
        </w:tc>
        <w:tc>
          <w:tcPr>
            <w:tcW w:w="1419" w:type="dxa"/>
            <w:noWrap/>
            <w:hideMark/>
          </w:tcPr>
          <w:p w14:paraId="6B566356"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0,1</w:t>
            </w:r>
          </w:p>
        </w:tc>
      </w:tr>
      <w:tr w:rsidR="008065A8" w:rsidRPr="008065A8" w14:paraId="78C1D09A" w14:textId="77777777" w:rsidTr="00AF5C32">
        <w:trPr>
          <w:trHeight w:val="304"/>
        </w:trPr>
        <w:tc>
          <w:tcPr>
            <w:tcW w:w="2809" w:type="dxa"/>
            <w:noWrap/>
            <w:hideMark/>
          </w:tcPr>
          <w:p w14:paraId="30F7D4A7" w14:textId="77777777" w:rsidR="008065A8" w:rsidRPr="008065A8" w:rsidRDefault="008065A8" w:rsidP="008065A8">
            <w:pPr>
              <w:jc w:val="center"/>
              <w:rPr>
                <w:rFonts w:ascii="Calibri" w:eastAsia="Times New Roman" w:hAnsi="Calibri" w:cs="Calibri"/>
                <w:b/>
                <w:bCs/>
              </w:rPr>
            </w:pPr>
            <w:r w:rsidRPr="008065A8">
              <w:rPr>
                <w:rFonts w:ascii="Calibri" w:eastAsia="Times New Roman" w:hAnsi="Calibri" w:cs="Calibri"/>
                <w:b/>
                <w:bCs/>
              </w:rPr>
              <w:t xml:space="preserve">Giro do </w:t>
            </w:r>
            <w:proofErr w:type="spellStart"/>
            <w:r w:rsidRPr="008065A8">
              <w:rPr>
                <w:rFonts w:ascii="Calibri" w:eastAsia="Times New Roman" w:hAnsi="Calibri" w:cs="Calibri"/>
                <w:b/>
                <w:bCs/>
              </w:rPr>
              <w:t>Ativo</w:t>
            </w:r>
            <w:proofErr w:type="spellEnd"/>
          </w:p>
        </w:tc>
        <w:tc>
          <w:tcPr>
            <w:tcW w:w="1419" w:type="dxa"/>
            <w:noWrap/>
            <w:hideMark/>
          </w:tcPr>
          <w:p w14:paraId="2EA5D4A0"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0,1815</w:t>
            </w:r>
          </w:p>
        </w:tc>
        <w:tc>
          <w:tcPr>
            <w:tcW w:w="1419" w:type="dxa"/>
            <w:noWrap/>
            <w:hideMark/>
          </w:tcPr>
          <w:p w14:paraId="2ADABC51"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0,2507</w:t>
            </w:r>
          </w:p>
        </w:tc>
        <w:tc>
          <w:tcPr>
            <w:tcW w:w="1419" w:type="dxa"/>
            <w:noWrap/>
            <w:hideMark/>
          </w:tcPr>
          <w:p w14:paraId="24774020"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0,3133</w:t>
            </w:r>
          </w:p>
        </w:tc>
        <w:tc>
          <w:tcPr>
            <w:tcW w:w="1419" w:type="dxa"/>
            <w:noWrap/>
            <w:hideMark/>
          </w:tcPr>
          <w:p w14:paraId="0DE3D728"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0,2942</w:t>
            </w:r>
          </w:p>
        </w:tc>
      </w:tr>
      <w:tr w:rsidR="008065A8" w:rsidRPr="008065A8" w14:paraId="28816398" w14:textId="77777777" w:rsidTr="00AF5C32">
        <w:trPr>
          <w:trHeight w:val="304"/>
        </w:trPr>
        <w:tc>
          <w:tcPr>
            <w:tcW w:w="2809" w:type="dxa"/>
            <w:noWrap/>
            <w:hideMark/>
          </w:tcPr>
          <w:p w14:paraId="3E6C9131" w14:textId="77777777" w:rsidR="008065A8" w:rsidRPr="008065A8" w:rsidRDefault="008065A8" w:rsidP="008065A8">
            <w:pPr>
              <w:jc w:val="center"/>
              <w:rPr>
                <w:rFonts w:ascii="Calibri" w:eastAsia="Times New Roman" w:hAnsi="Calibri" w:cs="Calibri"/>
                <w:b/>
                <w:bCs/>
              </w:rPr>
            </w:pPr>
            <w:proofErr w:type="spellStart"/>
            <w:r w:rsidRPr="008065A8">
              <w:rPr>
                <w:rFonts w:ascii="Calibri" w:eastAsia="Times New Roman" w:hAnsi="Calibri" w:cs="Calibri"/>
                <w:b/>
                <w:bCs/>
              </w:rPr>
              <w:t>Multiplicador</w:t>
            </w:r>
            <w:proofErr w:type="spellEnd"/>
            <w:r w:rsidRPr="008065A8">
              <w:rPr>
                <w:rFonts w:ascii="Calibri" w:eastAsia="Times New Roman" w:hAnsi="Calibri" w:cs="Calibri"/>
                <w:b/>
                <w:bCs/>
              </w:rPr>
              <w:t xml:space="preserve"> do PL</w:t>
            </w:r>
          </w:p>
        </w:tc>
        <w:tc>
          <w:tcPr>
            <w:tcW w:w="1419" w:type="dxa"/>
            <w:noWrap/>
            <w:hideMark/>
          </w:tcPr>
          <w:p w14:paraId="660AD858"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2,5816</w:t>
            </w:r>
          </w:p>
        </w:tc>
        <w:tc>
          <w:tcPr>
            <w:tcW w:w="1419" w:type="dxa"/>
            <w:noWrap/>
            <w:hideMark/>
          </w:tcPr>
          <w:p w14:paraId="491A961D"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3,3387</w:t>
            </w:r>
          </w:p>
        </w:tc>
        <w:tc>
          <w:tcPr>
            <w:tcW w:w="1419" w:type="dxa"/>
            <w:noWrap/>
            <w:hideMark/>
          </w:tcPr>
          <w:p w14:paraId="1BFDB0D4"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3,3992</w:t>
            </w:r>
          </w:p>
        </w:tc>
        <w:tc>
          <w:tcPr>
            <w:tcW w:w="1419" w:type="dxa"/>
            <w:noWrap/>
            <w:hideMark/>
          </w:tcPr>
          <w:p w14:paraId="6E7563C5" w14:textId="77777777" w:rsidR="008065A8" w:rsidRPr="008065A8" w:rsidRDefault="008065A8" w:rsidP="00AF5C32">
            <w:pPr>
              <w:jc w:val="center"/>
              <w:rPr>
                <w:rFonts w:ascii="Calibri" w:eastAsia="Times New Roman" w:hAnsi="Calibri" w:cs="Calibri"/>
                <w:color w:val="000000"/>
              </w:rPr>
            </w:pPr>
            <w:r w:rsidRPr="008065A8">
              <w:rPr>
                <w:rFonts w:ascii="Calibri" w:eastAsia="Times New Roman" w:hAnsi="Calibri" w:cs="Calibri"/>
                <w:color w:val="000000"/>
              </w:rPr>
              <w:t>3,807</w:t>
            </w:r>
          </w:p>
        </w:tc>
      </w:tr>
      <w:tr w:rsidR="008065A8" w:rsidRPr="008065A8" w14:paraId="4FA4A041" w14:textId="77777777" w:rsidTr="00B421E0">
        <w:trPr>
          <w:trHeight w:val="304"/>
        </w:trPr>
        <w:tc>
          <w:tcPr>
            <w:tcW w:w="2809" w:type="dxa"/>
            <w:shd w:val="clear" w:color="auto" w:fill="D9D9D9" w:themeFill="background1" w:themeFillShade="D9"/>
            <w:noWrap/>
            <w:hideMark/>
          </w:tcPr>
          <w:p w14:paraId="06D68EC5" w14:textId="77777777" w:rsidR="008065A8" w:rsidRPr="00B421E0" w:rsidRDefault="008065A8" w:rsidP="008065A8">
            <w:pPr>
              <w:jc w:val="center"/>
              <w:rPr>
                <w:rFonts w:ascii="Calibri" w:eastAsia="Times New Roman" w:hAnsi="Calibri" w:cs="Calibri"/>
                <w:b/>
                <w:bCs/>
              </w:rPr>
            </w:pPr>
            <w:r w:rsidRPr="00B421E0">
              <w:rPr>
                <w:rFonts w:ascii="Calibri" w:eastAsia="Times New Roman" w:hAnsi="Calibri" w:cs="Calibri"/>
                <w:b/>
                <w:bCs/>
              </w:rPr>
              <w:t>ROE</w:t>
            </w:r>
          </w:p>
        </w:tc>
        <w:tc>
          <w:tcPr>
            <w:tcW w:w="1419" w:type="dxa"/>
            <w:shd w:val="clear" w:color="auto" w:fill="D9D9D9" w:themeFill="background1" w:themeFillShade="D9"/>
            <w:noWrap/>
            <w:hideMark/>
          </w:tcPr>
          <w:p w14:paraId="702FD928" w14:textId="77777777" w:rsidR="008065A8" w:rsidRPr="00B421E0" w:rsidRDefault="008065A8" w:rsidP="00AF5C32">
            <w:pPr>
              <w:jc w:val="center"/>
              <w:rPr>
                <w:rFonts w:ascii="Calibri" w:eastAsia="Times New Roman" w:hAnsi="Calibri" w:cs="Calibri"/>
                <w:b/>
                <w:bCs/>
                <w:color w:val="000000"/>
              </w:rPr>
            </w:pPr>
            <w:r w:rsidRPr="00B421E0">
              <w:rPr>
                <w:rFonts w:ascii="Calibri" w:eastAsia="Times New Roman" w:hAnsi="Calibri" w:cs="Calibri"/>
                <w:b/>
                <w:bCs/>
                <w:color w:val="000000"/>
              </w:rPr>
              <w:t>-0,0857</w:t>
            </w:r>
          </w:p>
        </w:tc>
        <w:tc>
          <w:tcPr>
            <w:tcW w:w="1419" w:type="dxa"/>
            <w:shd w:val="clear" w:color="auto" w:fill="D9D9D9" w:themeFill="background1" w:themeFillShade="D9"/>
            <w:noWrap/>
            <w:hideMark/>
          </w:tcPr>
          <w:p w14:paraId="76AAB935" w14:textId="77777777" w:rsidR="008065A8" w:rsidRPr="00B421E0" w:rsidRDefault="008065A8" w:rsidP="00AF5C32">
            <w:pPr>
              <w:jc w:val="center"/>
              <w:rPr>
                <w:rFonts w:ascii="Calibri" w:eastAsia="Times New Roman" w:hAnsi="Calibri" w:cs="Calibri"/>
                <w:b/>
                <w:bCs/>
                <w:color w:val="000000"/>
              </w:rPr>
            </w:pPr>
            <w:r w:rsidRPr="00B421E0">
              <w:rPr>
                <w:rFonts w:ascii="Calibri" w:eastAsia="Times New Roman" w:hAnsi="Calibri" w:cs="Calibri"/>
                <w:b/>
                <w:bCs/>
                <w:color w:val="000000"/>
              </w:rPr>
              <w:t>-0,0531</w:t>
            </w:r>
          </w:p>
        </w:tc>
        <w:tc>
          <w:tcPr>
            <w:tcW w:w="1419" w:type="dxa"/>
            <w:shd w:val="clear" w:color="auto" w:fill="D9D9D9" w:themeFill="background1" w:themeFillShade="D9"/>
            <w:noWrap/>
            <w:hideMark/>
          </w:tcPr>
          <w:p w14:paraId="0E9012D4" w14:textId="77777777" w:rsidR="008065A8" w:rsidRPr="00B421E0" w:rsidRDefault="008065A8" w:rsidP="00AF5C32">
            <w:pPr>
              <w:jc w:val="center"/>
              <w:rPr>
                <w:rFonts w:ascii="Calibri" w:eastAsia="Times New Roman" w:hAnsi="Calibri" w:cs="Calibri"/>
                <w:b/>
                <w:bCs/>
                <w:color w:val="000000"/>
              </w:rPr>
            </w:pPr>
            <w:r w:rsidRPr="00B421E0">
              <w:rPr>
                <w:rFonts w:ascii="Calibri" w:eastAsia="Times New Roman" w:hAnsi="Calibri" w:cs="Calibri"/>
                <w:b/>
                <w:bCs/>
                <w:color w:val="000000"/>
              </w:rPr>
              <w:t>0,0882</w:t>
            </w:r>
          </w:p>
        </w:tc>
        <w:tc>
          <w:tcPr>
            <w:tcW w:w="1419" w:type="dxa"/>
            <w:shd w:val="clear" w:color="auto" w:fill="D9D9D9" w:themeFill="background1" w:themeFillShade="D9"/>
            <w:noWrap/>
            <w:hideMark/>
          </w:tcPr>
          <w:p w14:paraId="482F0A22" w14:textId="77777777" w:rsidR="008065A8" w:rsidRPr="00B421E0" w:rsidRDefault="008065A8" w:rsidP="00AF5C32">
            <w:pPr>
              <w:jc w:val="center"/>
              <w:rPr>
                <w:rFonts w:ascii="Calibri" w:eastAsia="Times New Roman" w:hAnsi="Calibri" w:cs="Calibri"/>
                <w:b/>
                <w:bCs/>
                <w:color w:val="000000"/>
              </w:rPr>
            </w:pPr>
            <w:r w:rsidRPr="00B421E0">
              <w:rPr>
                <w:rFonts w:ascii="Calibri" w:eastAsia="Times New Roman" w:hAnsi="Calibri" w:cs="Calibri"/>
                <w:b/>
                <w:bCs/>
                <w:color w:val="000000"/>
              </w:rPr>
              <w:t>0,112</w:t>
            </w:r>
          </w:p>
        </w:tc>
      </w:tr>
      <w:bookmarkEnd w:id="0"/>
    </w:tbl>
    <w:p w14:paraId="768CEE56" w14:textId="22B3E729" w:rsidR="00A45E4D" w:rsidRDefault="00A45E4D" w:rsidP="00A45E4D">
      <w:pPr>
        <w:spacing w:line="360" w:lineRule="auto"/>
        <w:jc w:val="both"/>
        <w:rPr>
          <w:rFonts w:ascii="Times New Roman" w:hAnsi="Times New Roman" w:cs="Times New Roman"/>
          <w:highlight w:val="yellow"/>
          <w:lang w:val="pt-BR"/>
        </w:rPr>
      </w:pPr>
    </w:p>
    <w:p w14:paraId="6AB7D341" w14:textId="77777777" w:rsidR="005D4C8E" w:rsidRPr="0004091D" w:rsidRDefault="005D4C8E" w:rsidP="00A45E4D">
      <w:pPr>
        <w:spacing w:line="360" w:lineRule="auto"/>
        <w:jc w:val="both"/>
        <w:rPr>
          <w:rFonts w:ascii="Times New Roman" w:hAnsi="Times New Roman" w:cs="Times New Roman"/>
          <w:highlight w:val="yellow"/>
          <w:lang w:val="pt-BR"/>
        </w:rPr>
      </w:pPr>
    </w:p>
    <w:p w14:paraId="3A8D688E" w14:textId="3273FFB6" w:rsidR="003F31DC" w:rsidRDefault="00021963" w:rsidP="00B775C5">
      <w:pPr>
        <w:pStyle w:val="PargrafodaLista"/>
        <w:numPr>
          <w:ilvl w:val="0"/>
          <w:numId w:val="12"/>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Fluxos de Caixa</w:t>
      </w:r>
    </w:p>
    <w:p w14:paraId="393F79F8" w14:textId="77777777" w:rsidR="00F909E8" w:rsidRDefault="00021963" w:rsidP="00F909E8">
      <w:pPr>
        <w:spacing w:after="0" w:line="360" w:lineRule="auto"/>
        <w:ind w:firstLine="360"/>
        <w:jc w:val="both"/>
        <w:rPr>
          <w:rFonts w:ascii="Times New Roman" w:eastAsia="Times New Roman" w:hAnsi="Times New Roman" w:cs="Times New Roman"/>
          <w:color w:val="000000"/>
          <w:lang w:val="pt-BR"/>
        </w:rPr>
      </w:pPr>
      <w:r w:rsidRPr="00C20EBC">
        <w:rPr>
          <w:rFonts w:ascii="Times New Roman" w:eastAsia="Times New Roman" w:hAnsi="Times New Roman" w:cs="Times New Roman"/>
          <w:color w:val="000000"/>
          <w:lang w:val="pt-BR"/>
        </w:rPr>
        <w:t xml:space="preserve">Como é possível observar na </w:t>
      </w:r>
      <w:r w:rsidRPr="00C20EBC">
        <w:rPr>
          <w:rFonts w:ascii="Times New Roman" w:eastAsia="Times New Roman" w:hAnsi="Times New Roman" w:cs="Times New Roman"/>
          <w:color w:val="000000"/>
          <w:highlight w:val="green"/>
          <w:lang w:val="pt-BR"/>
        </w:rPr>
        <w:t>Tabela</w:t>
      </w:r>
      <w:r w:rsidR="00B5569D" w:rsidRPr="00C20EBC">
        <w:rPr>
          <w:rFonts w:ascii="Times New Roman" w:eastAsia="Times New Roman" w:hAnsi="Times New Roman" w:cs="Times New Roman"/>
          <w:color w:val="000000"/>
          <w:highlight w:val="green"/>
          <w:lang w:val="pt-BR"/>
        </w:rPr>
        <w:t xml:space="preserve"> 3</w:t>
      </w:r>
      <w:r w:rsidRPr="00C20EBC">
        <w:rPr>
          <w:rFonts w:ascii="Times New Roman" w:eastAsia="Times New Roman" w:hAnsi="Times New Roman" w:cs="Times New Roman"/>
          <w:color w:val="000000"/>
          <w:lang w:val="pt-BR"/>
        </w:rPr>
        <w:t xml:space="preserve"> o Fluxo de Caixa dos Ativos da MRV cresceu pouco mais de </w:t>
      </w:r>
      <w:r w:rsidR="00800D88" w:rsidRPr="00C20EBC">
        <w:rPr>
          <w:rFonts w:ascii="Times New Roman" w:eastAsia="Times New Roman" w:hAnsi="Times New Roman" w:cs="Times New Roman"/>
          <w:color w:val="000000"/>
          <w:lang w:val="pt-BR"/>
        </w:rPr>
        <w:t>16</w:t>
      </w:r>
      <w:r w:rsidRPr="00C20EBC">
        <w:rPr>
          <w:rFonts w:ascii="Times New Roman" w:eastAsia="Times New Roman" w:hAnsi="Times New Roman" w:cs="Times New Roman"/>
          <w:color w:val="000000"/>
          <w:lang w:val="pt-BR"/>
        </w:rPr>
        <w:t xml:space="preserve">% entre 2019 e 2020. </w:t>
      </w:r>
      <w:r w:rsidRPr="00B775C5">
        <w:rPr>
          <w:rFonts w:ascii="Times New Roman" w:eastAsia="Times New Roman" w:hAnsi="Times New Roman" w:cs="Times New Roman"/>
          <w:color w:val="000000"/>
          <w:lang w:val="pt-BR"/>
        </w:rPr>
        <w:t>Esse movimento pode ser explicado pela queda no CCL</w:t>
      </w:r>
      <w:r w:rsidR="00800D88" w:rsidRPr="00B775C5">
        <w:rPr>
          <w:rFonts w:ascii="Times New Roman" w:eastAsia="Times New Roman" w:hAnsi="Times New Roman" w:cs="Times New Roman"/>
          <w:color w:val="000000"/>
          <w:lang w:val="pt-BR"/>
        </w:rPr>
        <w:t xml:space="preserve"> e no CAPEX</w:t>
      </w:r>
      <w:r w:rsidR="00302701" w:rsidRPr="00B775C5">
        <w:rPr>
          <w:rFonts w:ascii="Times New Roman" w:eastAsia="Times New Roman" w:hAnsi="Times New Roman" w:cs="Times New Roman"/>
          <w:color w:val="000000"/>
          <w:lang w:val="pt-BR"/>
        </w:rPr>
        <w:t>, apesar da queda no FCO</w:t>
      </w:r>
      <w:r w:rsidR="00800D88" w:rsidRPr="00B775C5">
        <w:rPr>
          <w:rFonts w:ascii="Times New Roman" w:eastAsia="Times New Roman" w:hAnsi="Times New Roman" w:cs="Times New Roman"/>
          <w:color w:val="000000"/>
          <w:lang w:val="pt-BR"/>
        </w:rPr>
        <w:t xml:space="preserve">, que acabou sendo menos impactante. </w:t>
      </w:r>
      <w:r w:rsidR="00C2282B" w:rsidRPr="00B775C5">
        <w:rPr>
          <w:rFonts w:ascii="Times New Roman" w:eastAsia="Times New Roman" w:hAnsi="Times New Roman" w:cs="Times New Roman"/>
          <w:color w:val="000000"/>
          <w:lang w:val="pt-BR"/>
        </w:rPr>
        <w:t xml:space="preserve">Ou seja, a MRV obteve um FC(A) maior porque gastou menos com ativos Imobilizados e Intangíveis, além de ter apresentado uma liquidez corrente menor do que em 2019. </w:t>
      </w:r>
      <w:r w:rsidR="00800D88" w:rsidRPr="00F909E8">
        <w:rPr>
          <w:rFonts w:ascii="Times New Roman" w:eastAsia="Times New Roman" w:hAnsi="Times New Roman" w:cs="Times New Roman"/>
          <w:color w:val="000000"/>
          <w:lang w:val="pt-BR"/>
        </w:rPr>
        <w:t xml:space="preserve">Já a </w:t>
      </w:r>
      <w:proofErr w:type="spellStart"/>
      <w:r w:rsidR="00800D88" w:rsidRPr="00F909E8">
        <w:rPr>
          <w:rFonts w:ascii="Times New Roman" w:eastAsia="Times New Roman" w:hAnsi="Times New Roman" w:cs="Times New Roman"/>
          <w:color w:val="000000"/>
          <w:lang w:val="pt-BR"/>
        </w:rPr>
        <w:t>a</w:t>
      </w:r>
      <w:proofErr w:type="spellEnd"/>
      <w:r w:rsidR="00800D88" w:rsidRPr="00F909E8">
        <w:rPr>
          <w:rFonts w:ascii="Times New Roman" w:eastAsia="Times New Roman" w:hAnsi="Times New Roman" w:cs="Times New Roman"/>
          <w:color w:val="000000"/>
          <w:lang w:val="pt-BR"/>
        </w:rPr>
        <w:t xml:space="preserve"> queda do FCO tem relação com a queda no lucro líquido, que acabou derrubando também a margem líquida</w:t>
      </w:r>
      <w:r w:rsidR="00F909E8" w:rsidRPr="00F909E8">
        <w:rPr>
          <w:rFonts w:ascii="Times New Roman" w:eastAsia="Times New Roman" w:hAnsi="Times New Roman" w:cs="Times New Roman"/>
          <w:color w:val="000000"/>
          <w:lang w:val="pt-BR"/>
        </w:rPr>
        <w:t>.</w:t>
      </w:r>
    </w:p>
    <w:p w14:paraId="7FC1F171" w14:textId="77777777" w:rsidR="00F909E8" w:rsidRDefault="00F909E8" w:rsidP="00F909E8">
      <w:pPr>
        <w:spacing w:after="0" w:line="360" w:lineRule="auto"/>
        <w:ind w:firstLine="360"/>
        <w:jc w:val="both"/>
        <w:rPr>
          <w:rFonts w:ascii="Times New Roman" w:eastAsia="Times New Roman" w:hAnsi="Times New Roman" w:cs="Times New Roman"/>
          <w:color w:val="000000"/>
          <w:lang w:val="pt-BR"/>
        </w:rPr>
      </w:pPr>
    </w:p>
    <w:p w14:paraId="3A3EB066" w14:textId="77777777" w:rsidR="00F909E8" w:rsidRPr="00B5569D" w:rsidRDefault="00F909E8" w:rsidP="00F909E8">
      <w:pPr>
        <w:pStyle w:val="Legenda"/>
        <w:keepNext/>
        <w:jc w:val="center"/>
        <w:rPr>
          <w:lang w:val="pt-BR"/>
        </w:rPr>
      </w:pPr>
      <w:r w:rsidRPr="00B220DD">
        <w:rPr>
          <w:lang w:val="pt-BR"/>
        </w:rPr>
        <w:t xml:space="preserve">Tabela </w:t>
      </w:r>
      <w:r>
        <w:rPr>
          <w:lang w:val="pt-BR"/>
        </w:rPr>
        <w:t>3</w:t>
      </w:r>
      <w:r w:rsidRPr="00B220DD">
        <w:rPr>
          <w:lang w:val="pt-BR"/>
        </w:rPr>
        <w:t xml:space="preserve">: </w:t>
      </w:r>
      <w:r w:rsidRPr="00C33114">
        <w:rPr>
          <w:rFonts w:ascii="Times New Roman" w:hAnsi="Times New Roman" w:cs="Times New Roman"/>
          <w:lang w:val="pt-BR"/>
        </w:rPr>
        <w:t xml:space="preserve">evolução dos componentes do </w:t>
      </w:r>
      <w:r>
        <w:rPr>
          <w:rFonts w:ascii="Times New Roman" w:hAnsi="Times New Roman" w:cs="Times New Roman"/>
          <w:lang w:val="pt-BR"/>
        </w:rPr>
        <w:t>Fluxo de Caixa dos Ativos da MRV</w:t>
      </w:r>
    </w:p>
    <w:tbl>
      <w:tblPr>
        <w:tblStyle w:val="Tabelacomgrade"/>
        <w:tblW w:w="8485" w:type="dxa"/>
        <w:tblLook w:val="04A0" w:firstRow="1" w:lastRow="0" w:firstColumn="1" w:lastColumn="0" w:noHBand="0" w:noVBand="1"/>
      </w:tblPr>
      <w:tblGrid>
        <w:gridCol w:w="4221"/>
        <w:gridCol w:w="2132"/>
        <w:gridCol w:w="2132"/>
      </w:tblGrid>
      <w:tr w:rsidR="00F909E8" w:rsidRPr="008065A8" w14:paraId="531EBD39" w14:textId="77777777" w:rsidTr="00E14640">
        <w:trPr>
          <w:trHeight w:val="304"/>
        </w:trPr>
        <w:tc>
          <w:tcPr>
            <w:tcW w:w="2809" w:type="dxa"/>
            <w:shd w:val="clear" w:color="auto" w:fill="44546A" w:themeFill="text2"/>
            <w:noWrap/>
            <w:hideMark/>
          </w:tcPr>
          <w:p w14:paraId="12021705" w14:textId="77777777" w:rsidR="00F909E8" w:rsidRPr="00B421E0" w:rsidRDefault="00F909E8" w:rsidP="00E14640">
            <w:pPr>
              <w:jc w:val="center"/>
              <w:rPr>
                <w:rFonts w:ascii="Calibri" w:eastAsia="Times New Roman" w:hAnsi="Calibri" w:cs="Calibri"/>
                <w:b/>
                <w:bCs/>
                <w:color w:val="FFFFFF" w:themeColor="background1"/>
                <w:sz w:val="24"/>
                <w:szCs w:val="24"/>
                <w:lang w:val="pt-BR"/>
              </w:rPr>
            </w:pPr>
            <w:r>
              <w:rPr>
                <w:rFonts w:ascii="Calibri" w:eastAsia="Times New Roman" w:hAnsi="Calibri" w:cs="Calibri"/>
                <w:b/>
                <w:bCs/>
                <w:color w:val="FFFFFF" w:themeColor="background1"/>
                <w:sz w:val="24"/>
                <w:szCs w:val="24"/>
                <w:lang w:val="pt-BR"/>
              </w:rPr>
              <w:t>MRV</w:t>
            </w:r>
          </w:p>
        </w:tc>
        <w:tc>
          <w:tcPr>
            <w:tcW w:w="1419" w:type="dxa"/>
            <w:shd w:val="clear" w:color="auto" w:fill="44546A" w:themeFill="text2"/>
            <w:noWrap/>
            <w:hideMark/>
          </w:tcPr>
          <w:p w14:paraId="7539C5BF" w14:textId="77777777" w:rsidR="00F909E8" w:rsidRPr="00B421E0" w:rsidRDefault="00F909E8" w:rsidP="00E14640">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2019</w:t>
            </w:r>
          </w:p>
        </w:tc>
        <w:tc>
          <w:tcPr>
            <w:tcW w:w="1419" w:type="dxa"/>
            <w:shd w:val="clear" w:color="auto" w:fill="44546A" w:themeFill="text2"/>
            <w:noWrap/>
            <w:hideMark/>
          </w:tcPr>
          <w:p w14:paraId="446433A9" w14:textId="77777777" w:rsidR="00F909E8" w:rsidRPr="00B421E0" w:rsidRDefault="00F909E8" w:rsidP="00E14640">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2020</w:t>
            </w:r>
          </w:p>
        </w:tc>
      </w:tr>
      <w:tr w:rsidR="00F909E8" w:rsidRPr="008065A8" w14:paraId="37CE8BF6" w14:textId="77777777" w:rsidTr="00E14640">
        <w:trPr>
          <w:trHeight w:val="304"/>
        </w:trPr>
        <w:tc>
          <w:tcPr>
            <w:tcW w:w="2809" w:type="dxa"/>
            <w:noWrap/>
            <w:hideMark/>
          </w:tcPr>
          <w:p w14:paraId="5D4E23F3" w14:textId="77777777" w:rsidR="00F909E8" w:rsidRPr="008065A8" w:rsidRDefault="00F909E8" w:rsidP="00E14640">
            <w:pPr>
              <w:jc w:val="center"/>
              <w:rPr>
                <w:rFonts w:ascii="Calibri" w:eastAsia="Times New Roman" w:hAnsi="Calibri" w:cs="Calibri"/>
                <w:b/>
                <w:bCs/>
              </w:rPr>
            </w:pPr>
            <w:r>
              <w:rPr>
                <w:rFonts w:ascii="Calibri" w:eastAsia="Times New Roman" w:hAnsi="Calibri" w:cs="Calibri"/>
                <w:b/>
                <w:bCs/>
              </w:rPr>
              <w:t>FCO</w:t>
            </w:r>
          </w:p>
        </w:tc>
        <w:tc>
          <w:tcPr>
            <w:tcW w:w="1419" w:type="dxa"/>
            <w:noWrap/>
            <w:hideMark/>
          </w:tcPr>
          <w:p w14:paraId="19C5FEDE"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697795</w:t>
            </w:r>
          </w:p>
        </w:tc>
        <w:tc>
          <w:tcPr>
            <w:tcW w:w="1419" w:type="dxa"/>
            <w:noWrap/>
            <w:hideMark/>
          </w:tcPr>
          <w:p w14:paraId="5BCF391A"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683711</w:t>
            </w:r>
          </w:p>
        </w:tc>
      </w:tr>
      <w:tr w:rsidR="00F909E8" w:rsidRPr="008065A8" w14:paraId="74D475E5" w14:textId="77777777" w:rsidTr="00E14640">
        <w:trPr>
          <w:trHeight w:val="304"/>
        </w:trPr>
        <w:tc>
          <w:tcPr>
            <w:tcW w:w="2809" w:type="dxa"/>
            <w:noWrap/>
            <w:hideMark/>
          </w:tcPr>
          <w:p w14:paraId="09DC3D54" w14:textId="77777777" w:rsidR="00F909E8" w:rsidRPr="008065A8" w:rsidRDefault="00F909E8" w:rsidP="00E14640">
            <w:pPr>
              <w:jc w:val="center"/>
              <w:rPr>
                <w:rFonts w:ascii="Calibri" w:eastAsia="Times New Roman" w:hAnsi="Calibri" w:cs="Calibri"/>
                <w:b/>
                <w:bCs/>
              </w:rPr>
            </w:pPr>
            <w:r>
              <w:rPr>
                <w:rFonts w:ascii="Calibri" w:eastAsia="Times New Roman" w:hAnsi="Calibri" w:cs="Calibri"/>
                <w:b/>
                <w:bCs/>
              </w:rPr>
              <w:t>CAPEX</w:t>
            </w:r>
          </w:p>
        </w:tc>
        <w:tc>
          <w:tcPr>
            <w:tcW w:w="1419" w:type="dxa"/>
            <w:noWrap/>
            <w:hideMark/>
          </w:tcPr>
          <w:p w14:paraId="612974A3"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208735</w:t>
            </w:r>
          </w:p>
        </w:tc>
        <w:tc>
          <w:tcPr>
            <w:tcW w:w="1419" w:type="dxa"/>
            <w:noWrap/>
            <w:hideMark/>
          </w:tcPr>
          <w:p w14:paraId="0E6C891A"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179957</w:t>
            </w:r>
          </w:p>
        </w:tc>
      </w:tr>
      <w:tr w:rsidR="00F909E8" w:rsidRPr="008065A8" w14:paraId="6C98FA3A" w14:textId="77777777" w:rsidTr="00E14640">
        <w:trPr>
          <w:trHeight w:val="304"/>
        </w:trPr>
        <w:tc>
          <w:tcPr>
            <w:tcW w:w="2809" w:type="dxa"/>
            <w:noWrap/>
            <w:hideMark/>
          </w:tcPr>
          <w:p w14:paraId="15BBCF06" w14:textId="77777777" w:rsidR="00F909E8" w:rsidRPr="008065A8" w:rsidRDefault="00F909E8" w:rsidP="00E14640">
            <w:pPr>
              <w:jc w:val="center"/>
              <w:rPr>
                <w:rFonts w:ascii="Calibri" w:eastAsia="Times New Roman" w:hAnsi="Calibri" w:cs="Calibri"/>
                <w:b/>
                <w:bCs/>
              </w:rPr>
            </w:pPr>
            <w:proofErr w:type="spellStart"/>
            <w:r>
              <w:rPr>
                <w:rFonts w:ascii="Calibri" w:eastAsia="Times New Roman" w:hAnsi="Calibri" w:cs="Calibri"/>
                <w:b/>
                <w:bCs/>
              </w:rPr>
              <w:t>Variação</w:t>
            </w:r>
            <w:proofErr w:type="spellEnd"/>
            <w:r>
              <w:rPr>
                <w:rFonts w:ascii="Calibri" w:eastAsia="Times New Roman" w:hAnsi="Calibri" w:cs="Calibri"/>
                <w:b/>
                <w:bCs/>
              </w:rPr>
              <w:t xml:space="preserve"> do CCL</w:t>
            </w:r>
          </w:p>
        </w:tc>
        <w:tc>
          <w:tcPr>
            <w:tcW w:w="1419" w:type="dxa"/>
            <w:noWrap/>
            <w:hideMark/>
          </w:tcPr>
          <w:p w14:paraId="6101E455"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31119</w:t>
            </w:r>
          </w:p>
        </w:tc>
        <w:tc>
          <w:tcPr>
            <w:tcW w:w="1419" w:type="dxa"/>
            <w:noWrap/>
            <w:hideMark/>
          </w:tcPr>
          <w:p w14:paraId="20A171D7" w14:textId="77777777" w:rsidR="00F909E8" w:rsidRPr="008065A8" w:rsidRDefault="00F909E8" w:rsidP="00E14640">
            <w:pPr>
              <w:jc w:val="center"/>
              <w:rPr>
                <w:rFonts w:ascii="Calibri" w:eastAsia="Times New Roman" w:hAnsi="Calibri" w:cs="Calibri"/>
                <w:color w:val="000000"/>
              </w:rPr>
            </w:pPr>
            <w:r w:rsidRPr="00B5569D">
              <w:rPr>
                <w:rFonts w:ascii="Calibri" w:eastAsia="Times New Roman" w:hAnsi="Calibri" w:cs="Calibri"/>
                <w:color w:val="000000"/>
              </w:rPr>
              <w:t>-30846</w:t>
            </w:r>
          </w:p>
        </w:tc>
      </w:tr>
      <w:tr w:rsidR="00F909E8" w:rsidRPr="008065A8" w14:paraId="3C2DB576" w14:textId="77777777" w:rsidTr="00E14640">
        <w:trPr>
          <w:trHeight w:val="304"/>
        </w:trPr>
        <w:tc>
          <w:tcPr>
            <w:tcW w:w="2809" w:type="dxa"/>
            <w:shd w:val="clear" w:color="auto" w:fill="D9D9D9" w:themeFill="background1" w:themeFillShade="D9"/>
            <w:noWrap/>
            <w:hideMark/>
          </w:tcPr>
          <w:p w14:paraId="43C47AF5" w14:textId="77777777" w:rsidR="00F909E8" w:rsidRPr="00B421E0" w:rsidRDefault="00F909E8" w:rsidP="00E14640">
            <w:pPr>
              <w:jc w:val="center"/>
              <w:rPr>
                <w:rFonts w:ascii="Calibri" w:eastAsia="Times New Roman" w:hAnsi="Calibri" w:cs="Calibri"/>
                <w:b/>
                <w:bCs/>
                <w:lang w:val="pt-BR"/>
              </w:rPr>
            </w:pPr>
            <w:r w:rsidRPr="00B421E0">
              <w:rPr>
                <w:rFonts w:ascii="Calibri" w:eastAsia="Times New Roman" w:hAnsi="Calibri" w:cs="Calibri"/>
                <w:b/>
                <w:bCs/>
                <w:lang w:val="pt-BR"/>
              </w:rPr>
              <w:t>Fluxo de Caixa dos A</w:t>
            </w:r>
            <w:r>
              <w:rPr>
                <w:rFonts w:ascii="Calibri" w:eastAsia="Times New Roman" w:hAnsi="Calibri" w:cs="Calibri"/>
                <w:b/>
                <w:bCs/>
                <w:lang w:val="pt-BR"/>
              </w:rPr>
              <w:t>tivos</w:t>
            </w:r>
          </w:p>
        </w:tc>
        <w:tc>
          <w:tcPr>
            <w:tcW w:w="1419" w:type="dxa"/>
            <w:shd w:val="clear" w:color="auto" w:fill="D9D9D9" w:themeFill="background1" w:themeFillShade="D9"/>
            <w:noWrap/>
            <w:hideMark/>
          </w:tcPr>
          <w:p w14:paraId="63ADD474" w14:textId="77777777" w:rsidR="00F909E8" w:rsidRPr="00B421E0" w:rsidRDefault="00F909E8" w:rsidP="00E14640">
            <w:pPr>
              <w:jc w:val="center"/>
              <w:rPr>
                <w:rFonts w:ascii="Calibri" w:eastAsia="Times New Roman" w:hAnsi="Calibri" w:cs="Calibri"/>
                <w:b/>
                <w:bCs/>
                <w:color w:val="000000"/>
              </w:rPr>
            </w:pPr>
            <w:r w:rsidRPr="00B5569D">
              <w:rPr>
                <w:rFonts w:ascii="Calibri" w:eastAsia="Times New Roman" w:hAnsi="Calibri" w:cs="Calibri"/>
                <w:b/>
                <w:bCs/>
                <w:color w:val="000000"/>
              </w:rPr>
              <w:t>457941</w:t>
            </w:r>
          </w:p>
        </w:tc>
        <w:tc>
          <w:tcPr>
            <w:tcW w:w="1419" w:type="dxa"/>
            <w:shd w:val="clear" w:color="auto" w:fill="D9D9D9" w:themeFill="background1" w:themeFillShade="D9"/>
            <w:noWrap/>
            <w:hideMark/>
          </w:tcPr>
          <w:p w14:paraId="1EBC62F9" w14:textId="77777777" w:rsidR="00F909E8" w:rsidRPr="00B421E0" w:rsidRDefault="00F909E8" w:rsidP="00E14640">
            <w:pPr>
              <w:jc w:val="center"/>
              <w:rPr>
                <w:rFonts w:ascii="Calibri" w:eastAsia="Times New Roman" w:hAnsi="Calibri" w:cs="Calibri"/>
                <w:b/>
                <w:bCs/>
                <w:color w:val="000000"/>
              </w:rPr>
            </w:pPr>
            <w:r w:rsidRPr="00B5569D">
              <w:rPr>
                <w:rFonts w:ascii="Calibri" w:eastAsia="Times New Roman" w:hAnsi="Calibri" w:cs="Calibri"/>
                <w:b/>
                <w:bCs/>
                <w:color w:val="000000"/>
              </w:rPr>
              <w:t>534600</w:t>
            </w:r>
          </w:p>
        </w:tc>
      </w:tr>
    </w:tbl>
    <w:p w14:paraId="17ADFDEA" w14:textId="5A675DAA" w:rsidR="0022643C" w:rsidRPr="00C20EBC" w:rsidRDefault="0022643C" w:rsidP="00C20EBC">
      <w:pPr>
        <w:spacing w:after="0" w:line="360" w:lineRule="auto"/>
        <w:jc w:val="both"/>
        <w:rPr>
          <w:rFonts w:ascii="Times New Roman" w:eastAsia="Times New Roman" w:hAnsi="Times New Roman" w:cs="Times New Roman"/>
          <w:color w:val="000000"/>
        </w:rPr>
      </w:pPr>
    </w:p>
    <w:p w14:paraId="73D65F98" w14:textId="056582ED" w:rsidR="0022643C" w:rsidRDefault="00F909E8" w:rsidP="00F909E8">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t xml:space="preserve">Já em relação aos Fluxos de Caixa dos Credores e dos Acionistas, pode-se concluir ao observar a Tabela </w:t>
      </w:r>
      <w:r w:rsidR="005D4C8E">
        <w:rPr>
          <w:rFonts w:ascii="Times New Roman" w:eastAsia="Times New Roman" w:hAnsi="Times New Roman" w:cs="Times New Roman"/>
          <w:color w:val="000000"/>
          <w:lang w:val="pt-BR"/>
        </w:rPr>
        <w:t>4</w:t>
      </w:r>
      <w:r>
        <w:rPr>
          <w:rFonts w:ascii="Times New Roman" w:eastAsia="Times New Roman" w:hAnsi="Times New Roman" w:cs="Times New Roman"/>
          <w:color w:val="000000"/>
          <w:lang w:val="pt-BR"/>
        </w:rPr>
        <w:t xml:space="preserve"> </w:t>
      </w:r>
      <w:r w:rsidR="008C73A7">
        <w:rPr>
          <w:rFonts w:ascii="Times New Roman" w:eastAsia="Times New Roman" w:hAnsi="Times New Roman" w:cs="Times New Roman"/>
          <w:color w:val="000000"/>
          <w:lang w:val="pt-BR"/>
        </w:rPr>
        <w:t>que a MRV contraiu muita dívida com credores. Isso é evidenciado pelo crescimento de pouco mais de 42% do Passivo Financeiro se comparado a 2019. Já em relação aos Acionistas, há uma queda em seu fluxo de caixa pois o lucro líquido caiu e, além disso, houve um menor Índice de Payout.</w:t>
      </w:r>
    </w:p>
    <w:p w14:paraId="66036BA0" w14:textId="77777777" w:rsidR="008C73A7" w:rsidRDefault="008C73A7" w:rsidP="00F909E8">
      <w:pPr>
        <w:spacing w:after="0" w:line="360" w:lineRule="auto"/>
        <w:ind w:firstLine="360"/>
        <w:jc w:val="both"/>
        <w:rPr>
          <w:rFonts w:ascii="Times New Roman" w:eastAsia="Times New Roman" w:hAnsi="Times New Roman" w:cs="Times New Roman"/>
          <w:color w:val="000000"/>
          <w:lang w:val="pt-BR"/>
        </w:rPr>
      </w:pPr>
    </w:p>
    <w:p w14:paraId="0D86DE47" w14:textId="64DFC917" w:rsidR="00F909E8" w:rsidRPr="00F909E8" w:rsidRDefault="00F909E8" w:rsidP="00F909E8">
      <w:pPr>
        <w:pStyle w:val="Legenda"/>
        <w:keepNext/>
        <w:jc w:val="center"/>
        <w:rPr>
          <w:lang w:val="pt-BR"/>
        </w:rPr>
      </w:pPr>
      <w:r w:rsidRPr="00B220DD">
        <w:rPr>
          <w:lang w:val="pt-BR"/>
        </w:rPr>
        <w:t xml:space="preserve">Tabela </w:t>
      </w:r>
      <w:r w:rsidR="00C20EBC">
        <w:rPr>
          <w:lang w:val="pt-BR"/>
        </w:rPr>
        <w:t>4</w:t>
      </w:r>
      <w:r w:rsidRPr="00B220DD">
        <w:rPr>
          <w:lang w:val="pt-BR"/>
        </w:rPr>
        <w:t xml:space="preserve">: </w:t>
      </w:r>
      <w:r w:rsidRPr="00C33114">
        <w:rPr>
          <w:rFonts w:ascii="Times New Roman" w:hAnsi="Times New Roman" w:cs="Times New Roman"/>
          <w:lang w:val="pt-BR"/>
        </w:rPr>
        <w:t>evolução dos componentes do</w:t>
      </w:r>
      <w:r>
        <w:rPr>
          <w:rFonts w:ascii="Times New Roman" w:hAnsi="Times New Roman" w:cs="Times New Roman"/>
          <w:lang w:val="pt-BR"/>
        </w:rPr>
        <w:t>s</w:t>
      </w:r>
      <w:r w:rsidRPr="00C33114">
        <w:rPr>
          <w:rFonts w:ascii="Times New Roman" w:hAnsi="Times New Roman" w:cs="Times New Roman"/>
          <w:lang w:val="pt-BR"/>
        </w:rPr>
        <w:t xml:space="preserve"> </w:t>
      </w:r>
      <w:r>
        <w:rPr>
          <w:rFonts w:ascii="Times New Roman" w:hAnsi="Times New Roman" w:cs="Times New Roman"/>
          <w:lang w:val="pt-BR"/>
        </w:rPr>
        <w:t>Fluxos de Caixa da MRV</w:t>
      </w:r>
    </w:p>
    <w:tbl>
      <w:tblPr>
        <w:tblStyle w:val="Tabelacomgrade"/>
        <w:tblW w:w="8485" w:type="dxa"/>
        <w:tblLook w:val="04A0" w:firstRow="1" w:lastRow="0" w:firstColumn="1" w:lastColumn="0" w:noHBand="0" w:noVBand="1"/>
      </w:tblPr>
      <w:tblGrid>
        <w:gridCol w:w="4221"/>
        <w:gridCol w:w="2132"/>
        <w:gridCol w:w="2132"/>
      </w:tblGrid>
      <w:tr w:rsidR="0022643C" w:rsidRPr="00B421E0" w14:paraId="6AC65551" w14:textId="77777777" w:rsidTr="00E14640">
        <w:trPr>
          <w:trHeight w:val="304"/>
        </w:trPr>
        <w:tc>
          <w:tcPr>
            <w:tcW w:w="4221" w:type="dxa"/>
            <w:shd w:val="clear" w:color="auto" w:fill="44546A" w:themeFill="text2"/>
            <w:noWrap/>
            <w:hideMark/>
          </w:tcPr>
          <w:p w14:paraId="3DFA4A1A" w14:textId="4D76E5E3" w:rsidR="0022643C" w:rsidRPr="00B421E0" w:rsidRDefault="0022643C" w:rsidP="00E14640">
            <w:pPr>
              <w:jc w:val="center"/>
              <w:rPr>
                <w:rFonts w:ascii="Calibri" w:eastAsia="Times New Roman" w:hAnsi="Calibri" w:cs="Calibri"/>
                <w:b/>
                <w:bCs/>
                <w:color w:val="FFFFFF" w:themeColor="background1"/>
                <w:sz w:val="24"/>
                <w:szCs w:val="24"/>
                <w:lang w:val="pt-BR"/>
              </w:rPr>
            </w:pPr>
            <w:r>
              <w:rPr>
                <w:rFonts w:ascii="Calibri" w:eastAsia="Times New Roman" w:hAnsi="Calibri" w:cs="Calibri"/>
                <w:b/>
                <w:bCs/>
                <w:color w:val="FFFFFF" w:themeColor="background1"/>
                <w:sz w:val="24"/>
                <w:szCs w:val="24"/>
                <w:lang w:val="pt-BR"/>
              </w:rPr>
              <w:t>MRV</w:t>
            </w:r>
          </w:p>
        </w:tc>
        <w:tc>
          <w:tcPr>
            <w:tcW w:w="2132" w:type="dxa"/>
            <w:shd w:val="clear" w:color="auto" w:fill="44546A" w:themeFill="text2"/>
            <w:noWrap/>
            <w:hideMark/>
          </w:tcPr>
          <w:p w14:paraId="45F9AB79" w14:textId="77777777" w:rsidR="0022643C" w:rsidRPr="00B421E0" w:rsidRDefault="0022643C" w:rsidP="00E14640">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2019</w:t>
            </w:r>
          </w:p>
        </w:tc>
        <w:tc>
          <w:tcPr>
            <w:tcW w:w="2132" w:type="dxa"/>
            <w:shd w:val="clear" w:color="auto" w:fill="44546A" w:themeFill="text2"/>
            <w:noWrap/>
            <w:hideMark/>
          </w:tcPr>
          <w:p w14:paraId="16342D9B" w14:textId="77777777" w:rsidR="0022643C" w:rsidRPr="00B421E0" w:rsidRDefault="0022643C" w:rsidP="00E14640">
            <w:pPr>
              <w:jc w:val="center"/>
              <w:rPr>
                <w:rFonts w:ascii="Calibri" w:eastAsia="Times New Roman" w:hAnsi="Calibri" w:cs="Calibri"/>
                <w:b/>
                <w:bCs/>
                <w:color w:val="FFFFFF" w:themeColor="background1"/>
              </w:rPr>
            </w:pPr>
            <w:r w:rsidRPr="00B421E0">
              <w:rPr>
                <w:rFonts w:ascii="Calibri" w:eastAsia="Times New Roman" w:hAnsi="Calibri" w:cs="Calibri"/>
                <w:b/>
                <w:bCs/>
                <w:color w:val="FFFFFF" w:themeColor="background1"/>
              </w:rPr>
              <w:t>2020</w:t>
            </w:r>
          </w:p>
        </w:tc>
      </w:tr>
      <w:tr w:rsidR="0022643C" w:rsidRPr="008065A8" w14:paraId="2E322D62" w14:textId="77777777" w:rsidTr="00E14640">
        <w:trPr>
          <w:trHeight w:val="304"/>
        </w:trPr>
        <w:tc>
          <w:tcPr>
            <w:tcW w:w="4221" w:type="dxa"/>
            <w:noWrap/>
            <w:hideMark/>
          </w:tcPr>
          <w:p w14:paraId="55C4059A" w14:textId="77777777" w:rsidR="0022643C" w:rsidRPr="0022643C" w:rsidRDefault="0022643C" w:rsidP="00E14640">
            <w:pPr>
              <w:jc w:val="center"/>
              <w:rPr>
                <w:rFonts w:ascii="Calibri" w:eastAsia="Times New Roman" w:hAnsi="Calibri" w:cs="Calibri"/>
                <w:b/>
                <w:bCs/>
                <w:lang w:val="pt-BR"/>
              </w:rPr>
            </w:pPr>
            <w:r w:rsidRPr="0022643C">
              <w:rPr>
                <w:rFonts w:ascii="Calibri" w:eastAsia="Times New Roman" w:hAnsi="Calibri" w:cs="Calibri"/>
                <w:b/>
                <w:bCs/>
                <w:lang w:val="pt-BR"/>
              </w:rPr>
              <w:t>Fluxo de Caixa dos A</w:t>
            </w:r>
            <w:r>
              <w:rPr>
                <w:rFonts w:ascii="Calibri" w:eastAsia="Times New Roman" w:hAnsi="Calibri" w:cs="Calibri"/>
                <w:b/>
                <w:bCs/>
                <w:lang w:val="pt-BR"/>
              </w:rPr>
              <w:t>tivos</w:t>
            </w:r>
          </w:p>
        </w:tc>
        <w:tc>
          <w:tcPr>
            <w:tcW w:w="2132" w:type="dxa"/>
            <w:noWrap/>
            <w:hideMark/>
          </w:tcPr>
          <w:p w14:paraId="5C17C47A" w14:textId="4A37929C" w:rsidR="0022643C" w:rsidRPr="008065A8" w:rsidRDefault="0022643C" w:rsidP="00E14640">
            <w:pPr>
              <w:jc w:val="center"/>
              <w:rPr>
                <w:rFonts w:ascii="Calibri" w:eastAsia="Times New Roman" w:hAnsi="Calibri" w:cs="Calibri"/>
                <w:color w:val="000000"/>
              </w:rPr>
            </w:pPr>
            <w:r w:rsidRPr="0022643C">
              <w:t>457941</w:t>
            </w:r>
          </w:p>
        </w:tc>
        <w:tc>
          <w:tcPr>
            <w:tcW w:w="2132" w:type="dxa"/>
            <w:noWrap/>
            <w:hideMark/>
          </w:tcPr>
          <w:p w14:paraId="16D96CDE" w14:textId="2E345724" w:rsidR="0022643C" w:rsidRPr="008065A8" w:rsidRDefault="0022643C" w:rsidP="00E14640">
            <w:pPr>
              <w:jc w:val="center"/>
              <w:rPr>
                <w:rFonts w:ascii="Calibri" w:eastAsia="Times New Roman" w:hAnsi="Calibri" w:cs="Calibri"/>
                <w:color w:val="000000"/>
              </w:rPr>
            </w:pPr>
            <w:r w:rsidRPr="0022643C">
              <w:t>534600</w:t>
            </w:r>
          </w:p>
        </w:tc>
      </w:tr>
      <w:tr w:rsidR="0022643C" w:rsidRPr="008065A8" w14:paraId="49BE05C3" w14:textId="77777777" w:rsidTr="00E14640">
        <w:trPr>
          <w:trHeight w:val="304"/>
        </w:trPr>
        <w:tc>
          <w:tcPr>
            <w:tcW w:w="4221" w:type="dxa"/>
            <w:noWrap/>
            <w:hideMark/>
          </w:tcPr>
          <w:p w14:paraId="5603CCEF" w14:textId="77777777" w:rsidR="0022643C" w:rsidRPr="0022643C" w:rsidRDefault="0022643C" w:rsidP="00E14640">
            <w:pPr>
              <w:jc w:val="center"/>
              <w:rPr>
                <w:rFonts w:ascii="Calibri" w:eastAsia="Times New Roman" w:hAnsi="Calibri" w:cs="Calibri"/>
                <w:b/>
                <w:bCs/>
                <w:lang w:val="pt-BR"/>
              </w:rPr>
            </w:pPr>
            <w:r w:rsidRPr="0022643C">
              <w:rPr>
                <w:rFonts w:ascii="Calibri" w:eastAsia="Times New Roman" w:hAnsi="Calibri" w:cs="Calibri"/>
                <w:b/>
                <w:bCs/>
                <w:lang w:val="pt-BR"/>
              </w:rPr>
              <w:t>Fluxo de Caixa dos C</w:t>
            </w:r>
            <w:r>
              <w:rPr>
                <w:rFonts w:ascii="Calibri" w:eastAsia="Times New Roman" w:hAnsi="Calibri" w:cs="Calibri"/>
                <w:b/>
                <w:bCs/>
                <w:lang w:val="pt-BR"/>
              </w:rPr>
              <w:t>redores</w:t>
            </w:r>
          </w:p>
        </w:tc>
        <w:tc>
          <w:tcPr>
            <w:tcW w:w="2132" w:type="dxa"/>
            <w:noWrap/>
            <w:hideMark/>
          </w:tcPr>
          <w:p w14:paraId="6AD9DFD6" w14:textId="2EF7F9AF" w:rsidR="0022643C" w:rsidRPr="008065A8" w:rsidRDefault="0022643C" w:rsidP="00E14640">
            <w:pPr>
              <w:jc w:val="center"/>
              <w:rPr>
                <w:rFonts w:ascii="Calibri" w:eastAsia="Times New Roman" w:hAnsi="Calibri" w:cs="Calibri"/>
                <w:color w:val="000000"/>
              </w:rPr>
            </w:pPr>
            <w:r w:rsidRPr="0022643C">
              <w:rPr>
                <w:rFonts w:ascii="Calibri" w:eastAsia="Times New Roman" w:hAnsi="Calibri" w:cs="Calibri"/>
                <w:color w:val="000000"/>
              </w:rPr>
              <w:t>-281021</w:t>
            </w:r>
          </w:p>
        </w:tc>
        <w:tc>
          <w:tcPr>
            <w:tcW w:w="2132" w:type="dxa"/>
            <w:noWrap/>
            <w:hideMark/>
          </w:tcPr>
          <w:p w14:paraId="436D0DFA" w14:textId="57C3B571" w:rsidR="0022643C" w:rsidRPr="008065A8" w:rsidRDefault="0022643C" w:rsidP="00E14640">
            <w:pPr>
              <w:jc w:val="center"/>
              <w:rPr>
                <w:rFonts w:ascii="Calibri" w:eastAsia="Times New Roman" w:hAnsi="Calibri" w:cs="Calibri"/>
                <w:color w:val="000000"/>
              </w:rPr>
            </w:pPr>
            <w:r w:rsidRPr="0022643C">
              <w:rPr>
                <w:rFonts w:ascii="Calibri" w:eastAsia="Times New Roman" w:hAnsi="Calibri" w:cs="Calibri"/>
                <w:color w:val="000000"/>
              </w:rPr>
              <w:t>-1340844</w:t>
            </w:r>
          </w:p>
        </w:tc>
      </w:tr>
      <w:tr w:rsidR="0022643C" w:rsidRPr="008065A8" w14:paraId="5351717B" w14:textId="77777777" w:rsidTr="00E14640">
        <w:trPr>
          <w:trHeight w:val="304"/>
        </w:trPr>
        <w:tc>
          <w:tcPr>
            <w:tcW w:w="4221" w:type="dxa"/>
            <w:noWrap/>
            <w:hideMark/>
          </w:tcPr>
          <w:p w14:paraId="19EFF0CB" w14:textId="77777777" w:rsidR="0022643C" w:rsidRPr="0022643C" w:rsidRDefault="0022643C" w:rsidP="00E14640">
            <w:pPr>
              <w:jc w:val="center"/>
              <w:rPr>
                <w:rFonts w:ascii="Calibri" w:eastAsia="Times New Roman" w:hAnsi="Calibri" w:cs="Calibri"/>
                <w:b/>
                <w:bCs/>
                <w:lang w:val="pt-BR"/>
              </w:rPr>
            </w:pPr>
            <w:r w:rsidRPr="0022643C">
              <w:rPr>
                <w:rFonts w:ascii="Calibri" w:eastAsia="Times New Roman" w:hAnsi="Calibri" w:cs="Calibri"/>
                <w:b/>
                <w:bCs/>
                <w:lang w:val="pt-BR"/>
              </w:rPr>
              <w:t>Fluxo de Caixa dos A</w:t>
            </w:r>
            <w:r>
              <w:rPr>
                <w:rFonts w:ascii="Calibri" w:eastAsia="Times New Roman" w:hAnsi="Calibri" w:cs="Calibri"/>
                <w:b/>
                <w:bCs/>
                <w:lang w:val="pt-BR"/>
              </w:rPr>
              <w:t>cionistas</w:t>
            </w:r>
          </w:p>
        </w:tc>
        <w:tc>
          <w:tcPr>
            <w:tcW w:w="2132" w:type="dxa"/>
            <w:noWrap/>
            <w:hideMark/>
          </w:tcPr>
          <w:p w14:paraId="24F56541" w14:textId="1E1B7DD5" w:rsidR="0022643C" w:rsidRPr="008065A8" w:rsidRDefault="0022643C" w:rsidP="00E14640">
            <w:pPr>
              <w:jc w:val="center"/>
              <w:rPr>
                <w:rFonts w:ascii="Calibri" w:eastAsia="Times New Roman" w:hAnsi="Calibri" w:cs="Calibri"/>
                <w:color w:val="000000"/>
              </w:rPr>
            </w:pPr>
            <w:r w:rsidRPr="0022643C">
              <w:rPr>
                <w:rFonts w:ascii="Calibri" w:eastAsia="Times New Roman" w:hAnsi="Calibri" w:cs="Calibri"/>
                <w:color w:val="000000"/>
              </w:rPr>
              <w:t>738911</w:t>
            </w:r>
          </w:p>
        </w:tc>
        <w:tc>
          <w:tcPr>
            <w:tcW w:w="2132" w:type="dxa"/>
            <w:noWrap/>
            <w:hideMark/>
          </w:tcPr>
          <w:p w14:paraId="753A295B" w14:textId="701A0D2E" w:rsidR="0022643C" w:rsidRPr="008065A8" w:rsidRDefault="0022643C" w:rsidP="00E14640">
            <w:pPr>
              <w:jc w:val="center"/>
              <w:rPr>
                <w:rFonts w:ascii="Calibri" w:eastAsia="Times New Roman" w:hAnsi="Calibri" w:cs="Calibri"/>
                <w:color w:val="000000"/>
              </w:rPr>
            </w:pPr>
            <w:r w:rsidRPr="0022643C">
              <w:rPr>
                <w:rFonts w:ascii="Calibri" w:eastAsia="Times New Roman" w:hAnsi="Calibri" w:cs="Calibri"/>
                <w:color w:val="000000"/>
              </w:rPr>
              <w:t>200334</w:t>
            </w:r>
          </w:p>
        </w:tc>
      </w:tr>
    </w:tbl>
    <w:p w14:paraId="0B043F25" w14:textId="4228BE17" w:rsidR="00C20EBC" w:rsidRPr="00C20EBC" w:rsidRDefault="00C20EBC" w:rsidP="00C20EBC">
      <w:pPr>
        <w:spacing w:after="0" w:line="360" w:lineRule="auto"/>
        <w:jc w:val="both"/>
        <w:rPr>
          <w:rFonts w:ascii="Times New Roman" w:eastAsia="Times New Roman" w:hAnsi="Times New Roman" w:cs="Times New Roman"/>
          <w:color w:val="000000"/>
        </w:rPr>
      </w:pPr>
    </w:p>
    <w:p w14:paraId="3DBAE44B" w14:textId="197C5C3A" w:rsidR="00C20EBC" w:rsidRPr="00C20EBC" w:rsidRDefault="00C20EBC" w:rsidP="00C20EBC">
      <w:pPr>
        <w:spacing w:after="0" w:line="360" w:lineRule="auto"/>
        <w:ind w:firstLine="360"/>
        <w:jc w:val="both"/>
        <w:rPr>
          <w:rFonts w:ascii="Times New Roman" w:eastAsia="Times New Roman" w:hAnsi="Times New Roman" w:cs="Times New Roman"/>
          <w:color w:val="000000"/>
          <w:lang w:val="pt-BR"/>
        </w:rPr>
      </w:pPr>
      <w:r>
        <w:rPr>
          <w:rFonts w:ascii="Times New Roman" w:eastAsia="Times New Roman" w:hAnsi="Times New Roman" w:cs="Times New Roman"/>
          <w:color w:val="000000"/>
          <w:lang w:val="pt-BR"/>
        </w:rPr>
        <w:lastRenderedPageBreak/>
        <w:t>Vale destacar que o Fluxo de Caixa dos Ativos deveria ser igual à soma dos Fluxos de Caixa dos Credores e dos Acionistas. Entretanto, isso não ocorre nesse caso. Para explicar esse acontecimento é necessário entender como é feito o cálculo desses fluxos. No caso do FC(A) existem algumas contas que são ignoradas, como Estoques LP, por exemplo. Assim, há um Ativo de alta relevância que está sendo financiado por Credores e Acionistas, mas que não é contabilizado no Fluxo de Caixa da Empresa. Naturalmente, isso faz com que os fluxos fiquem desiguais. Outro ponto que é importante destacar é o fato de que na conta Outros LP (Passivo) há um subgrupo de Dividendos a Pagar. Dessa forma, há também uma distorção no Fluxo de Caixa dos Acionistas.</w:t>
      </w:r>
    </w:p>
    <w:sectPr w:rsidR="00C20EBC" w:rsidRPr="00C20EBC" w:rsidSect="00724B31">
      <w:headerReference w:type="default" r:id="rId15"/>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562BD" w14:textId="77777777" w:rsidR="002B4B5B" w:rsidRDefault="002B4B5B" w:rsidP="00A45E4D">
      <w:pPr>
        <w:spacing w:after="0" w:line="240" w:lineRule="auto"/>
      </w:pPr>
      <w:r>
        <w:separator/>
      </w:r>
    </w:p>
  </w:endnote>
  <w:endnote w:type="continuationSeparator" w:id="0">
    <w:p w14:paraId="43719C36" w14:textId="77777777" w:rsidR="002B4B5B" w:rsidRDefault="002B4B5B" w:rsidP="00A45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3644C" w14:textId="77777777" w:rsidR="002B4B5B" w:rsidRDefault="002B4B5B" w:rsidP="00A45E4D">
      <w:pPr>
        <w:spacing w:after="0" w:line="240" w:lineRule="auto"/>
      </w:pPr>
      <w:r>
        <w:separator/>
      </w:r>
    </w:p>
  </w:footnote>
  <w:footnote w:type="continuationSeparator" w:id="0">
    <w:p w14:paraId="55C4BF9F" w14:textId="77777777" w:rsidR="002B4B5B" w:rsidRDefault="002B4B5B" w:rsidP="00A45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618608"/>
      <w:docPartObj>
        <w:docPartGallery w:val="Page Numbers (Top of Page)"/>
        <w:docPartUnique/>
      </w:docPartObj>
    </w:sdtPr>
    <w:sdtEndPr>
      <w:rPr>
        <w:noProof/>
      </w:rPr>
    </w:sdtEndPr>
    <w:sdtContent>
      <w:p w14:paraId="75998758" w14:textId="3D79DDE8" w:rsidR="00B5569D" w:rsidRDefault="00B5569D">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29A16D76" w14:textId="77777777" w:rsidR="00B5569D" w:rsidRDefault="00B556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4DC6"/>
    <w:multiLevelType w:val="multilevel"/>
    <w:tmpl w:val="C38E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7B0EBC"/>
    <w:multiLevelType w:val="multilevel"/>
    <w:tmpl w:val="9F701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8071F01"/>
    <w:multiLevelType w:val="multilevel"/>
    <w:tmpl w:val="41DE66A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D6D4241"/>
    <w:multiLevelType w:val="hybridMultilevel"/>
    <w:tmpl w:val="B1300DC6"/>
    <w:lvl w:ilvl="0" w:tplc="0409000F">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414CA"/>
    <w:multiLevelType w:val="multilevel"/>
    <w:tmpl w:val="955C74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3D2C1B"/>
    <w:multiLevelType w:val="multilevel"/>
    <w:tmpl w:val="9F701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6050B09"/>
    <w:multiLevelType w:val="multilevel"/>
    <w:tmpl w:val="30CC78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98F723F"/>
    <w:multiLevelType w:val="multilevel"/>
    <w:tmpl w:val="718ED1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3DB752C9"/>
    <w:multiLevelType w:val="multilevel"/>
    <w:tmpl w:val="65947EF6"/>
    <w:lvl w:ilvl="0">
      <w:start w:val="1"/>
      <w:numFmt w:val="decimal"/>
      <w:lvlText w:val="%1"/>
      <w:lvlJc w:val="left"/>
      <w:pPr>
        <w:ind w:left="444" w:hanging="444"/>
      </w:pPr>
      <w:rPr>
        <w:rFonts w:hint="default"/>
      </w:rPr>
    </w:lvl>
    <w:lvl w:ilvl="1">
      <w:start w:val="1"/>
      <w:numFmt w:val="decimal"/>
      <w:lvlText w:val="%1.%2"/>
      <w:lvlJc w:val="left"/>
      <w:pPr>
        <w:ind w:left="624" w:hanging="444"/>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3F47590D"/>
    <w:multiLevelType w:val="multilevel"/>
    <w:tmpl w:val="0EC049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AB4D27"/>
    <w:multiLevelType w:val="hybridMultilevel"/>
    <w:tmpl w:val="FB4C5B78"/>
    <w:lvl w:ilvl="0" w:tplc="49BE67F8">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5063B7"/>
    <w:multiLevelType w:val="hybridMultilevel"/>
    <w:tmpl w:val="17AA40E6"/>
    <w:lvl w:ilvl="0" w:tplc="0416000F">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1"/>
  </w:num>
  <w:num w:numId="2">
    <w:abstractNumId w:val="10"/>
  </w:num>
  <w:num w:numId="3">
    <w:abstractNumId w:val="3"/>
  </w:num>
  <w:num w:numId="4">
    <w:abstractNumId w:val="2"/>
  </w:num>
  <w:num w:numId="5">
    <w:abstractNumId w:val="9"/>
  </w:num>
  <w:num w:numId="6">
    <w:abstractNumId w:val="4"/>
  </w:num>
  <w:num w:numId="7">
    <w:abstractNumId w:val="0"/>
  </w:num>
  <w:num w:numId="8">
    <w:abstractNumId w:val="8"/>
  </w:num>
  <w:num w:numId="9">
    <w:abstractNumId w:val="6"/>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47"/>
    <w:rsid w:val="00005D06"/>
    <w:rsid w:val="00021963"/>
    <w:rsid w:val="0004091D"/>
    <w:rsid w:val="00090D80"/>
    <w:rsid w:val="00200C7C"/>
    <w:rsid w:val="002204E3"/>
    <w:rsid w:val="0022643C"/>
    <w:rsid w:val="00280555"/>
    <w:rsid w:val="002B4B5B"/>
    <w:rsid w:val="00302701"/>
    <w:rsid w:val="003B44E5"/>
    <w:rsid w:val="003F31DC"/>
    <w:rsid w:val="00483341"/>
    <w:rsid w:val="004E2AEA"/>
    <w:rsid w:val="00516F5F"/>
    <w:rsid w:val="005736FC"/>
    <w:rsid w:val="00574E10"/>
    <w:rsid w:val="005D4C8E"/>
    <w:rsid w:val="00724B31"/>
    <w:rsid w:val="00774E4E"/>
    <w:rsid w:val="00792424"/>
    <w:rsid w:val="007B1480"/>
    <w:rsid w:val="00800D88"/>
    <w:rsid w:val="008065A8"/>
    <w:rsid w:val="008A36F7"/>
    <w:rsid w:val="008B57FE"/>
    <w:rsid w:val="008B6EBF"/>
    <w:rsid w:val="008C73A7"/>
    <w:rsid w:val="00956198"/>
    <w:rsid w:val="0095684F"/>
    <w:rsid w:val="0098247C"/>
    <w:rsid w:val="00A0477F"/>
    <w:rsid w:val="00A45E4D"/>
    <w:rsid w:val="00A67A23"/>
    <w:rsid w:val="00A71E5F"/>
    <w:rsid w:val="00AB0A53"/>
    <w:rsid w:val="00AF5C32"/>
    <w:rsid w:val="00B214BE"/>
    <w:rsid w:val="00B220DD"/>
    <w:rsid w:val="00B2363A"/>
    <w:rsid w:val="00B421E0"/>
    <w:rsid w:val="00B5569D"/>
    <w:rsid w:val="00B775C5"/>
    <w:rsid w:val="00B81DB7"/>
    <w:rsid w:val="00BC2305"/>
    <w:rsid w:val="00C20EBC"/>
    <w:rsid w:val="00C2282B"/>
    <w:rsid w:val="00C33114"/>
    <w:rsid w:val="00D2159E"/>
    <w:rsid w:val="00D35647"/>
    <w:rsid w:val="00D55731"/>
    <w:rsid w:val="00D87681"/>
    <w:rsid w:val="00DC3A66"/>
    <w:rsid w:val="00DD0685"/>
    <w:rsid w:val="00E121FF"/>
    <w:rsid w:val="00E553E7"/>
    <w:rsid w:val="00F909E8"/>
    <w:rsid w:val="00FB2C14"/>
    <w:rsid w:val="00FE6BD6"/>
    <w:rsid w:val="00FF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0F6F"/>
  <w15:chartTrackingRefBased/>
  <w15:docId w15:val="{B4BA3D7E-47D6-433C-B853-532459E2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73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31DC"/>
    <w:pPr>
      <w:spacing w:after="200" w:line="276" w:lineRule="auto"/>
      <w:ind w:left="720"/>
      <w:contextualSpacing/>
    </w:pPr>
    <w:rPr>
      <w:rFonts w:eastAsiaTheme="minorEastAsia"/>
      <w:lang w:val="pt-BR" w:eastAsia="pt-BR"/>
    </w:rPr>
  </w:style>
  <w:style w:type="paragraph" w:styleId="Cabealho">
    <w:name w:val="header"/>
    <w:basedOn w:val="Normal"/>
    <w:link w:val="CabealhoChar"/>
    <w:uiPriority w:val="99"/>
    <w:unhideWhenUsed/>
    <w:rsid w:val="00A45E4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45E4D"/>
  </w:style>
  <w:style w:type="paragraph" w:styleId="Rodap">
    <w:name w:val="footer"/>
    <w:basedOn w:val="Normal"/>
    <w:link w:val="RodapChar"/>
    <w:uiPriority w:val="99"/>
    <w:unhideWhenUsed/>
    <w:rsid w:val="00A45E4D"/>
    <w:pPr>
      <w:tabs>
        <w:tab w:val="center" w:pos="4680"/>
        <w:tab w:val="right" w:pos="9360"/>
      </w:tabs>
      <w:spacing w:after="0" w:line="240" w:lineRule="auto"/>
    </w:pPr>
  </w:style>
  <w:style w:type="character" w:customStyle="1" w:styleId="RodapChar">
    <w:name w:val="Rodapé Char"/>
    <w:basedOn w:val="Fontepargpadro"/>
    <w:link w:val="Rodap"/>
    <w:uiPriority w:val="99"/>
    <w:rsid w:val="00A45E4D"/>
  </w:style>
  <w:style w:type="paragraph" w:styleId="Legenda">
    <w:name w:val="caption"/>
    <w:basedOn w:val="Normal"/>
    <w:next w:val="Normal"/>
    <w:uiPriority w:val="35"/>
    <w:unhideWhenUsed/>
    <w:qFormat/>
    <w:rsid w:val="00516F5F"/>
    <w:pPr>
      <w:spacing w:after="200" w:line="240" w:lineRule="auto"/>
    </w:pPr>
    <w:rPr>
      <w:i/>
      <w:iCs/>
      <w:color w:val="44546A" w:themeColor="text2"/>
      <w:sz w:val="18"/>
      <w:szCs w:val="18"/>
    </w:rPr>
  </w:style>
  <w:style w:type="table" w:styleId="Tabelacomgrade">
    <w:name w:val="Table Grid"/>
    <w:basedOn w:val="Tabelanormal"/>
    <w:uiPriority w:val="39"/>
    <w:rsid w:val="00AF5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28781">
      <w:bodyDiv w:val="1"/>
      <w:marLeft w:val="0"/>
      <w:marRight w:val="0"/>
      <w:marTop w:val="0"/>
      <w:marBottom w:val="0"/>
      <w:divBdr>
        <w:top w:val="none" w:sz="0" w:space="0" w:color="auto"/>
        <w:left w:val="none" w:sz="0" w:space="0" w:color="auto"/>
        <w:bottom w:val="none" w:sz="0" w:space="0" w:color="auto"/>
        <w:right w:val="none" w:sz="0" w:space="0" w:color="auto"/>
      </w:divBdr>
    </w:div>
    <w:div w:id="126898223">
      <w:bodyDiv w:val="1"/>
      <w:marLeft w:val="0"/>
      <w:marRight w:val="0"/>
      <w:marTop w:val="0"/>
      <w:marBottom w:val="0"/>
      <w:divBdr>
        <w:top w:val="none" w:sz="0" w:space="0" w:color="auto"/>
        <w:left w:val="none" w:sz="0" w:space="0" w:color="auto"/>
        <w:bottom w:val="none" w:sz="0" w:space="0" w:color="auto"/>
        <w:right w:val="none" w:sz="0" w:space="0" w:color="auto"/>
      </w:divBdr>
    </w:div>
    <w:div w:id="158812667">
      <w:bodyDiv w:val="1"/>
      <w:marLeft w:val="0"/>
      <w:marRight w:val="0"/>
      <w:marTop w:val="0"/>
      <w:marBottom w:val="0"/>
      <w:divBdr>
        <w:top w:val="none" w:sz="0" w:space="0" w:color="auto"/>
        <w:left w:val="none" w:sz="0" w:space="0" w:color="auto"/>
        <w:bottom w:val="none" w:sz="0" w:space="0" w:color="auto"/>
        <w:right w:val="none" w:sz="0" w:space="0" w:color="auto"/>
      </w:divBdr>
    </w:div>
    <w:div w:id="174805993">
      <w:bodyDiv w:val="1"/>
      <w:marLeft w:val="0"/>
      <w:marRight w:val="0"/>
      <w:marTop w:val="0"/>
      <w:marBottom w:val="0"/>
      <w:divBdr>
        <w:top w:val="none" w:sz="0" w:space="0" w:color="auto"/>
        <w:left w:val="none" w:sz="0" w:space="0" w:color="auto"/>
        <w:bottom w:val="none" w:sz="0" w:space="0" w:color="auto"/>
        <w:right w:val="none" w:sz="0" w:space="0" w:color="auto"/>
      </w:divBdr>
    </w:div>
    <w:div w:id="252056626">
      <w:bodyDiv w:val="1"/>
      <w:marLeft w:val="0"/>
      <w:marRight w:val="0"/>
      <w:marTop w:val="0"/>
      <w:marBottom w:val="0"/>
      <w:divBdr>
        <w:top w:val="none" w:sz="0" w:space="0" w:color="auto"/>
        <w:left w:val="none" w:sz="0" w:space="0" w:color="auto"/>
        <w:bottom w:val="none" w:sz="0" w:space="0" w:color="auto"/>
        <w:right w:val="none" w:sz="0" w:space="0" w:color="auto"/>
      </w:divBdr>
    </w:div>
    <w:div w:id="442268063">
      <w:bodyDiv w:val="1"/>
      <w:marLeft w:val="0"/>
      <w:marRight w:val="0"/>
      <w:marTop w:val="0"/>
      <w:marBottom w:val="0"/>
      <w:divBdr>
        <w:top w:val="none" w:sz="0" w:space="0" w:color="auto"/>
        <w:left w:val="none" w:sz="0" w:space="0" w:color="auto"/>
        <w:bottom w:val="none" w:sz="0" w:space="0" w:color="auto"/>
        <w:right w:val="none" w:sz="0" w:space="0" w:color="auto"/>
      </w:divBdr>
    </w:div>
    <w:div w:id="446968967">
      <w:bodyDiv w:val="1"/>
      <w:marLeft w:val="0"/>
      <w:marRight w:val="0"/>
      <w:marTop w:val="0"/>
      <w:marBottom w:val="0"/>
      <w:divBdr>
        <w:top w:val="none" w:sz="0" w:space="0" w:color="auto"/>
        <w:left w:val="none" w:sz="0" w:space="0" w:color="auto"/>
        <w:bottom w:val="none" w:sz="0" w:space="0" w:color="auto"/>
        <w:right w:val="none" w:sz="0" w:space="0" w:color="auto"/>
      </w:divBdr>
    </w:div>
    <w:div w:id="691614200">
      <w:bodyDiv w:val="1"/>
      <w:marLeft w:val="0"/>
      <w:marRight w:val="0"/>
      <w:marTop w:val="0"/>
      <w:marBottom w:val="0"/>
      <w:divBdr>
        <w:top w:val="none" w:sz="0" w:space="0" w:color="auto"/>
        <w:left w:val="none" w:sz="0" w:space="0" w:color="auto"/>
        <w:bottom w:val="none" w:sz="0" w:space="0" w:color="auto"/>
        <w:right w:val="none" w:sz="0" w:space="0" w:color="auto"/>
      </w:divBdr>
    </w:div>
    <w:div w:id="785588694">
      <w:bodyDiv w:val="1"/>
      <w:marLeft w:val="0"/>
      <w:marRight w:val="0"/>
      <w:marTop w:val="0"/>
      <w:marBottom w:val="0"/>
      <w:divBdr>
        <w:top w:val="none" w:sz="0" w:space="0" w:color="auto"/>
        <w:left w:val="none" w:sz="0" w:space="0" w:color="auto"/>
        <w:bottom w:val="none" w:sz="0" w:space="0" w:color="auto"/>
        <w:right w:val="none" w:sz="0" w:space="0" w:color="auto"/>
      </w:divBdr>
    </w:div>
    <w:div w:id="1059524403">
      <w:bodyDiv w:val="1"/>
      <w:marLeft w:val="0"/>
      <w:marRight w:val="0"/>
      <w:marTop w:val="0"/>
      <w:marBottom w:val="0"/>
      <w:divBdr>
        <w:top w:val="none" w:sz="0" w:space="0" w:color="auto"/>
        <w:left w:val="none" w:sz="0" w:space="0" w:color="auto"/>
        <w:bottom w:val="none" w:sz="0" w:space="0" w:color="auto"/>
        <w:right w:val="none" w:sz="0" w:space="0" w:color="auto"/>
      </w:divBdr>
    </w:div>
    <w:div w:id="150983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89B63-2A4C-47C1-BAC6-3460CC21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10</Pages>
  <Words>2386</Words>
  <Characters>12889</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Pellizzon</dc:creator>
  <cp:keywords/>
  <dc:description/>
  <cp:lastModifiedBy> </cp:lastModifiedBy>
  <cp:revision>21</cp:revision>
  <dcterms:created xsi:type="dcterms:W3CDTF">2021-03-15T20:56:00Z</dcterms:created>
  <dcterms:modified xsi:type="dcterms:W3CDTF">2021-03-18T07:23:00Z</dcterms:modified>
</cp:coreProperties>
</file>