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DE8F" w14:textId="06635BD8" w:rsidR="00E520BA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  <w:lang w:val="pt-BR"/>
        </w:rPr>
      </w:pPr>
      <w:r w:rsidRPr="00A45E4D">
        <w:rPr>
          <w:rFonts w:ascii="Times New Roman" w:hAnsi="Times New Roman" w:cs="Times New Roman"/>
          <w:sz w:val="56"/>
          <w:szCs w:val="56"/>
          <w:lang w:val="pt-BR"/>
        </w:rPr>
        <w:t>APS – Finanças I</w:t>
      </w:r>
    </w:p>
    <w:p w14:paraId="0A369440" w14:textId="639560F2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 xml:space="preserve">Lucas </w:t>
      </w:r>
      <w:proofErr w:type="spellStart"/>
      <w:r w:rsidRPr="00A45E4D">
        <w:rPr>
          <w:rFonts w:ascii="Times New Roman" w:hAnsi="Times New Roman" w:cs="Times New Roman"/>
          <w:lang w:val="pt-BR"/>
        </w:rPr>
        <w:t>Muchaluat</w:t>
      </w:r>
      <w:proofErr w:type="spellEnd"/>
      <w:r w:rsidRPr="00A45E4D">
        <w:rPr>
          <w:rFonts w:ascii="Times New Roman" w:hAnsi="Times New Roman" w:cs="Times New Roman"/>
          <w:lang w:val="pt-BR"/>
        </w:rPr>
        <w:t xml:space="preserve"> Moreira</w:t>
      </w:r>
    </w:p>
    <w:p w14:paraId="74B4FCA0" w14:textId="6B857D37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Luiz Vitor Germanos Teixeira</w:t>
      </w:r>
    </w:p>
    <w:p w14:paraId="7B218EFA" w14:textId="7D9415B3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Matheus Pellizzon</w:t>
      </w:r>
    </w:p>
    <w:p w14:paraId="351168D7" w14:textId="467CB281" w:rsidR="00200C7C" w:rsidRPr="00A45E4D" w:rsidRDefault="00200C7C" w:rsidP="00A45E4D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A45E4D">
        <w:rPr>
          <w:rFonts w:ascii="Times New Roman" w:hAnsi="Times New Roman" w:cs="Times New Roman"/>
          <w:lang w:val="pt-BR"/>
        </w:rPr>
        <w:t>Pedro Teófilo Ramos</w:t>
      </w:r>
    </w:p>
    <w:p w14:paraId="38D8CA3E" w14:textId="6FD37C05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F49C14E" w14:textId="6B899FF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9CB4770" w14:textId="268052D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3F753C2" w14:textId="6254F5CB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0664F0D" w14:textId="1FF38B8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D3D745E" w14:textId="19A6135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33FC3C0" w14:textId="10454E81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4DE175B7" w14:textId="5D6DD8ED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A27E811" w14:textId="47FECA90" w:rsidR="00200C7C" w:rsidRPr="00A45E4D" w:rsidRDefault="00200C7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55A71AE" w14:textId="3F461E38" w:rsidR="003F31DC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0020E62" w14:textId="69EE766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C404A97" w14:textId="497A8B6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D41B9EA" w14:textId="5D863041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FF61D54" w14:textId="1FD0190D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D5DD32E" w14:textId="637B3BD0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9B28BEF" w14:textId="21AEFC7C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118DE6A" w14:textId="42195948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182F1A7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745E3EF" w14:textId="777D6CFB" w:rsid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1CAC6CE" w14:textId="77777777" w:rsidR="00A45E4D" w:rsidRPr="00A45E4D" w:rsidRDefault="00A45E4D" w:rsidP="00A45E4D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07B9689" w14:textId="5F55D586" w:rsidR="003F31DC" w:rsidRPr="00A45E4D" w:rsidRDefault="00A45E4D" w:rsidP="00A45E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Introdução à empresa: </w:t>
      </w:r>
      <w:r w:rsidR="003F31DC" w:rsidRPr="00A45E4D">
        <w:rPr>
          <w:rFonts w:ascii="Times New Roman" w:hAnsi="Times New Roman" w:cs="Times New Roman"/>
        </w:rPr>
        <w:t>MRV</w:t>
      </w:r>
    </w:p>
    <w:p w14:paraId="6C409D97" w14:textId="0D9E53B1" w:rsidR="00A45E4D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t>Observe a evolução destes indicadores financeiros e reflita sobre seu significado. Em complemento investigue e correlacione os resultados com os aspectos estratégicos da empresa e/ou o ambiente de negócios e o cenário macroeconômico local e global; reflita também sobre como a evolução desses indicadores poderiam auxiliar para realizar previsões dos demonstrativos financeiros (Demonstração do Resultado, Balanço Patrimonial e Fluxo de Caixa Financeiro). Em complemento, utilize a análise horizontal e vertical dos demonstrativos financeiros para investigar o comportamento das variáveis que compõe cada indicador</w:t>
      </w:r>
    </w:p>
    <w:p w14:paraId="0DAF3BB3" w14:textId="77777777" w:rsidR="00A67A23" w:rsidRDefault="003F31DC" w:rsidP="00A67A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F31DC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análise de indicadores, vertical e horizontal completa e sem erros E analisa corretamente os resultados relacionando com aspectos estratégicos da empresa ou do ambiente de negócios. Constrói a tabela clara apresentando os resultados destes indicadores e a AH (análise horizontal) desses resultados. Constrói gráficos que contribuam com a investigação e análise dos indicadores financeiros.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Em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complemento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>compara</w:t>
      </w:r>
      <w:proofErr w:type="spellEnd"/>
      <w:r w:rsidRPr="003F31DC">
        <w:rPr>
          <w:rFonts w:ascii="Times New Roman" w:eastAsia="Times New Roman" w:hAnsi="Times New Roman" w:cs="Times New Roman"/>
          <w:color w:val="000000"/>
          <w:highlight w:val="yellow"/>
        </w:rPr>
        <w:t xml:space="preserve"> com</w:t>
      </w:r>
    </w:p>
    <w:p w14:paraId="09A5BB42" w14:textId="77777777" w:rsidR="00A67A23" w:rsidRDefault="00A67A23" w:rsidP="00A67A2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Indicadores</w:t>
      </w:r>
      <w:r w:rsidRPr="00A67A23">
        <w:rPr>
          <w:rFonts w:ascii="Times New Roman" w:eastAsia="Times New Roman" w:hAnsi="Times New Roman" w:cs="Times New Roman"/>
          <w:color w:val="000000"/>
        </w:rPr>
        <w:tab/>
      </w:r>
    </w:p>
    <w:p w14:paraId="4C21BB9A" w14:textId="10F7B349" w:rsidR="00A67A23" w:rsidRPr="00A67A23" w:rsidRDefault="00A67A23" w:rsidP="00A67A23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67A23">
        <w:rPr>
          <w:rFonts w:ascii="Times New Roman" w:eastAsia="Times New Roman" w:hAnsi="Times New Roman" w:cs="Times New Roman"/>
          <w:color w:val="000000"/>
        </w:rPr>
        <w:t>Liquidez Corrente e Seca</w:t>
      </w:r>
    </w:p>
    <w:p w14:paraId="2FF34EDC" w14:textId="1CE96296" w:rsidR="00774E4E" w:rsidRDefault="0004091D" w:rsidP="00A67A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04091D">
        <w:rPr>
          <w:rFonts w:ascii="Times New Roman" w:eastAsia="Times New Roman" w:hAnsi="Times New Roman" w:cs="Times New Roman"/>
          <w:color w:val="000000"/>
          <w:lang w:val="pt-BR"/>
        </w:rPr>
        <w:t xml:space="preserve">Analisando </w:t>
      </w:r>
      <w:r>
        <w:rPr>
          <w:rFonts w:ascii="Times New Roman" w:eastAsia="Times New Roman" w:hAnsi="Times New Roman" w:cs="Times New Roman"/>
          <w:color w:val="000000"/>
          <w:lang w:val="pt-BR"/>
        </w:rPr>
        <w:t>os índices de liquidez da MRV</w:t>
      </w:r>
      <w:r w:rsidRPr="0004091D">
        <w:rPr>
          <w:rFonts w:ascii="Times New Roman" w:eastAsia="Times New Roman" w:hAnsi="Times New Roman" w:cs="Times New Roman"/>
          <w:color w:val="000000"/>
          <w:lang w:val="pt-BR"/>
        </w:rPr>
        <w:t>, é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 possível notar uma tendência de queda, </w:t>
      </w:r>
      <w:r>
        <w:rPr>
          <w:rFonts w:ascii="Times New Roman" w:eastAsia="Times New Roman" w:hAnsi="Times New Roman" w:cs="Times New Roman"/>
          <w:color w:val="000000"/>
          <w:lang w:val="pt-BR"/>
        </w:rPr>
        <w:t>a partir de 2018</w:t>
      </w:r>
      <w:r>
        <w:rPr>
          <w:rFonts w:ascii="Times New Roman" w:eastAsia="Times New Roman" w:hAnsi="Times New Roman" w:cs="Times New Roman"/>
          <w:color w:val="000000"/>
          <w:lang w:val="pt-BR"/>
        </w:rPr>
        <w:t xml:space="preserve">, tanto da Liquidez Corrente quanto da Seca. Apesar da queda, ela ainda tem capital suficiente para cobrir os custos de suas dívidas de curto prazo, inclusive quando é desconsiderado o uso do estoque para liquidar </w:t>
      </w:r>
      <w:r w:rsidR="00774E4E">
        <w:rPr>
          <w:rFonts w:ascii="Times New Roman" w:eastAsia="Times New Roman" w:hAnsi="Times New Roman" w:cs="Times New Roman"/>
          <w:color w:val="000000"/>
          <w:lang w:val="pt-BR"/>
        </w:rPr>
        <w:t xml:space="preserve">suas obrigações financeiras. Em relação à demais empresas desse mesmo setor, os índices da MRV apresentam valores absolutos significativamente menores. Porém, sabendo que os empreendimentos da MRV têm como foco o público de baixa renda, e dados os contratos feitos com o governo (FGTS), ela tem menos risco em seus recebimentos, permitindo que seus índices de liquidez sejam menores que das outras empresas. </w:t>
      </w:r>
    </w:p>
    <w:p w14:paraId="68BDF725" w14:textId="0E6D55B5" w:rsidR="00B81DB7" w:rsidRPr="0004091D" w:rsidRDefault="00774E4E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>
        <w:rPr>
          <w:noProof/>
        </w:rPr>
        <w:drawing>
          <wp:inline distT="0" distB="0" distL="0" distR="0" wp14:anchorId="5E1E2E14" wp14:editId="7B1BBA0A">
            <wp:extent cx="6233499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99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C53" w14:textId="344777CD" w:rsidR="003F31DC" w:rsidRDefault="003F31DC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34CBC18D" w14:textId="07CCFC0B" w:rsidR="00A67A23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5DEDDFDA" w14:textId="09B18E55" w:rsidR="00A67A23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7BAE0813" w14:textId="77777777" w:rsidR="00A67A23" w:rsidRPr="0004091D" w:rsidRDefault="00A67A23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lang w:val="pt-BR"/>
        </w:rPr>
      </w:pPr>
    </w:p>
    <w:p w14:paraId="6D0D217D" w14:textId="4D1A1E91" w:rsidR="003F31DC" w:rsidRDefault="00A67A23" w:rsidP="00A67A23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Liquidez Imediata</w:t>
      </w:r>
    </w:p>
    <w:p w14:paraId="0CFD50D3" w14:textId="77777777" w:rsidR="00B214BE" w:rsidRDefault="00A67A23" w:rsidP="00B214B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A67A23">
        <w:rPr>
          <w:rFonts w:ascii="Times New Roman" w:hAnsi="Times New Roman" w:cs="Times New Roman"/>
          <w:lang w:val="pt-BR"/>
        </w:rPr>
        <w:t>A tendê</w:t>
      </w:r>
      <w:r>
        <w:rPr>
          <w:rFonts w:ascii="Times New Roman" w:hAnsi="Times New Roman" w:cs="Times New Roman"/>
          <w:lang w:val="pt-BR"/>
        </w:rPr>
        <w:t xml:space="preserve">ncia vista anteriormente não pode ser replicada para a Liquidez Imediata que, por sua vez, demonstra certa oscilação (queda de 2018 para 2019 e ascensão de 2019 para 2020). A queda em 2019 é explicada </w:t>
      </w:r>
      <w:r w:rsidR="008B57FE">
        <w:rPr>
          <w:rFonts w:ascii="Times New Roman" w:hAnsi="Times New Roman" w:cs="Times New Roman"/>
          <w:lang w:val="pt-BR"/>
        </w:rPr>
        <w:t xml:space="preserve">pelo baixo volume de vendas, impactado pelo problema de repasse do programa </w:t>
      </w:r>
      <w:r w:rsidR="008B57FE" w:rsidRPr="008B57FE">
        <w:rPr>
          <w:rFonts w:ascii="Times New Roman" w:hAnsi="Times New Roman" w:cs="Times New Roman"/>
          <w:i/>
          <w:iCs/>
          <w:lang w:val="pt-BR"/>
        </w:rPr>
        <w:t>Minha Casa, Minha Vid</w:t>
      </w:r>
      <w:r w:rsidR="008B57FE">
        <w:rPr>
          <w:rFonts w:ascii="Times New Roman" w:hAnsi="Times New Roman" w:cs="Times New Roman"/>
          <w:i/>
          <w:iCs/>
          <w:lang w:val="pt-BR"/>
        </w:rPr>
        <w:t>a</w:t>
      </w:r>
      <w:r w:rsidR="008B57FE">
        <w:rPr>
          <w:rFonts w:ascii="Times New Roman" w:hAnsi="Times New Roman" w:cs="Times New Roman"/>
          <w:lang w:val="pt-BR"/>
        </w:rPr>
        <w:t xml:space="preserve"> somado a uma queima de caixa, impulsionado pelo aumento do volume de estoque e aquisição de novos terrenos resultaram em </w:t>
      </w:r>
      <w:r w:rsidR="008B57FE">
        <w:rPr>
          <w:rFonts w:ascii="Times New Roman" w:hAnsi="Times New Roman" w:cs="Times New Roman"/>
          <w:lang w:val="pt-BR"/>
        </w:rPr>
        <w:t>fracos valores operacionais da metade até o encerramento do ano</w:t>
      </w:r>
      <w:r w:rsidR="008B57FE">
        <w:rPr>
          <w:rFonts w:ascii="Times New Roman" w:hAnsi="Times New Roman" w:cs="Times New Roman"/>
          <w:lang w:val="pt-BR"/>
        </w:rPr>
        <w:t>. Por outro lado, a ascensão em 2020 se explica pela boa geração de caixa no final do ano, devido à venda do projeto da AHS</w:t>
      </w:r>
      <w:r w:rsidR="00B214BE">
        <w:rPr>
          <w:rFonts w:ascii="Times New Roman" w:hAnsi="Times New Roman" w:cs="Times New Roman"/>
          <w:lang w:val="pt-BR"/>
        </w:rPr>
        <w:t xml:space="preserve"> e não de estímulos de operações principais.</w:t>
      </w:r>
    </w:p>
    <w:p w14:paraId="39578FBD" w14:textId="1840E77C" w:rsidR="008B57FE" w:rsidRPr="008B57FE" w:rsidRDefault="008B57FE" w:rsidP="00B214B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0E74A05D" w14:textId="57BB47C2" w:rsidR="00A67A23" w:rsidRPr="00A67A23" w:rsidRDefault="00A67A23" w:rsidP="00A67A23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</w:p>
    <w:p w14:paraId="397325D3" w14:textId="26A49EFB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t xml:space="preserve">Proceda então à decomposição do ROE conforme </w:t>
      </w:r>
      <w:proofErr w:type="spellStart"/>
      <w:r w:rsidRPr="0004091D">
        <w:rPr>
          <w:rFonts w:ascii="Times New Roman" w:hAnsi="Times New Roman" w:cs="Times New Roman"/>
          <w:highlight w:val="yellow"/>
          <w:lang w:val="pt-BR"/>
        </w:rPr>
        <w:t>DuPont</w:t>
      </w:r>
      <w:proofErr w:type="spellEnd"/>
      <w:r w:rsidRPr="0004091D">
        <w:rPr>
          <w:rFonts w:ascii="Times New Roman" w:hAnsi="Times New Roman" w:cs="Times New Roman"/>
          <w:highlight w:val="yellow"/>
          <w:lang w:val="pt-BR"/>
        </w:rPr>
        <w:t xml:space="preserve"> em três componentes, mostrando a evolução de cada um desses componentes. Para cada um dos componentes explique as razões de sua oscilação (e.g.: "o giro de ativos aumentou pois, conforme notamos na análise horizontal, houve uma queda significativa de estoques da empresa bem como a venda de ativos imobilizados");</w:t>
      </w:r>
    </w:p>
    <w:p w14:paraId="06D64B54" w14:textId="7DEE0C4D" w:rsidR="00A45E4D" w:rsidRDefault="00B81DB7" w:rsidP="00A67A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Realiza a decomposição </w:t>
      </w:r>
      <w:proofErr w:type="spellStart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DuPont</w:t>
      </w:r>
      <w:proofErr w:type="spellEnd"/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 xml:space="preserve"> do ROE em três componentes para todos os anos. Realiza TOTALMENTE a análise mostrando as causas de sua oscilação, e compara com BENCHMARKS</w:t>
      </w:r>
    </w:p>
    <w:p w14:paraId="305AED98" w14:textId="58123E5F" w:rsidR="00A67A23" w:rsidRPr="00A67A23" w:rsidRDefault="00A67A23" w:rsidP="00A67A2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17EEB5E" w14:textId="2374F5EB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590AF297" w14:textId="140969DE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482F296A" w14:textId="54549116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4B4EE111" w14:textId="30E8BEB8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6BE96CE9" w14:textId="77777777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768CEE56" w14:textId="77777777" w:rsidR="00A45E4D" w:rsidRPr="0004091D" w:rsidRDefault="00A45E4D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</w:p>
    <w:p w14:paraId="34BE3E12" w14:textId="624F247C" w:rsidR="003F31DC" w:rsidRPr="0004091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04091D">
        <w:rPr>
          <w:rFonts w:ascii="Times New Roman" w:hAnsi="Times New Roman" w:cs="Times New Roman"/>
          <w:highlight w:val="yellow"/>
          <w:lang w:val="pt-BR"/>
        </w:rPr>
        <w:t>Calcule o Fluxo de Caixa dos Ativos da Empresa durante os dois últimos exercícios, detalhando todos os seus componentes: Fluxo de Caixa Operacional, Investimento em CCL e Investimentos em Ativos Não Circulantes (Despesas/Gastos de Capital). Descreva do ponto de vista destes fluxos como a empresa tem gerado ou absorvido fluxos de investidores correlacionando com as análises anteriores;</w:t>
      </w:r>
    </w:p>
    <w:p w14:paraId="5E9C57CE" w14:textId="4A73B276" w:rsidR="00B81DB7" w:rsidRPr="00A45E4D" w:rsidRDefault="003F31DC" w:rsidP="00A45E4D">
      <w:pPr>
        <w:spacing w:line="360" w:lineRule="auto"/>
        <w:jc w:val="both"/>
        <w:rPr>
          <w:rFonts w:ascii="Times New Roman" w:hAnsi="Times New Roman" w:cs="Times New Roman"/>
          <w:highlight w:val="yellow"/>
          <w:lang w:val="pt-BR"/>
        </w:rPr>
      </w:pPr>
      <w:r w:rsidRPr="00A45E4D">
        <w:rPr>
          <w:rFonts w:ascii="Times New Roman" w:hAnsi="Times New Roman" w:cs="Times New Roman"/>
          <w:highlight w:val="yellow"/>
          <w:lang w:val="pt-BR"/>
        </w:rPr>
        <w:lastRenderedPageBreak/>
        <w:t>Calcule o Fluxo de Caixa dos Credores e dos Acionistas nos dois últimos exercícios, demonstrando como os fluxos gerados/utilizados pela empresa têm sido repartidos entre os investidores. Comente, relacionando com as análises anteriores.</w:t>
      </w:r>
    </w:p>
    <w:p w14:paraId="41924269" w14:textId="1C83DE81" w:rsidR="00B81DB7" w:rsidRDefault="00B81DB7" w:rsidP="00A45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lang w:val="pt-BR"/>
        </w:rPr>
      </w:pPr>
      <w:r w:rsidRPr="00B81DB7">
        <w:rPr>
          <w:rFonts w:ascii="Times New Roman" w:eastAsia="Times New Roman" w:hAnsi="Times New Roman" w:cs="Times New Roman"/>
          <w:color w:val="000000"/>
          <w:highlight w:val="yellow"/>
          <w:lang w:val="pt-BR"/>
        </w:rPr>
        <w:t>Calcula os fluxos de caixa dos ativos, credores e dos acionistas para os anos indicados nas instruções, sem erros de cálculo e usando as premissas utilizadas no livro-texto (RWJL ed. 10 - Cap 2), relaciona ainda que PARCIALMENTE com as análises de índices, vertical e/ou horizontal anteriores e explica ainda que parcialmente o fato de esses valores não coincidirem ou seja FC(A)  não ser igual a FC(B) mais FC(S). MAS sem a necessidade de conciliar o resultado com os dados contábeis.</w:t>
      </w:r>
      <w:r w:rsidRPr="00B81DB7">
        <w:rPr>
          <w:rFonts w:ascii="Times New Roman" w:eastAsia="Times New Roman" w:hAnsi="Times New Roman" w:cs="Times New Roman"/>
          <w:color w:val="000000"/>
          <w:lang w:val="pt-BR"/>
        </w:rPr>
        <w:t xml:space="preserve"> </w:t>
      </w:r>
      <w:r w:rsidRPr="00B81DB7">
        <w:rPr>
          <w:rFonts w:ascii="Times New Roman" w:eastAsia="Times New Roman" w:hAnsi="Times New Roman" w:cs="Times New Roman"/>
          <w:color w:val="FF0000"/>
          <w:lang w:val="pt-BR"/>
        </w:rPr>
        <w:t xml:space="preserve"> </w:t>
      </w:r>
    </w:p>
    <w:p w14:paraId="09FBC7D1" w14:textId="75F0AE2E" w:rsidR="00A45E4D" w:rsidRPr="00A45E4D" w:rsidRDefault="00A45E4D" w:rsidP="00A45E4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E5D5BEC" w14:textId="77777777" w:rsidR="00B81DB7" w:rsidRPr="00A45E4D" w:rsidRDefault="00B81DB7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3A8D688E" w14:textId="77777777" w:rsidR="003F31DC" w:rsidRPr="00A45E4D" w:rsidRDefault="003F31DC" w:rsidP="00A45E4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3F31DC" w:rsidRPr="00A45E4D" w:rsidSect="00724B31">
      <w:headerReference w:type="default" r:id="rId9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8887" w14:textId="77777777" w:rsidR="00E121FF" w:rsidRDefault="00E121FF" w:rsidP="00A45E4D">
      <w:pPr>
        <w:spacing w:after="0" w:line="240" w:lineRule="auto"/>
      </w:pPr>
      <w:r>
        <w:separator/>
      </w:r>
    </w:p>
  </w:endnote>
  <w:endnote w:type="continuationSeparator" w:id="0">
    <w:p w14:paraId="10300559" w14:textId="77777777" w:rsidR="00E121FF" w:rsidRDefault="00E121FF" w:rsidP="00A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EEE59" w14:textId="77777777" w:rsidR="00E121FF" w:rsidRDefault="00E121FF" w:rsidP="00A45E4D">
      <w:pPr>
        <w:spacing w:after="0" w:line="240" w:lineRule="auto"/>
      </w:pPr>
      <w:r>
        <w:separator/>
      </w:r>
    </w:p>
  </w:footnote>
  <w:footnote w:type="continuationSeparator" w:id="0">
    <w:p w14:paraId="0F94A859" w14:textId="77777777" w:rsidR="00E121FF" w:rsidRDefault="00E121FF" w:rsidP="00A4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618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998758" w14:textId="3D79DDE8" w:rsidR="00A45E4D" w:rsidRDefault="00A45E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16D76" w14:textId="77777777" w:rsidR="00A45E4D" w:rsidRDefault="00A4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DC6"/>
    <w:multiLevelType w:val="multilevel"/>
    <w:tmpl w:val="C38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071F01"/>
    <w:multiLevelType w:val="multilevel"/>
    <w:tmpl w:val="41DE6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6D4241"/>
    <w:multiLevelType w:val="hybridMultilevel"/>
    <w:tmpl w:val="B1300DC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14CA"/>
    <w:multiLevelType w:val="multilevel"/>
    <w:tmpl w:val="955C7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3D2C1B"/>
    <w:multiLevelType w:val="multilevel"/>
    <w:tmpl w:val="9F701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6050B09"/>
    <w:multiLevelType w:val="multilevel"/>
    <w:tmpl w:val="30CC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8F723F"/>
    <w:multiLevelType w:val="multilevel"/>
    <w:tmpl w:val="718ED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3DB752C9"/>
    <w:multiLevelType w:val="multilevel"/>
    <w:tmpl w:val="65947EF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F47590D"/>
    <w:multiLevelType w:val="multilevel"/>
    <w:tmpl w:val="0EC04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AB4D27"/>
    <w:multiLevelType w:val="hybridMultilevel"/>
    <w:tmpl w:val="FB4C5B78"/>
    <w:lvl w:ilvl="0" w:tplc="49BE67F8"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063B7"/>
    <w:multiLevelType w:val="hybridMultilevel"/>
    <w:tmpl w:val="17AA40E6"/>
    <w:lvl w:ilvl="0" w:tplc="0416000F"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7"/>
    <w:rsid w:val="0004091D"/>
    <w:rsid w:val="00200C7C"/>
    <w:rsid w:val="003F31DC"/>
    <w:rsid w:val="00724B31"/>
    <w:rsid w:val="00774E4E"/>
    <w:rsid w:val="007B1480"/>
    <w:rsid w:val="008B57FE"/>
    <w:rsid w:val="00A45E4D"/>
    <w:rsid w:val="00A67A23"/>
    <w:rsid w:val="00A71E5F"/>
    <w:rsid w:val="00B214BE"/>
    <w:rsid w:val="00B81DB7"/>
    <w:rsid w:val="00D35647"/>
    <w:rsid w:val="00D87681"/>
    <w:rsid w:val="00E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0F6F"/>
  <w15:chartTrackingRefBased/>
  <w15:docId w15:val="{B4BA3D7E-47D6-433C-B853-532459E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DC"/>
    <w:pPr>
      <w:spacing w:after="200" w:line="276" w:lineRule="auto"/>
      <w:ind w:left="720"/>
      <w:contextualSpacing/>
    </w:pPr>
    <w:rPr>
      <w:rFonts w:eastAsiaTheme="minorEastAsia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4D"/>
  </w:style>
  <w:style w:type="paragraph" w:styleId="Footer">
    <w:name w:val="footer"/>
    <w:basedOn w:val="Normal"/>
    <w:link w:val="FooterChar"/>
    <w:uiPriority w:val="99"/>
    <w:unhideWhenUsed/>
    <w:rsid w:val="00A4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9B63-2A4C-47C1-BAC6-3460CC21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</cp:revision>
  <dcterms:created xsi:type="dcterms:W3CDTF">2021-03-15T20:56:00Z</dcterms:created>
  <dcterms:modified xsi:type="dcterms:W3CDTF">2021-03-15T22:45:00Z</dcterms:modified>
</cp:coreProperties>
</file>