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1DE8F" w14:textId="472AA521" w:rsidR="00B5569D" w:rsidRPr="00A45E4D" w:rsidRDefault="00200C7C" w:rsidP="00A45E4D">
      <w:pPr>
        <w:spacing w:line="360" w:lineRule="auto"/>
        <w:jc w:val="center"/>
        <w:rPr>
          <w:rFonts w:ascii="Times New Roman" w:hAnsi="Times New Roman" w:cs="Times New Roman"/>
          <w:sz w:val="56"/>
          <w:szCs w:val="56"/>
          <w:lang w:val="pt-BR"/>
        </w:rPr>
      </w:pPr>
      <w:r w:rsidRPr="00A45E4D">
        <w:rPr>
          <w:rFonts w:ascii="Times New Roman" w:hAnsi="Times New Roman" w:cs="Times New Roman"/>
          <w:sz w:val="56"/>
          <w:szCs w:val="56"/>
          <w:lang w:val="pt-BR"/>
        </w:rPr>
        <w:t>APS – Finanças I</w:t>
      </w:r>
      <w:r w:rsidR="00FB2C14">
        <w:rPr>
          <w:rFonts w:ascii="Times New Roman" w:hAnsi="Times New Roman" w:cs="Times New Roman"/>
          <w:sz w:val="56"/>
          <w:szCs w:val="56"/>
          <w:lang w:val="pt-BR"/>
        </w:rPr>
        <w:t xml:space="preserve"> – MRV </w:t>
      </w:r>
    </w:p>
    <w:p w14:paraId="0A369440" w14:textId="639560F2" w:rsidR="00200C7C" w:rsidRPr="00A45E4D" w:rsidRDefault="00200C7C" w:rsidP="00A45E4D">
      <w:pPr>
        <w:spacing w:line="360" w:lineRule="auto"/>
        <w:jc w:val="center"/>
        <w:rPr>
          <w:rFonts w:ascii="Times New Roman" w:hAnsi="Times New Roman" w:cs="Times New Roman"/>
          <w:lang w:val="pt-BR"/>
        </w:rPr>
      </w:pPr>
      <w:r w:rsidRPr="00A45E4D">
        <w:rPr>
          <w:rFonts w:ascii="Times New Roman" w:hAnsi="Times New Roman" w:cs="Times New Roman"/>
          <w:lang w:val="pt-BR"/>
        </w:rPr>
        <w:t>Lucas Muchaluat Moreira</w:t>
      </w:r>
    </w:p>
    <w:p w14:paraId="74B4FCA0" w14:textId="6B857D37" w:rsidR="00200C7C" w:rsidRPr="00A45E4D" w:rsidRDefault="00200C7C" w:rsidP="00A45E4D">
      <w:pPr>
        <w:spacing w:line="360" w:lineRule="auto"/>
        <w:jc w:val="center"/>
        <w:rPr>
          <w:rFonts w:ascii="Times New Roman" w:hAnsi="Times New Roman" w:cs="Times New Roman"/>
          <w:lang w:val="pt-BR"/>
        </w:rPr>
      </w:pPr>
      <w:r w:rsidRPr="00A45E4D">
        <w:rPr>
          <w:rFonts w:ascii="Times New Roman" w:hAnsi="Times New Roman" w:cs="Times New Roman"/>
          <w:lang w:val="pt-BR"/>
        </w:rPr>
        <w:t>Luiz Vitor Germanos Teixeira</w:t>
      </w:r>
    </w:p>
    <w:p w14:paraId="7B218EFA" w14:textId="7D9415B3" w:rsidR="00200C7C" w:rsidRPr="00A45E4D" w:rsidRDefault="00200C7C" w:rsidP="00A45E4D">
      <w:pPr>
        <w:spacing w:line="360" w:lineRule="auto"/>
        <w:jc w:val="center"/>
        <w:rPr>
          <w:rFonts w:ascii="Times New Roman" w:hAnsi="Times New Roman" w:cs="Times New Roman"/>
          <w:lang w:val="pt-BR"/>
        </w:rPr>
      </w:pPr>
      <w:r w:rsidRPr="00A45E4D">
        <w:rPr>
          <w:rFonts w:ascii="Times New Roman" w:hAnsi="Times New Roman" w:cs="Times New Roman"/>
          <w:lang w:val="pt-BR"/>
        </w:rPr>
        <w:t>Matheus Pellizzon</w:t>
      </w:r>
    </w:p>
    <w:p w14:paraId="351168D7" w14:textId="467CB281" w:rsidR="00200C7C" w:rsidRPr="00A45E4D" w:rsidRDefault="00200C7C" w:rsidP="00A45E4D">
      <w:pPr>
        <w:spacing w:line="360" w:lineRule="auto"/>
        <w:jc w:val="center"/>
        <w:rPr>
          <w:rFonts w:ascii="Times New Roman" w:hAnsi="Times New Roman" w:cs="Times New Roman"/>
          <w:lang w:val="pt-BR"/>
        </w:rPr>
      </w:pPr>
      <w:r w:rsidRPr="00A45E4D">
        <w:rPr>
          <w:rFonts w:ascii="Times New Roman" w:hAnsi="Times New Roman" w:cs="Times New Roman"/>
          <w:lang w:val="pt-BR"/>
        </w:rPr>
        <w:t>Pedro Teófilo Ramos</w:t>
      </w:r>
    </w:p>
    <w:p w14:paraId="38D8CA3E" w14:textId="6FD37C05" w:rsidR="00200C7C" w:rsidRPr="00A45E4D" w:rsidRDefault="00200C7C" w:rsidP="00A45E4D">
      <w:pPr>
        <w:spacing w:line="360" w:lineRule="auto"/>
        <w:jc w:val="both"/>
        <w:rPr>
          <w:rFonts w:ascii="Times New Roman" w:hAnsi="Times New Roman" w:cs="Times New Roman"/>
          <w:lang w:val="pt-BR"/>
        </w:rPr>
      </w:pPr>
    </w:p>
    <w:p w14:paraId="1F49C14E" w14:textId="6B899FFB" w:rsidR="00200C7C" w:rsidRPr="00A45E4D" w:rsidRDefault="00200C7C" w:rsidP="00A45E4D">
      <w:pPr>
        <w:spacing w:line="360" w:lineRule="auto"/>
        <w:jc w:val="both"/>
        <w:rPr>
          <w:rFonts w:ascii="Times New Roman" w:hAnsi="Times New Roman" w:cs="Times New Roman"/>
          <w:lang w:val="pt-BR"/>
        </w:rPr>
      </w:pPr>
    </w:p>
    <w:p w14:paraId="19CB4770" w14:textId="268052DB" w:rsidR="00200C7C" w:rsidRPr="00A45E4D" w:rsidRDefault="00200C7C" w:rsidP="00A45E4D">
      <w:pPr>
        <w:spacing w:line="360" w:lineRule="auto"/>
        <w:jc w:val="both"/>
        <w:rPr>
          <w:rFonts w:ascii="Times New Roman" w:hAnsi="Times New Roman" w:cs="Times New Roman"/>
          <w:lang w:val="pt-BR"/>
        </w:rPr>
      </w:pPr>
    </w:p>
    <w:p w14:paraId="23F753C2" w14:textId="6254F5CB" w:rsidR="00200C7C" w:rsidRPr="00A45E4D" w:rsidRDefault="00200C7C" w:rsidP="00A45E4D">
      <w:pPr>
        <w:spacing w:line="360" w:lineRule="auto"/>
        <w:jc w:val="both"/>
        <w:rPr>
          <w:rFonts w:ascii="Times New Roman" w:hAnsi="Times New Roman" w:cs="Times New Roman"/>
          <w:lang w:val="pt-BR"/>
        </w:rPr>
      </w:pPr>
    </w:p>
    <w:p w14:paraId="70664F0D" w14:textId="1FF38B8D" w:rsidR="00200C7C" w:rsidRPr="00A45E4D" w:rsidRDefault="00200C7C" w:rsidP="00A45E4D">
      <w:pPr>
        <w:spacing w:line="360" w:lineRule="auto"/>
        <w:jc w:val="both"/>
        <w:rPr>
          <w:rFonts w:ascii="Times New Roman" w:hAnsi="Times New Roman" w:cs="Times New Roman"/>
          <w:lang w:val="pt-BR"/>
        </w:rPr>
      </w:pPr>
    </w:p>
    <w:p w14:paraId="5D3D745E" w14:textId="19A61351" w:rsidR="00200C7C" w:rsidRPr="00A45E4D" w:rsidRDefault="00200C7C" w:rsidP="00A45E4D">
      <w:pPr>
        <w:spacing w:line="360" w:lineRule="auto"/>
        <w:jc w:val="both"/>
        <w:rPr>
          <w:rFonts w:ascii="Times New Roman" w:hAnsi="Times New Roman" w:cs="Times New Roman"/>
          <w:lang w:val="pt-BR"/>
        </w:rPr>
      </w:pPr>
    </w:p>
    <w:p w14:paraId="133FC3C0" w14:textId="10454E81" w:rsidR="00200C7C" w:rsidRPr="00A45E4D" w:rsidRDefault="00200C7C" w:rsidP="00A45E4D">
      <w:pPr>
        <w:spacing w:line="360" w:lineRule="auto"/>
        <w:jc w:val="both"/>
        <w:rPr>
          <w:rFonts w:ascii="Times New Roman" w:hAnsi="Times New Roman" w:cs="Times New Roman"/>
          <w:lang w:val="pt-BR"/>
        </w:rPr>
      </w:pPr>
    </w:p>
    <w:p w14:paraId="4DE175B7" w14:textId="5D6DD8ED" w:rsidR="00200C7C" w:rsidRPr="00A45E4D" w:rsidRDefault="00200C7C" w:rsidP="00A45E4D">
      <w:pPr>
        <w:spacing w:line="360" w:lineRule="auto"/>
        <w:jc w:val="both"/>
        <w:rPr>
          <w:rFonts w:ascii="Times New Roman" w:hAnsi="Times New Roman" w:cs="Times New Roman"/>
          <w:lang w:val="pt-BR"/>
        </w:rPr>
      </w:pPr>
    </w:p>
    <w:p w14:paraId="5A27E811" w14:textId="47FECA90" w:rsidR="00200C7C" w:rsidRPr="00A45E4D" w:rsidRDefault="00200C7C" w:rsidP="00A45E4D">
      <w:pPr>
        <w:spacing w:line="360" w:lineRule="auto"/>
        <w:jc w:val="both"/>
        <w:rPr>
          <w:rFonts w:ascii="Times New Roman" w:hAnsi="Times New Roman" w:cs="Times New Roman"/>
          <w:lang w:val="pt-BR"/>
        </w:rPr>
      </w:pPr>
    </w:p>
    <w:p w14:paraId="755A71AE" w14:textId="3F461E38" w:rsidR="003F31DC" w:rsidRPr="00A45E4D" w:rsidRDefault="003F31DC" w:rsidP="00A45E4D">
      <w:pPr>
        <w:spacing w:line="360" w:lineRule="auto"/>
        <w:jc w:val="both"/>
        <w:rPr>
          <w:rFonts w:ascii="Times New Roman" w:hAnsi="Times New Roman" w:cs="Times New Roman"/>
          <w:lang w:val="pt-BR"/>
        </w:rPr>
      </w:pPr>
    </w:p>
    <w:p w14:paraId="00020E62" w14:textId="69EE7661" w:rsidR="00A45E4D" w:rsidRPr="00A45E4D" w:rsidRDefault="00A45E4D" w:rsidP="00A45E4D">
      <w:pPr>
        <w:spacing w:line="360" w:lineRule="auto"/>
        <w:jc w:val="both"/>
        <w:rPr>
          <w:rFonts w:ascii="Times New Roman" w:hAnsi="Times New Roman" w:cs="Times New Roman"/>
          <w:lang w:val="pt-BR"/>
        </w:rPr>
      </w:pPr>
    </w:p>
    <w:p w14:paraId="7C404A97" w14:textId="497A8B60" w:rsidR="00A45E4D" w:rsidRPr="00A45E4D" w:rsidRDefault="00A45E4D" w:rsidP="00A45E4D">
      <w:pPr>
        <w:spacing w:line="360" w:lineRule="auto"/>
        <w:jc w:val="both"/>
        <w:rPr>
          <w:rFonts w:ascii="Times New Roman" w:hAnsi="Times New Roman" w:cs="Times New Roman"/>
          <w:lang w:val="pt-BR"/>
        </w:rPr>
      </w:pPr>
    </w:p>
    <w:p w14:paraId="7D41B9EA" w14:textId="5D863041" w:rsidR="00A45E4D" w:rsidRPr="00A45E4D" w:rsidRDefault="00A45E4D" w:rsidP="00A45E4D">
      <w:pPr>
        <w:spacing w:line="360" w:lineRule="auto"/>
        <w:jc w:val="both"/>
        <w:rPr>
          <w:rFonts w:ascii="Times New Roman" w:hAnsi="Times New Roman" w:cs="Times New Roman"/>
          <w:lang w:val="pt-BR"/>
        </w:rPr>
      </w:pPr>
    </w:p>
    <w:p w14:paraId="7FF61D54" w14:textId="1FD0190D" w:rsidR="00A45E4D" w:rsidRPr="00A45E4D" w:rsidRDefault="00A45E4D" w:rsidP="00A45E4D">
      <w:pPr>
        <w:spacing w:line="360" w:lineRule="auto"/>
        <w:jc w:val="both"/>
        <w:rPr>
          <w:rFonts w:ascii="Times New Roman" w:hAnsi="Times New Roman" w:cs="Times New Roman"/>
          <w:lang w:val="pt-BR"/>
        </w:rPr>
      </w:pPr>
    </w:p>
    <w:p w14:paraId="0D5DD32E" w14:textId="637B3BD0" w:rsidR="00A45E4D" w:rsidRPr="00A45E4D" w:rsidRDefault="00A45E4D" w:rsidP="00A45E4D">
      <w:pPr>
        <w:spacing w:line="360" w:lineRule="auto"/>
        <w:jc w:val="both"/>
        <w:rPr>
          <w:rFonts w:ascii="Times New Roman" w:hAnsi="Times New Roman" w:cs="Times New Roman"/>
          <w:lang w:val="pt-BR"/>
        </w:rPr>
      </w:pPr>
    </w:p>
    <w:p w14:paraId="09B28BEF" w14:textId="21AEFC7C" w:rsidR="00A45E4D" w:rsidRPr="00A45E4D" w:rsidRDefault="00A45E4D" w:rsidP="00A45E4D">
      <w:pPr>
        <w:spacing w:line="360" w:lineRule="auto"/>
        <w:jc w:val="both"/>
        <w:rPr>
          <w:rFonts w:ascii="Times New Roman" w:hAnsi="Times New Roman" w:cs="Times New Roman"/>
          <w:lang w:val="pt-BR"/>
        </w:rPr>
      </w:pPr>
    </w:p>
    <w:p w14:paraId="5118DE6A" w14:textId="42195948" w:rsidR="00A45E4D" w:rsidRPr="00A45E4D" w:rsidRDefault="00A45E4D" w:rsidP="00A45E4D">
      <w:pPr>
        <w:spacing w:line="360" w:lineRule="auto"/>
        <w:jc w:val="both"/>
        <w:rPr>
          <w:rFonts w:ascii="Times New Roman" w:hAnsi="Times New Roman" w:cs="Times New Roman"/>
          <w:lang w:val="pt-BR"/>
        </w:rPr>
      </w:pPr>
    </w:p>
    <w:p w14:paraId="6182F1A7" w14:textId="77777777" w:rsidR="00A45E4D" w:rsidRPr="00A45E4D" w:rsidRDefault="00A45E4D" w:rsidP="00A45E4D">
      <w:pPr>
        <w:spacing w:line="360" w:lineRule="auto"/>
        <w:jc w:val="both"/>
        <w:rPr>
          <w:rFonts w:ascii="Times New Roman" w:hAnsi="Times New Roman" w:cs="Times New Roman"/>
          <w:lang w:val="pt-BR"/>
        </w:rPr>
      </w:pPr>
    </w:p>
    <w:p w14:paraId="2745E3EF" w14:textId="777D6CFB" w:rsidR="00A45E4D" w:rsidRDefault="00A45E4D" w:rsidP="00A45E4D">
      <w:pPr>
        <w:spacing w:line="360" w:lineRule="auto"/>
        <w:jc w:val="both"/>
        <w:rPr>
          <w:rFonts w:ascii="Times New Roman" w:hAnsi="Times New Roman" w:cs="Times New Roman"/>
          <w:lang w:val="pt-BR"/>
        </w:rPr>
      </w:pPr>
    </w:p>
    <w:p w14:paraId="21CAC6CE" w14:textId="77777777" w:rsidR="00A45E4D" w:rsidRPr="00A45E4D" w:rsidRDefault="00A45E4D" w:rsidP="00A45E4D">
      <w:pPr>
        <w:spacing w:line="360" w:lineRule="auto"/>
        <w:jc w:val="both"/>
        <w:rPr>
          <w:rFonts w:ascii="Times New Roman" w:hAnsi="Times New Roman" w:cs="Times New Roman"/>
          <w:lang w:val="pt-BR"/>
        </w:rPr>
      </w:pPr>
    </w:p>
    <w:p w14:paraId="607B9689" w14:textId="5F55D586" w:rsidR="003F31DC" w:rsidRPr="00A45E4D" w:rsidRDefault="00A45E4D" w:rsidP="00A45E4D">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lastRenderedPageBreak/>
        <w:t xml:space="preserve">Introdução à empresa: </w:t>
      </w:r>
      <w:r w:rsidR="003F31DC" w:rsidRPr="00A45E4D">
        <w:rPr>
          <w:rFonts w:ascii="Times New Roman" w:hAnsi="Times New Roman" w:cs="Times New Roman"/>
        </w:rPr>
        <w:t>MRV</w:t>
      </w:r>
    </w:p>
    <w:p w14:paraId="6C409D97" w14:textId="0D9E53B1" w:rsidR="00A45E4D" w:rsidRPr="0004091D" w:rsidRDefault="003F31DC" w:rsidP="00A45E4D">
      <w:pPr>
        <w:spacing w:line="360" w:lineRule="auto"/>
        <w:jc w:val="both"/>
        <w:rPr>
          <w:rFonts w:ascii="Times New Roman" w:hAnsi="Times New Roman" w:cs="Times New Roman"/>
          <w:highlight w:val="yellow"/>
          <w:lang w:val="pt-BR"/>
        </w:rPr>
      </w:pPr>
      <w:r w:rsidRPr="0004091D">
        <w:rPr>
          <w:rFonts w:ascii="Times New Roman" w:hAnsi="Times New Roman" w:cs="Times New Roman"/>
          <w:highlight w:val="yellow"/>
          <w:lang w:val="pt-BR"/>
        </w:rPr>
        <w:t>Observe a evolução destes indicadores financeiros e reflita sobre seu significado. Em complemento investigue e correlacione os resultados com os aspectos estratégicos da empresa e/ou o ambiente de negócios e o cenário macroeconômico local e global; reflita também sobre como a evolução desses indicadores poderiam auxiliar para realizar previsões dos demonstrativos financeiros (Demonstração do Resultado, Balanço Patrimonial e Fluxo de Caixa Financeiro). Em complemento, utilize a análise horizontal e vertical dos demonstrativos financeiros para investigar o comportamento das variáveis que compõe cada indicador</w:t>
      </w:r>
    </w:p>
    <w:p w14:paraId="0DAF3BB3" w14:textId="77777777" w:rsidR="00A67A23" w:rsidRDefault="003F31DC" w:rsidP="00A67A23">
      <w:pPr>
        <w:spacing w:after="0" w:line="360" w:lineRule="auto"/>
        <w:jc w:val="both"/>
        <w:rPr>
          <w:rFonts w:ascii="Times New Roman" w:eastAsia="Times New Roman" w:hAnsi="Times New Roman" w:cs="Times New Roman"/>
          <w:color w:val="000000"/>
        </w:rPr>
      </w:pPr>
      <w:r w:rsidRPr="003F31DC">
        <w:rPr>
          <w:rFonts w:ascii="Times New Roman" w:eastAsia="Times New Roman" w:hAnsi="Times New Roman" w:cs="Times New Roman"/>
          <w:color w:val="000000"/>
          <w:highlight w:val="yellow"/>
          <w:lang w:val="pt-BR"/>
        </w:rPr>
        <w:t xml:space="preserve">Realiza a análise de indicadores, vertical e horizontal completa e sem erros E analisa corretamente os resultados relacionando com aspectos estratégicos da empresa ou do ambiente de negócios. Constrói a tabela clara apresentando os resultados destes indicadores e a AH (análise horizontal) desses resultados. Constrói gráficos que contribuam com a investigação e análise dos indicadores financeiros. </w:t>
      </w:r>
      <w:proofErr w:type="spellStart"/>
      <w:r w:rsidRPr="003F31DC">
        <w:rPr>
          <w:rFonts w:ascii="Times New Roman" w:eastAsia="Times New Roman" w:hAnsi="Times New Roman" w:cs="Times New Roman"/>
          <w:color w:val="000000"/>
          <w:highlight w:val="yellow"/>
        </w:rPr>
        <w:t>Em</w:t>
      </w:r>
      <w:proofErr w:type="spellEnd"/>
      <w:r w:rsidRPr="003F31DC">
        <w:rPr>
          <w:rFonts w:ascii="Times New Roman" w:eastAsia="Times New Roman" w:hAnsi="Times New Roman" w:cs="Times New Roman"/>
          <w:color w:val="000000"/>
          <w:highlight w:val="yellow"/>
        </w:rPr>
        <w:t xml:space="preserve"> </w:t>
      </w:r>
      <w:proofErr w:type="spellStart"/>
      <w:r w:rsidRPr="003F31DC">
        <w:rPr>
          <w:rFonts w:ascii="Times New Roman" w:eastAsia="Times New Roman" w:hAnsi="Times New Roman" w:cs="Times New Roman"/>
          <w:color w:val="000000"/>
          <w:highlight w:val="yellow"/>
        </w:rPr>
        <w:t>complemento</w:t>
      </w:r>
      <w:proofErr w:type="spellEnd"/>
      <w:r w:rsidRPr="003F31DC">
        <w:rPr>
          <w:rFonts w:ascii="Times New Roman" w:eastAsia="Times New Roman" w:hAnsi="Times New Roman" w:cs="Times New Roman"/>
          <w:color w:val="000000"/>
          <w:highlight w:val="yellow"/>
        </w:rPr>
        <w:t xml:space="preserve">, </w:t>
      </w:r>
      <w:proofErr w:type="spellStart"/>
      <w:r w:rsidRPr="003F31DC">
        <w:rPr>
          <w:rFonts w:ascii="Times New Roman" w:eastAsia="Times New Roman" w:hAnsi="Times New Roman" w:cs="Times New Roman"/>
          <w:color w:val="000000"/>
          <w:highlight w:val="yellow"/>
        </w:rPr>
        <w:t>compara</w:t>
      </w:r>
      <w:proofErr w:type="spellEnd"/>
      <w:r w:rsidRPr="003F31DC">
        <w:rPr>
          <w:rFonts w:ascii="Times New Roman" w:eastAsia="Times New Roman" w:hAnsi="Times New Roman" w:cs="Times New Roman"/>
          <w:color w:val="000000"/>
          <w:highlight w:val="yellow"/>
        </w:rPr>
        <w:t xml:space="preserve"> com</w:t>
      </w:r>
    </w:p>
    <w:p w14:paraId="09A5BB42" w14:textId="77777777" w:rsidR="00A67A23" w:rsidRDefault="00A67A23" w:rsidP="00A67A23">
      <w:pPr>
        <w:pStyle w:val="ListParagraph"/>
        <w:numPr>
          <w:ilvl w:val="0"/>
          <w:numId w:val="11"/>
        </w:num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Indicadores</w:t>
      </w:r>
      <w:r w:rsidRPr="00A67A23">
        <w:rPr>
          <w:rFonts w:ascii="Times New Roman" w:eastAsia="Times New Roman" w:hAnsi="Times New Roman" w:cs="Times New Roman"/>
          <w:color w:val="000000"/>
        </w:rPr>
        <w:tab/>
      </w:r>
    </w:p>
    <w:p w14:paraId="4C21BB9A" w14:textId="10F7B349" w:rsidR="00A67A23" w:rsidRPr="00A67A23" w:rsidRDefault="00A67A23" w:rsidP="00A67A23">
      <w:pPr>
        <w:pStyle w:val="ListParagraph"/>
        <w:numPr>
          <w:ilvl w:val="1"/>
          <w:numId w:val="11"/>
        </w:numPr>
        <w:spacing w:after="0" w:line="360" w:lineRule="auto"/>
        <w:jc w:val="both"/>
        <w:rPr>
          <w:rFonts w:ascii="Times New Roman" w:eastAsia="Times New Roman" w:hAnsi="Times New Roman" w:cs="Times New Roman"/>
          <w:color w:val="000000"/>
        </w:rPr>
      </w:pPr>
      <w:r w:rsidRPr="00A67A23">
        <w:rPr>
          <w:rFonts w:ascii="Times New Roman" w:eastAsia="Times New Roman" w:hAnsi="Times New Roman" w:cs="Times New Roman"/>
          <w:color w:val="000000"/>
        </w:rPr>
        <w:t>Liquidez Corrente e Seca</w:t>
      </w:r>
    </w:p>
    <w:p w14:paraId="2FF34EDC" w14:textId="1CE96296" w:rsidR="00774E4E" w:rsidRDefault="0004091D" w:rsidP="00A67A23">
      <w:pPr>
        <w:spacing w:after="0" w:line="360" w:lineRule="auto"/>
        <w:ind w:firstLine="720"/>
        <w:jc w:val="both"/>
        <w:rPr>
          <w:rFonts w:ascii="Times New Roman" w:eastAsia="Times New Roman" w:hAnsi="Times New Roman" w:cs="Times New Roman"/>
          <w:color w:val="000000"/>
          <w:lang w:val="pt-BR"/>
        </w:rPr>
      </w:pPr>
      <w:r w:rsidRPr="0004091D">
        <w:rPr>
          <w:rFonts w:ascii="Times New Roman" w:eastAsia="Times New Roman" w:hAnsi="Times New Roman" w:cs="Times New Roman"/>
          <w:color w:val="000000"/>
          <w:lang w:val="pt-BR"/>
        </w:rPr>
        <w:t xml:space="preserve">Analisando </w:t>
      </w:r>
      <w:r>
        <w:rPr>
          <w:rFonts w:ascii="Times New Roman" w:eastAsia="Times New Roman" w:hAnsi="Times New Roman" w:cs="Times New Roman"/>
          <w:color w:val="000000"/>
          <w:lang w:val="pt-BR"/>
        </w:rPr>
        <w:t>os índices de liquidez da MRV</w:t>
      </w:r>
      <w:r w:rsidRPr="0004091D">
        <w:rPr>
          <w:rFonts w:ascii="Times New Roman" w:eastAsia="Times New Roman" w:hAnsi="Times New Roman" w:cs="Times New Roman"/>
          <w:color w:val="000000"/>
          <w:lang w:val="pt-BR"/>
        </w:rPr>
        <w:t>, é</w:t>
      </w:r>
      <w:r>
        <w:rPr>
          <w:rFonts w:ascii="Times New Roman" w:eastAsia="Times New Roman" w:hAnsi="Times New Roman" w:cs="Times New Roman"/>
          <w:color w:val="000000"/>
          <w:lang w:val="pt-BR"/>
        </w:rPr>
        <w:t xml:space="preserve"> possível notar uma tendência de queda, a partir de 2018, tanto da Liquidez Corrente quanto da Seca. Apesar da queda, ela ainda tem capital suficiente para cobrir os custos de suas dívidas de curto prazo, inclusive quando é desconsiderado o uso do estoque para liquidar </w:t>
      </w:r>
      <w:r w:rsidR="00774E4E">
        <w:rPr>
          <w:rFonts w:ascii="Times New Roman" w:eastAsia="Times New Roman" w:hAnsi="Times New Roman" w:cs="Times New Roman"/>
          <w:color w:val="000000"/>
          <w:lang w:val="pt-BR"/>
        </w:rPr>
        <w:t xml:space="preserve">suas obrigações financeiras. Em relação à demais empresas desse mesmo setor, os índices da MRV apresentam valores absolutos significativamente menores. Porém, sabendo que os empreendimentos da MRV têm como foco o público de baixa renda, e dados os contratos feitos com o governo (FGTS), ela tem menos risco em seus recebimentos, permitindo que seus índices de liquidez sejam menores que das outras empresas. </w:t>
      </w:r>
    </w:p>
    <w:p w14:paraId="68BDF725" w14:textId="0E6D55B5" w:rsidR="00B81DB7" w:rsidRPr="0004091D" w:rsidRDefault="00774E4E" w:rsidP="00A45E4D">
      <w:pPr>
        <w:spacing w:after="0" w:line="360" w:lineRule="auto"/>
        <w:jc w:val="both"/>
        <w:rPr>
          <w:rFonts w:ascii="Times New Roman" w:eastAsia="Times New Roman" w:hAnsi="Times New Roman" w:cs="Times New Roman"/>
          <w:color w:val="000000"/>
          <w:lang w:val="pt-BR"/>
        </w:rPr>
      </w:pPr>
      <w:r>
        <w:rPr>
          <w:noProof/>
        </w:rPr>
        <w:drawing>
          <wp:inline distT="0" distB="0" distL="0" distR="0" wp14:anchorId="5E1E2E14" wp14:editId="7B1BBA0A">
            <wp:extent cx="6233499" cy="204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3499" cy="2042160"/>
                    </a:xfrm>
                    <a:prstGeom prst="rect">
                      <a:avLst/>
                    </a:prstGeom>
                    <a:noFill/>
                    <a:ln>
                      <a:noFill/>
                    </a:ln>
                  </pic:spPr>
                </pic:pic>
              </a:graphicData>
            </a:graphic>
          </wp:inline>
        </w:drawing>
      </w:r>
    </w:p>
    <w:p w14:paraId="1092DC53" w14:textId="344777CD" w:rsidR="003F31DC" w:rsidRDefault="003F31DC" w:rsidP="00A45E4D">
      <w:pPr>
        <w:spacing w:after="0" w:line="360" w:lineRule="auto"/>
        <w:jc w:val="both"/>
        <w:rPr>
          <w:rFonts w:ascii="Times New Roman" w:eastAsia="Times New Roman" w:hAnsi="Times New Roman" w:cs="Times New Roman"/>
          <w:lang w:val="pt-BR"/>
        </w:rPr>
      </w:pPr>
    </w:p>
    <w:p w14:paraId="34CBC18D" w14:textId="07CCFC0B" w:rsidR="00A67A23" w:rsidRDefault="00A67A23" w:rsidP="00A45E4D">
      <w:pPr>
        <w:spacing w:after="0" w:line="360" w:lineRule="auto"/>
        <w:jc w:val="both"/>
        <w:rPr>
          <w:rFonts w:ascii="Times New Roman" w:eastAsia="Times New Roman" w:hAnsi="Times New Roman" w:cs="Times New Roman"/>
          <w:lang w:val="pt-BR"/>
        </w:rPr>
      </w:pPr>
    </w:p>
    <w:p w14:paraId="5DEDDFDA" w14:textId="09B18E55" w:rsidR="00A67A23" w:rsidRDefault="00A67A23" w:rsidP="00A45E4D">
      <w:pPr>
        <w:spacing w:after="0" w:line="360" w:lineRule="auto"/>
        <w:jc w:val="both"/>
        <w:rPr>
          <w:rFonts w:ascii="Times New Roman" w:eastAsia="Times New Roman" w:hAnsi="Times New Roman" w:cs="Times New Roman"/>
          <w:lang w:val="pt-BR"/>
        </w:rPr>
      </w:pPr>
    </w:p>
    <w:p w14:paraId="7BAE0813" w14:textId="77777777" w:rsidR="00A67A23" w:rsidRPr="0004091D" w:rsidRDefault="00A67A23" w:rsidP="00A45E4D">
      <w:pPr>
        <w:spacing w:after="0" w:line="360" w:lineRule="auto"/>
        <w:jc w:val="both"/>
        <w:rPr>
          <w:rFonts w:ascii="Times New Roman" w:eastAsia="Times New Roman" w:hAnsi="Times New Roman" w:cs="Times New Roman"/>
          <w:lang w:val="pt-BR"/>
        </w:rPr>
      </w:pPr>
    </w:p>
    <w:p w14:paraId="6D0D217D" w14:textId="4D1A1E91" w:rsidR="003F31DC" w:rsidRDefault="00A67A23" w:rsidP="00A67A23">
      <w:pPr>
        <w:pStyle w:val="ListParagraph"/>
        <w:numPr>
          <w:ilvl w:val="1"/>
          <w:numId w:val="11"/>
        </w:numPr>
        <w:spacing w:line="360" w:lineRule="auto"/>
        <w:jc w:val="both"/>
        <w:rPr>
          <w:rFonts w:ascii="Times New Roman" w:hAnsi="Times New Roman" w:cs="Times New Roman"/>
        </w:rPr>
      </w:pPr>
      <w:r>
        <w:rPr>
          <w:rFonts w:ascii="Times New Roman" w:hAnsi="Times New Roman" w:cs="Times New Roman"/>
        </w:rPr>
        <w:lastRenderedPageBreak/>
        <w:t>Liquidez Imediata</w:t>
      </w:r>
    </w:p>
    <w:p w14:paraId="0E74A05D" w14:textId="48B0C431" w:rsidR="00A67A23" w:rsidRDefault="00A67A23" w:rsidP="005D4C8E">
      <w:pPr>
        <w:spacing w:line="360" w:lineRule="auto"/>
        <w:ind w:firstLine="720"/>
        <w:jc w:val="both"/>
        <w:rPr>
          <w:rFonts w:ascii="Times New Roman" w:hAnsi="Times New Roman" w:cs="Times New Roman"/>
          <w:lang w:val="pt-BR"/>
        </w:rPr>
      </w:pPr>
      <w:r w:rsidRPr="00A67A23">
        <w:rPr>
          <w:rFonts w:ascii="Times New Roman" w:hAnsi="Times New Roman" w:cs="Times New Roman"/>
          <w:lang w:val="pt-BR"/>
        </w:rPr>
        <w:t>A tendê</w:t>
      </w:r>
      <w:r>
        <w:rPr>
          <w:rFonts w:ascii="Times New Roman" w:hAnsi="Times New Roman" w:cs="Times New Roman"/>
          <w:lang w:val="pt-BR"/>
        </w:rPr>
        <w:t xml:space="preserve">ncia vista anteriormente não pode ser replicada para a Liquidez Imediata que, por sua vez, demonstra certa oscilação (queda de 2018 para 2019 e ascensão de 2019 para 2020). A queda em 2019 é explicada </w:t>
      </w:r>
      <w:r w:rsidR="008B57FE">
        <w:rPr>
          <w:rFonts w:ascii="Times New Roman" w:hAnsi="Times New Roman" w:cs="Times New Roman"/>
          <w:lang w:val="pt-BR"/>
        </w:rPr>
        <w:t xml:space="preserve">pelo baixo volume de vendas, impactado pelo problema de repasse do programa </w:t>
      </w:r>
      <w:r w:rsidR="008B57FE" w:rsidRPr="008B57FE">
        <w:rPr>
          <w:rFonts w:ascii="Times New Roman" w:hAnsi="Times New Roman" w:cs="Times New Roman"/>
          <w:i/>
          <w:iCs/>
          <w:lang w:val="pt-BR"/>
        </w:rPr>
        <w:t>Minha Casa, Minha Vid</w:t>
      </w:r>
      <w:r w:rsidR="008B57FE">
        <w:rPr>
          <w:rFonts w:ascii="Times New Roman" w:hAnsi="Times New Roman" w:cs="Times New Roman"/>
          <w:i/>
          <w:iCs/>
          <w:lang w:val="pt-BR"/>
        </w:rPr>
        <w:t>a</w:t>
      </w:r>
      <w:r w:rsidR="008B57FE">
        <w:rPr>
          <w:rFonts w:ascii="Times New Roman" w:hAnsi="Times New Roman" w:cs="Times New Roman"/>
          <w:lang w:val="pt-BR"/>
        </w:rPr>
        <w:t xml:space="preserve"> somado a uma queima de caixa, impulsionado pelo aumento do volume de estoque e aquisição de novos terrenos resultaram em fracos valores operacionais da metade até o encerramento do ano. Por outro lado, a ascensão em 2020 se explica pela boa geração de caixa no final do ano, devido à venda do projeto da AHS</w:t>
      </w:r>
      <w:r w:rsidR="00B214BE">
        <w:rPr>
          <w:rFonts w:ascii="Times New Roman" w:hAnsi="Times New Roman" w:cs="Times New Roman"/>
          <w:lang w:val="pt-BR"/>
        </w:rPr>
        <w:t xml:space="preserve"> e não de estímulos de operações principais.</w:t>
      </w:r>
    </w:p>
    <w:p w14:paraId="40635994" w14:textId="77777777" w:rsidR="005D4C8E" w:rsidRPr="00A67A23" w:rsidRDefault="005D4C8E" w:rsidP="005D4C8E">
      <w:pPr>
        <w:spacing w:line="360" w:lineRule="auto"/>
        <w:ind w:firstLine="720"/>
        <w:jc w:val="both"/>
        <w:rPr>
          <w:rFonts w:ascii="Times New Roman" w:hAnsi="Times New Roman" w:cs="Times New Roman"/>
          <w:lang w:val="pt-BR"/>
        </w:rPr>
      </w:pPr>
    </w:p>
    <w:p w14:paraId="305AED98" w14:textId="31633B3E" w:rsidR="00A67A23" w:rsidRDefault="00C33114" w:rsidP="00A67A23">
      <w:pPr>
        <w:pStyle w:val="ListParagraph"/>
        <w:numPr>
          <w:ilvl w:val="0"/>
          <w:numId w:val="11"/>
        </w:numPr>
        <w:spacing w:after="0" w:line="360" w:lineRule="auto"/>
        <w:jc w:val="both"/>
        <w:rPr>
          <w:rFonts w:ascii="Times New Roman" w:eastAsia="Times New Roman" w:hAnsi="Times New Roman" w:cs="Times New Roman"/>
          <w:color w:val="000000"/>
        </w:rPr>
      </w:pPr>
      <w:bookmarkStart w:id="0" w:name="_Hlk66735231"/>
      <w:r>
        <w:rPr>
          <w:rFonts w:ascii="Times New Roman" w:eastAsia="Times New Roman" w:hAnsi="Times New Roman" w:cs="Times New Roman"/>
          <w:color w:val="000000"/>
        </w:rPr>
        <w:t>Análise DuPont</w:t>
      </w:r>
    </w:p>
    <w:p w14:paraId="46E47CE2" w14:textId="395F8D04" w:rsidR="005736FC" w:rsidRDefault="005736FC" w:rsidP="005736FC">
      <w:pPr>
        <w:pStyle w:val="ListParagraph"/>
        <w:numPr>
          <w:ilvl w:val="1"/>
          <w:numId w:val="11"/>
        </w:num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Evolução ao longo dos anos</w:t>
      </w:r>
    </w:p>
    <w:p w14:paraId="2E27A000" w14:textId="580E6909" w:rsidR="00AB0A53" w:rsidRDefault="00DD0685" w:rsidP="008B6EBF">
      <w:pPr>
        <w:spacing w:after="0" w:line="360" w:lineRule="auto"/>
        <w:ind w:firstLine="360"/>
        <w:jc w:val="both"/>
        <w:rPr>
          <w:rFonts w:ascii="Times New Roman" w:eastAsia="Times New Roman" w:hAnsi="Times New Roman" w:cs="Times New Roman"/>
          <w:color w:val="000000"/>
          <w:lang w:val="pt-BR"/>
        </w:rPr>
      </w:pPr>
      <w:r w:rsidRPr="00DD0685">
        <w:rPr>
          <w:rFonts w:ascii="Times New Roman" w:eastAsia="Times New Roman" w:hAnsi="Times New Roman" w:cs="Times New Roman"/>
          <w:color w:val="000000"/>
          <w:lang w:val="pt-BR"/>
        </w:rPr>
        <w:t>Em 2018, o ROE apresentou u</w:t>
      </w:r>
      <w:r>
        <w:rPr>
          <w:rFonts w:ascii="Times New Roman" w:eastAsia="Times New Roman" w:hAnsi="Times New Roman" w:cs="Times New Roman"/>
          <w:color w:val="000000"/>
          <w:lang w:val="pt-BR"/>
        </w:rPr>
        <w:t xml:space="preserve">m crescimento que foi puxado principalmente pelo aumento do </w:t>
      </w:r>
      <w:r w:rsidR="00090D80">
        <w:rPr>
          <w:rFonts w:ascii="Times New Roman" w:eastAsia="Times New Roman" w:hAnsi="Times New Roman" w:cs="Times New Roman"/>
          <w:color w:val="000000"/>
          <w:lang w:val="pt-BR"/>
        </w:rPr>
        <w:t xml:space="preserve">Giro do Ativo, que cresceu 22% em relação ao ano anterior. Essa movimentação é explicada tanto pelo aumento das Vendas quanto pela queda no Ativo Total. Vale destacar que essa queda foi puxada pela diminuição da conta Investimentos no BP </w:t>
      </w:r>
      <w:r w:rsidR="00090D80" w:rsidRPr="00AB0A53">
        <w:rPr>
          <w:rFonts w:ascii="Times New Roman" w:eastAsia="Times New Roman" w:hAnsi="Times New Roman" w:cs="Times New Roman"/>
          <w:color w:val="000000"/>
          <w:highlight w:val="green"/>
          <w:lang w:val="pt-BR"/>
        </w:rPr>
        <w:t>[</w:t>
      </w:r>
      <w:r w:rsidR="00AB0A53" w:rsidRPr="00090D80">
        <w:rPr>
          <w:rFonts w:ascii="Times New Roman" w:eastAsia="Times New Roman" w:hAnsi="Times New Roman" w:cs="Times New Roman"/>
          <w:color w:val="000000"/>
          <w:highlight w:val="green"/>
          <w:lang w:val="pt-BR"/>
        </w:rPr>
        <w:t>referência</w:t>
      </w:r>
      <w:r w:rsidR="00090D80" w:rsidRPr="00090D80">
        <w:rPr>
          <w:rFonts w:ascii="Times New Roman" w:eastAsia="Times New Roman" w:hAnsi="Times New Roman" w:cs="Times New Roman"/>
          <w:color w:val="000000"/>
          <w:highlight w:val="green"/>
          <w:lang w:val="pt-BR"/>
        </w:rPr>
        <w:t xml:space="preserve"> tabela</w:t>
      </w:r>
      <w:r w:rsidR="00AB0A53">
        <w:rPr>
          <w:rFonts w:ascii="Times New Roman" w:eastAsia="Times New Roman" w:hAnsi="Times New Roman" w:cs="Times New Roman"/>
          <w:color w:val="000000"/>
          <w:highlight w:val="green"/>
          <w:lang w:val="pt-BR"/>
        </w:rPr>
        <w:t>/anexos</w:t>
      </w:r>
      <w:r w:rsidR="00090D80" w:rsidRPr="00090D80">
        <w:rPr>
          <w:rFonts w:ascii="Times New Roman" w:eastAsia="Times New Roman" w:hAnsi="Times New Roman" w:cs="Times New Roman"/>
          <w:color w:val="000000"/>
          <w:highlight w:val="green"/>
          <w:lang w:val="pt-BR"/>
        </w:rPr>
        <w:t>....],</w:t>
      </w:r>
      <w:r w:rsidR="00090D80">
        <w:rPr>
          <w:rFonts w:ascii="Times New Roman" w:eastAsia="Times New Roman" w:hAnsi="Times New Roman" w:cs="Times New Roman"/>
          <w:color w:val="000000"/>
          <w:lang w:val="pt-BR"/>
        </w:rPr>
        <w:t xml:space="preserve"> que representava 7,38% do Ativo Total e passou a representar 0,34%, sem que houvesse nenhuma </w:t>
      </w:r>
      <w:r w:rsidR="00AB0A53">
        <w:rPr>
          <w:rFonts w:ascii="Times New Roman" w:eastAsia="Times New Roman" w:hAnsi="Times New Roman" w:cs="Times New Roman"/>
          <w:color w:val="000000"/>
          <w:lang w:val="pt-BR"/>
        </w:rPr>
        <w:t>contrapartida</w:t>
      </w:r>
      <w:r w:rsidR="00090D80">
        <w:rPr>
          <w:rFonts w:ascii="Times New Roman" w:eastAsia="Times New Roman" w:hAnsi="Times New Roman" w:cs="Times New Roman"/>
          <w:color w:val="000000"/>
          <w:lang w:val="pt-BR"/>
        </w:rPr>
        <w:t xml:space="preserve"> clara.</w:t>
      </w:r>
      <w:r w:rsidR="008B6EBF">
        <w:rPr>
          <w:rFonts w:ascii="Times New Roman" w:eastAsia="Times New Roman" w:hAnsi="Times New Roman" w:cs="Times New Roman"/>
          <w:color w:val="000000"/>
          <w:lang w:val="pt-BR"/>
        </w:rPr>
        <w:t xml:space="preserve"> </w:t>
      </w:r>
      <w:r w:rsidR="00AB0A53">
        <w:rPr>
          <w:rFonts w:ascii="Times New Roman" w:eastAsia="Times New Roman" w:hAnsi="Times New Roman" w:cs="Times New Roman"/>
          <w:color w:val="000000"/>
          <w:lang w:val="pt-BR"/>
        </w:rPr>
        <w:t xml:space="preserve">O </w:t>
      </w:r>
      <w:r>
        <w:rPr>
          <w:rFonts w:ascii="Times New Roman" w:eastAsia="Times New Roman" w:hAnsi="Times New Roman" w:cs="Times New Roman"/>
          <w:color w:val="000000"/>
          <w:lang w:val="pt-BR"/>
        </w:rPr>
        <w:t xml:space="preserve">GAF </w:t>
      </w:r>
      <w:r w:rsidR="00AB0A53">
        <w:rPr>
          <w:rFonts w:ascii="Times New Roman" w:eastAsia="Times New Roman" w:hAnsi="Times New Roman" w:cs="Times New Roman"/>
          <w:color w:val="000000"/>
          <w:lang w:val="pt-BR"/>
        </w:rPr>
        <w:t>também contribuiu para o crescimento do ROE em 2018</w:t>
      </w:r>
      <w:r>
        <w:rPr>
          <w:rFonts w:ascii="Times New Roman" w:eastAsia="Times New Roman" w:hAnsi="Times New Roman" w:cs="Times New Roman"/>
          <w:color w:val="000000"/>
          <w:lang w:val="pt-BR"/>
        </w:rPr>
        <w:t xml:space="preserve">. </w:t>
      </w:r>
      <w:r w:rsidR="00AB0A53">
        <w:rPr>
          <w:rFonts w:ascii="Times New Roman" w:eastAsia="Times New Roman" w:hAnsi="Times New Roman" w:cs="Times New Roman"/>
          <w:color w:val="000000"/>
          <w:lang w:val="pt-BR"/>
        </w:rPr>
        <w:t xml:space="preserve">Seu crescimento </w:t>
      </w:r>
      <w:r>
        <w:rPr>
          <w:rFonts w:ascii="Times New Roman" w:eastAsia="Times New Roman" w:hAnsi="Times New Roman" w:cs="Times New Roman"/>
          <w:color w:val="000000"/>
          <w:lang w:val="pt-BR"/>
        </w:rPr>
        <w:t>foi causad</w:t>
      </w:r>
      <w:r w:rsidR="00AB0A53">
        <w:rPr>
          <w:rFonts w:ascii="Times New Roman" w:eastAsia="Times New Roman" w:hAnsi="Times New Roman" w:cs="Times New Roman"/>
          <w:color w:val="000000"/>
          <w:lang w:val="pt-BR"/>
        </w:rPr>
        <w:t xml:space="preserve">o </w:t>
      </w:r>
      <w:r>
        <w:rPr>
          <w:rFonts w:ascii="Times New Roman" w:eastAsia="Times New Roman" w:hAnsi="Times New Roman" w:cs="Times New Roman"/>
          <w:color w:val="000000"/>
          <w:lang w:val="pt-BR"/>
        </w:rPr>
        <w:t>por uma queda no patrimônio líquido</w:t>
      </w:r>
      <w:r w:rsidR="00090D80">
        <w:rPr>
          <w:rFonts w:ascii="Times New Roman" w:eastAsia="Times New Roman" w:hAnsi="Times New Roman" w:cs="Times New Roman"/>
          <w:color w:val="000000"/>
          <w:lang w:val="pt-BR"/>
        </w:rPr>
        <w:t xml:space="preserve">, dada a </w:t>
      </w:r>
      <w:r w:rsidR="00AB0A53">
        <w:rPr>
          <w:rFonts w:ascii="Times New Roman" w:eastAsia="Times New Roman" w:hAnsi="Times New Roman" w:cs="Times New Roman"/>
          <w:color w:val="000000"/>
          <w:lang w:val="pt-BR"/>
        </w:rPr>
        <w:t xml:space="preserve">redução </w:t>
      </w:r>
      <w:r w:rsidR="00090D80">
        <w:rPr>
          <w:rFonts w:ascii="Times New Roman" w:eastAsia="Times New Roman" w:hAnsi="Times New Roman" w:cs="Times New Roman"/>
          <w:color w:val="000000"/>
          <w:lang w:val="pt-BR"/>
        </w:rPr>
        <w:t xml:space="preserve">do capital social e da reserva de lucros </w:t>
      </w:r>
      <w:r w:rsidR="00090D80" w:rsidRPr="00AB0A53">
        <w:rPr>
          <w:rFonts w:ascii="Times New Roman" w:eastAsia="Times New Roman" w:hAnsi="Times New Roman" w:cs="Times New Roman"/>
          <w:color w:val="000000"/>
          <w:highlight w:val="green"/>
          <w:lang w:val="pt-BR"/>
        </w:rPr>
        <w:t>[referência BP nos anexos].</w:t>
      </w:r>
      <w:r w:rsidR="00090D80">
        <w:rPr>
          <w:rFonts w:ascii="Times New Roman" w:eastAsia="Times New Roman" w:hAnsi="Times New Roman" w:cs="Times New Roman"/>
          <w:color w:val="000000"/>
          <w:lang w:val="pt-BR"/>
        </w:rPr>
        <w:t xml:space="preserve"> </w:t>
      </w:r>
      <w:r w:rsidR="00AB0A53">
        <w:rPr>
          <w:rFonts w:ascii="Times New Roman" w:eastAsia="Times New Roman" w:hAnsi="Times New Roman" w:cs="Times New Roman"/>
          <w:color w:val="000000"/>
          <w:lang w:val="pt-BR"/>
        </w:rPr>
        <w:t>Já a</w:t>
      </w:r>
      <w:r w:rsidR="00090D80">
        <w:rPr>
          <w:rFonts w:ascii="Times New Roman" w:eastAsia="Times New Roman" w:hAnsi="Times New Roman" w:cs="Times New Roman"/>
          <w:color w:val="000000"/>
          <w:lang w:val="pt-BR"/>
        </w:rPr>
        <w:t xml:space="preserve"> </w:t>
      </w:r>
      <w:r w:rsidR="00AB0A53">
        <w:rPr>
          <w:rFonts w:ascii="Times New Roman" w:eastAsia="Times New Roman" w:hAnsi="Times New Roman" w:cs="Times New Roman"/>
          <w:color w:val="000000"/>
          <w:lang w:val="pt-BR"/>
        </w:rPr>
        <w:t>M</w:t>
      </w:r>
      <w:r w:rsidR="00090D80">
        <w:rPr>
          <w:rFonts w:ascii="Times New Roman" w:eastAsia="Times New Roman" w:hAnsi="Times New Roman" w:cs="Times New Roman"/>
          <w:color w:val="000000"/>
          <w:lang w:val="pt-BR"/>
        </w:rPr>
        <w:t xml:space="preserve">argem </w:t>
      </w:r>
      <w:r w:rsidR="00AB0A53">
        <w:rPr>
          <w:rFonts w:ascii="Times New Roman" w:eastAsia="Times New Roman" w:hAnsi="Times New Roman" w:cs="Times New Roman"/>
          <w:color w:val="000000"/>
          <w:lang w:val="pt-BR"/>
        </w:rPr>
        <w:t>L</w:t>
      </w:r>
      <w:r w:rsidR="00090D80">
        <w:rPr>
          <w:rFonts w:ascii="Times New Roman" w:eastAsia="Times New Roman" w:hAnsi="Times New Roman" w:cs="Times New Roman"/>
          <w:color w:val="000000"/>
          <w:lang w:val="pt-BR"/>
        </w:rPr>
        <w:t>íquida</w:t>
      </w:r>
      <w:r w:rsidR="00AB0A53">
        <w:rPr>
          <w:rFonts w:ascii="Times New Roman" w:eastAsia="Times New Roman" w:hAnsi="Times New Roman" w:cs="Times New Roman"/>
          <w:color w:val="000000"/>
          <w:lang w:val="pt-BR"/>
        </w:rPr>
        <w:t xml:space="preserve"> caiu 5% em relação ao ano anterior, impedindo um aumento ainda maior do ROE. Essa queda é um reflexo da diminuição na Margem Bruta</w:t>
      </w:r>
      <w:r w:rsidR="008B6EBF">
        <w:rPr>
          <w:rFonts w:ascii="Times New Roman" w:eastAsia="Times New Roman" w:hAnsi="Times New Roman" w:cs="Times New Roman"/>
          <w:color w:val="000000"/>
          <w:lang w:val="pt-BR"/>
        </w:rPr>
        <w:t xml:space="preserve">, cuja queda ocorreu pelo fato de que o Custo dos Produtos Vendidos aumentou mais do que as Vendas no período. </w:t>
      </w:r>
    </w:p>
    <w:p w14:paraId="3BE05C61" w14:textId="5FE99E18" w:rsidR="008B6EBF" w:rsidRDefault="008B6EBF" w:rsidP="008B6EBF">
      <w:pPr>
        <w:spacing w:after="0" w:line="360" w:lineRule="auto"/>
        <w:ind w:firstLine="360"/>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lang w:val="pt-BR"/>
        </w:rPr>
        <w:t>De 2018 para 2019, há uma queda de 6% no ROE. O multiplicador do Patrimônio Líquido e o Giro do Ativo variaram muito pouco (aumento de 3% e 4% respectivamente), enquanto a Margem Líquida apresentou uma forte queda. Para explicar esse resultado negativo é importante olhar novamente para a Margem Bruta</w:t>
      </w:r>
      <w:r w:rsidR="00D2159E">
        <w:rPr>
          <w:rFonts w:ascii="Times New Roman" w:eastAsia="Times New Roman" w:hAnsi="Times New Roman" w:cs="Times New Roman"/>
          <w:color w:val="000000"/>
          <w:lang w:val="pt-BR"/>
        </w:rPr>
        <w:t xml:space="preserve"> que caiu 8%, graças a uma inflação mais acentuada do custo, quando comparada com as vendas do ano.</w:t>
      </w:r>
    </w:p>
    <w:p w14:paraId="4EDBE721" w14:textId="77777777" w:rsidR="002204E3" w:rsidRDefault="00D2159E" w:rsidP="008B6EBF">
      <w:pPr>
        <w:spacing w:after="0" w:line="360" w:lineRule="auto"/>
        <w:ind w:firstLine="360"/>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lang w:val="pt-BR"/>
        </w:rPr>
        <w:t xml:space="preserve">Finalmente, em 2020 temos uma grande redução do ROE. É importante destacar que o cenário de crise e pandemia certamente contribuíram para esse resultado, uma vez que a MRV é muito dependente de repasses do governo e nesse ano, outras prioridades surgiram, tirando o foco de programas como </w:t>
      </w:r>
      <w:r w:rsidRPr="00D2159E">
        <w:rPr>
          <w:rFonts w:ascii="Times New Roman" w:eastAsia="Times New Roman" w:hAnsi="Times New Roman" w:cs="Times New Roman"/>
          <w:i/>
          <w:iCs/>
          <w:color w:val="000000"/>
          <w:lang w:val="pt-BR"/>
        </w:rPr>
        <w:t>Minha Casa, Minha Vida</w:t>
      </w:r>
      <w:r>
        <w:rPr>
          <w:rFonts w:ascii="Times New Roman" w:eastAsia="Times New Roman" w:hAnsi="Times New Roman" w:cs="Times New Roman"/>
          <w:color w:val="000000"/>
          <w:lang w:val="pt-BR"/>
        </w:rPr>
        <w:t>. Dito isso, a parcela mais impactada foi a Margem Líquida, novamente, devido ao fenômeno observado anteriormente</w:t>
      </w:r>
      <w:r w:rsidR="00BC2305">
        <w:rPr>
          <w:rFonts w:ascii="Times New Roman" w:eastAsia="Times New Roman" w:hAnsi="Times New Roman" w:cs="Times New Roman"/>
          <w:color w:val="000000"/>
          <w:lang w:val="pt-BR"/>
        </w:rPr>
        <w:t xml:space="preserve"> somado ao</w:t>
      </w:r>
      <w:r>
        <w:rPr>
          <w:rFonts w:ascii="Times New Roman" w:eastAsia="Times New Roman" w:hAnsi="Times New Roman" w:cs="Times New Roman"/>
          <w:color w:val="000000"/>
          <w:lang w:val="pt-BR"/>
        </w:rPr>
        <w:t xml:space="preserve"> crescimento </w:t>
      </w:r>
      <w:r w:rsidR="00BC2305">
        <w:rPr>
          <w:rFonts w:ascii="Times New Roman" w:eastAsia="Times New Roman" w:hAnsi="Times New Roman" w:cs="Times New Roman"/>
          <w:color w:val="000000"/>
          <w:lang w:val="pt-BR"/>
        </w:rPr>
        <w:t>d</w:t>
      </w:r>
      <w:r>
        <w:rPr>
          <w:rFonts w:ascii="Times New Roman" w:eastAsia="Times New Roman" w:hAnsi="Times New Roman" w:cs="Times New Roman"/>
          <w:color w:val="000000"/>
          <w:lang w:val="pt-BR"/>
        </w:rPr>
        <w:t>o Passivo Financeiro</w:t>
      </w:r>
      <w:r w:rsidR="00BC2305">
        <w:rPr>
          <w:rFonts w:ascii="Times New Roman" w:eastAsia="Times New Roman" w:hAnsi="Times New Roman" w:cs="Times New Roman"/>
          <w:color w:val="000000"/>
          <w:lang w:val="pt-BR"/>
        </w:rPr>
        <w:t xml:space="preserve">, que ocasionou um aumento substancial da Despesa Financeira. Usualmente, o resultado financeiro da MRV faz com que o LAIR seja pouco mais de 19% maior que o LAJIR. </w:t>
      </w:r>
      <w:r w:rsidR="00BC2305">
        <w:rPr>
          <w:rFonts w:ascii="Times New Roman" w:eastAsia="Times New Roman" w:hAnsi="Times New Roman" w:cs="Times New Roman"/>
          <w:color w:val="000000"/>
          <w:lang w:val="pt-BR"/>
        </w:rPr>
        <w:lastRenderedPageBreak/>
        <w:t>Nesse último ano, o aumento da Despesa Financeira fez com que o LAIR fosse apenas 6% maior do que o LAJIR, refletindo, posteriormente, no Lucro Líquido.</w:t>
      </w:r>
      <w:r w:rsidR="00516F5F">
        <w:rPr>
          <w:rFonts w:ascii="Times New Roman" w:eastAsia="Times New Roman" w:hAnsi="Times New Roman" w:cs="Times New Roman"/>
          <w:color w:val="000000"/>
          <w:lang w:val="pt-BR"/>
        </w:rPr>
        <w:t xml:space="preserve"> </w:t>
      </w:r>
    </w:p>
    <w:p w14:paraId="2062F808" w14:textId="55812C69" w:rsidR="00D2159E" w:rsidRDefault="00516F5F" w:rsidP="008B6EBF">
      <w:pPr>
        <w:spacing w:after="0" w:line="360" w:lineRule="auto"/>
        <w:ind w:firstLine="360"/>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lang w:val="pt-BR"/>
        </w:rPr>
        <w:t xml:space="preserve">A evolução do ROE e de seus componentes DuPont </w:t>
      </w:r>
      <w:r w:rsidR="002204E3">
        <w:rPr>
          <w:rFonts w:ascii="Times New Roman" w:eastAsia="Times New Roman" w:hAnsi="Times New Roman" w:cs="Times New Roman"/>
          <w:color w:val="000000"/>
          <w:lang w:val="pt-BR"/>
        </w:rPr>
        <w:t xml:space="preserve">discutidos nessa seção </w:t>
      </w:r>
      <w:r>
        <w:rPr>
          <w:rFonts w:ascii="Times New Roman" w:eastAsia="Times New Roman" w:hAnsi="Times New Roman" w:cs="Times New Roman"/>
          <w:color w:val="000000"/>
          <w:lang w:val="pt-BR"/>
        </w:rPr>
        <w:t xml:space="preserve">podem ser observados na </w:t>
      </w:r>
      <w:r w:rsidRPr="00516F5F">
        <w:rPr>
          <w:rFonts w:ascii="Times New Roman" w:eastAsia="Times New Roman" w:hAnsi="Times New Roman" w:cs="Times New Roman"/>
          <w:color w:val="000000"/>
          <w:highlight w:val="green"/>
          <w:lang w:val="pt-BR"/>
        </w:rPr>
        <w:t>Figura 1.</w:t>
      </w:r>
    </w:p>
    <w:p w14:paraId="727FAD77" w14:textId="77777777" w:rsidR="002204E3" w:rsidRDefault="002204E3" w:rsidP="002204E3">
      <w:pPr>
        <w:keepNext/>
        <w:spacing w:line="360" w:lineRule="auto"/>
        <w:jc w:val="center"/>
      </w:pPr>
      <w:r>
        <w:rPr>
          <w:noProof/>
          <w:lang w:val="pt-BR"/>
        </w:rPr>
        <w:drawing>
          <wp:inline distT="0" distB="0" distL="0" distR="0" wp14:anchorId="424EA7DF" wp14:editId="03E039EB">
            <wp:extent cx="4488180" cy="48243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5042" cy="4863993"/>
                    </a:xfrm>
                    <a:prstGeom prst="rect">
                      <a:avLst/>
                    </a:prstGeom>
                    <a:noFill/>
                    <a:ln>
                      <a:noFill/>
                    </a:ln>
                  </pic:spPr>
                </pic:pic>
              </a:graphicData>
            </a:graphic>
          </wp:inline>
        </w:drawing>
      </w:r>
    </w:p>
    <w:p w14:paraId="272E9D20" w14:textId="77777777" w:rsidR="002204E3" w:rsidRPr="00516F5F" w:rsidRDefault="002204E3" w:rsidP="002204E3">
      <w:pPr>
        <w:pStyle w:val="Caption"/>
        <w:jc w:val="center"/>
        <w:rPr>
          <w:rFonts w:ascii="Times New Roman" w:hAnsi="Times New Roman" w:cs="Times New Roman"/>
          <w:lang w:val="pt-BR"/>
        </w:rPr>
      </w:pPr>
      <w:r w:rsidRPr="00516F5F">
        <w:rPr>
          <w:lang w:val="pt-BR"/>
        </w:rPr>
        <w:t xml:space="preserve">Figura </w:t>
      </w:r>
      <w:r>
        <w:fldChar w:fldCharType="begin"/>
      </w:r>
      <w:r w:rsidRPr="00516F5F">
        <w:rPr>
          <w:lang w:val="pt-BR"/>
        </w:rPr>
        <w:instrText xml:space="preserve"> SEQ Figura \* ARABIC </w:instrText>
      </w:r>
      <w:r>
        <w:fldChar w:fldCharType="separate"/>
      </w:r>
      <w:r w:rsidRPr="00516F5F">
        <w:rPr>
          <w:noProof/>
          <w:lang w:val="pt-BR"/>
        </w:rPr>
        <w:t>1</w:t>
      </w:r>
      <w:r>
        <w:fldChar w:fldCharType="end"/>
      </w:r>
      <w:r w:rsidRPr="00516F5F">
        <w:rPr>
          <w:lang w:val="pt-BR"/>
        </w:rPr>
        <w:t xml:space="preserve">: </w:t>
      </w:r>
      <w:r>
        <w:rPr>
          <w:lang w:val="pt-BR"/>
        </w:rPr>
        <w:t>No primeiro gráfico, evolução da Margem Líquida, do Giro do Ativo e do próprio ROE; no segundo, evolução do Multiplicador do Patrimônio Líquido</w:t>
      </w:r>
    </w:p>
    <w:p w14:paraId="5791A0BE" w14:textId="77777777" w:rsidR="002204E3" w:rsidRDefault="002204E3" w:rsidP="008B6EBF">
      <w:pPr>
        <w:spacing w:after="0" w:line="360" w:lineRule="auto"/>
        <w:ind w:firstLine="360"/>
        <w:jc w:val="both"/>
        <w:rPr>
          <w:rFonts w:ascii="Times New Roman" w:eastAsia="Times New Roman" w:hAnsi="Times New Roman" w:cs="Times New Roman"/>
          <w:color w:val="000000"/>
          <w:lang w:val="pt-BR"/>
        </w:rPr>
      </w:pPr>
    </w:p>
    <w:p w14:paraId="51D64E74" w14:textId="77777777" w:rsidR="005736FC" w:rsidRDefault="005736FC" w:rsidP="008B6EBF">
      <w:pPr>
        <w:spacing w:after="0" w:line="360" w:lineRule="auto"/>
        <w:ind w:firstLine="360"/>
        <w:jc w:val="both"/>
        <w:rPr>
          <w:rFonts w:ascii="Times New Roman" w:eastAsia="Times New Roman" w:hAnsi="Times New Roman" w:cs="Times New Roman"/>
          <w:color w:val="000000"/>
          <w:lang w:val="pt-BR"/>
        </w:rPr>
      </w:pPr>
    </w:p>
    <w:p w14:paraId="34BED25D" w14:textId="51450902" w:rsidR="005736FC" w:rsidRPr="005736FC" w:rsidRDefault="005736FC" w:rsidP="005736FC">
      <w:pPr>
        <w:pStyle w:val="ListParagraph"/>
        <w:numPr>
          <w:ilvl w:val="1"/>
          <w:numId w:val="11"/>
        </w:num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Comparação com a Direcional</w:t>
      </w:r>
    </w:p>
    <w:p w14:paraId="09DD42FA" w14:textId="33744507" w:rsidR="00AB0A53" w:rsidRPr="00DD0685" w:rsidRDefault="008065A8" w:rsidP="00516F5F">
      <w:pPr>
        <w:spacing w:after="0" w:line="360" w:lineRule="auto"/>
        <w:ind w:firstLine="360"/>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lang w:val="pt-BR"/>
        </w:rPr>
        <w:t>Em comparação com a Direcional, uma de suas concorrentes, a MRV apresenta um ROE mais constante e com menos variações</w:t>
      </w:r>
      <w:r w:rsidR="00516F5F">
        <w:rPr>
          <w:rFonts w:ascii="Times New Roman" w:eastAsia="Times New Roman" w:hAnsi="Times New Roman" w:cs="Times New Roman"/>
          <w:color w:val="000000"/>
          <w:lang w:val="pt-BR"/>
        </w:rPr>
        <w:t xml:space="preserve">, como pode-se </w:t>
      </w:r>
      <w:r w:rsidR="00516F5F" w:rsidRPr="00516F5F">
        <w:rPr>
          <w:rFonts w:ascii="Times New Roman" w:eastAsia="Times New Roman" w:hAnsi="Times New Roman" w:cs="Times New Roman"/>
          <w:color w:val="000000"/>
          <w:highlight w:val="green"/>
          <w:lang w:val="pt-BR"/>
        </w:rPr>
        <w:t xml:space="preserve">observar nas </w:t>
      </w:r>
      <w:r w:rsidR="00516F5F" w:rsidRPr="00B220DD">
        <w:rPr>
          <w:rFonts w:ascii="Times New Roman" w:eastAsia="Times New Roman" w:hAnsi="Times New Roman" w:cs="Times New Roman"/>
          <w:color w:val="000000"/>
          <w:highlight w:val="green"/>
          <w:lang w:val="pt-BR"/>
        </w:rPr>
        <w:t xml:space="preserve">Tabelas </w:t>
      </w:r>
      <w:r w:rsidR="00B220DD" w:rsidRPr="00B220DD">
        <w:rPr>
          <w:rFonts w:ascii="Times New Roman" w:eastAsia="Times New Roman" w:hAnsi="Times New Roman" w:cs="Times New Roman"/>
          <w:color w:val="000000"/>
          <w:highlight w:val="green"/>
          <w:lang w:val="pt-BR"/>
        </w:rPr>
        <w:t>1</w:t>
      </w:r>
      <w:r w:rsidR="00516F5F" w:rsidRPr="00B220DD">
        <w:rPr>
          <w:rFonts w:ascii="Times New Roman" w:eastAsia="Times New Roman" w:hAnsi="Times New Roman" w:cs="Times New Roman"/>
          <w:color w:val="000000"/>
          <w:highlight w:val="green"/>
          <w:lang w:val="pt-BR"/>
        </w:rPr>
        <w:t xml:space="preserve"> e </w:t>
      </w:r>
      <w:r w:rsidR="00B220DD" w:rsidRPr="00B220DD">
        <w:rPr>
          <w:rFonts w:ascii="Times New Roman" w:eastAsia="Times New Roman" w:hAnsi="Times New Roman" w:cs="Times New Roman"/>
          <w:color w:val="000000"/>
          <w:highlight w:val="green"/>
          <w:lang w:val="pt-BR"/>
        </w:rPr>
        <w:t>2</w:t>
      </w:r>
      <w:r>
        <w:rPr>
          <w:rFonts w:ascii="Times New Roman" w:eastAsia="Times New Roman" w:hAnsi="Times New Roman" w:cs="Times New Roman"/>
          <w:color w:val="000000"/>
          <w:lang w:val="pt-BR"/>
        </w:rPr>
        <w:t>. Isso deve-se ao fato de que em 2017 e 2018 a Direcional teve Margem Líquida negativa, que reflete no prejuízo que a empresa teve nesses períodos</w:t>
      </w:r>
      <w:r w:rsidR="00792424">
        <w:rPr>
          <w:rFonts w:ascii="Times New Roman" w:eastAsia="Times New Roman" w:hAnsi="Times New Roman" w:cs="Times New Roman"/>
          <w:color w:val="000000"/>
          <w:lang w:val="pt-BR"/>
        </w:rPr>
        <w:t xml:space="preserve">. </w:t>
      </w:r>
      <w:r>
        <w:rPr>
          <w:rFonts w:ascii="Times New Roman" w:eastAsia="Times New Roman" w:hAnsi="Times New Roman" w:cs="Times New Roman"/>
          <w:color w:val="000000"/>
          <w:lang w:val="pt-BR"/>
        </w:rPr>
        <w:t>No ano seguinte</w:t>
      </w:r>
      <w:r w:rsidR="00792424">
        <w:rPr>
          <w:rFonts w:ascii="Times New Roman" w:eastAsia="Times New Roman" w:hAnsi="Times New Roman" w:cs="Times New Roman"/>
          <w:color w:val="000000"/>
          <w:lang w:val="pt-BR"/>
        </w:rPr>
        <w:t>, a empresa voltou a ter lucro e em 2020 passa a ter um Retorno sobre o Patrimônio Líquido semelhante ao da MRV.</w:t>
      </w:r>
    </w:p>
    <w:p w14:paraId="06ABBF4C" w14:textId="77777777" w:rsidR="00DD0685" w:rsidRPr="00DD0685" w:rsidRDefault="00DD0685" w:rsidP="00DD0685">
      <w:pPr>
        <w:spacing w:after="0" w:line="360" w:lineRule="auto"/>
        <w:jc w:val="both"/>
        <w:rPr>
          <w:rFonts w:ascii="Times New Roman" w:eastAsia="Times New Roman" w:hAnsi="Times New Roman" w:cs="Times New Roman"/>
          <w:color w:val="000000"/>
          <w:lang w:val="pt-BR"/>
        </w:rPr>
      </w:pPr>
    </w:p>
    <w:p w14:paraId="28584371" w14:textId="54A8463B" w:rsidR="00516F5F" w:rsidRPr="00B220DD" w:rsidRDefault="00516F5F" w:rsidP="00B220DD">
      <w:pPr>
        <w:pStyle w:val="Caption"/>
        <w:keepNext/>
        <w:jc w:val="center"/>
        <w:rPr>
          <w:lang w:val="pt-BR"/>
        </w:rPr>
      </w:pPr>
      <w:r w:rsidRPr="00B220DD">
        <w:rPr>
          <w:lang w:val="pt-BR"/>
        </w:rPr>
        <w:lastRenderedPageBreak/>
        <w:t xml:space="preserve">Tabela </w:t>
      </w:r>
      <w:r>
        <w:fldChar w:fldCharType="begin"/>
      </w:r>
      <w:r w:rsidRPr="00B220DD">
        <w:rPr>
          <w:lang w:val="pt-BR"/>
        </w:rPr>
        <w:instrText xml:space="preserve"> SEQ Tabela \* ARABIC </w:instrText>
      </w:r>
      <w:r>
        <w:fldChar w:fldCharType="separate"/>
      </w:r>
      <w:r w:rsidR="00B220DD">
        <w:rPr>
          <w:noProof/>
          <w:lang w:val="pt-BR"/>
        </w:rPr>
        <w:t>1</w:t>
      </w:r>
      <w:r>
        <w:fldChar w:fldCharType="end"/>
      </w:r>
      <w:r w:rsidR="00B220DD" w:rsidRPr="00B220DD">
        <w:rPr>
          <w:lang w:val="pt-BR"/>
        </w:rPr>
        <w:t xml:space="preserve">: </w:t>
      </w:r>
      <w:r w:rsidR="00B220DD" w:rsidRPr="00C33114">
        <w:rPr>
          <w:rFonts w:ascii="Times New Roman" w:hAnsi="Times New Roman" w:cs="Times New Roman"/>
          <w:lang w:val="pt-BR"/>
        </w:rPr>
        <w:t>evolução dos componentes do ROE</w:t>
      </w:r>
      <w:r w:rsidR="00B220DD">
        <w:rPr>
          <w:rFonts w:ascii="Times New Roman" w:hAnsi="Times New Roman" w:cs="Times New Roman"/>
          <w:lang w:val="pt-BR"/>
        </w:rPr>
        <w:t xml:space="preserve"> da MRV</w:t>
      </w:r>
      <w:r w:rsidR="00B220DD" w:rsidRPr="00C33114">
        <w:rPr>
          <w:rFonts w:ascii="Times New Roman" w:hAnsi="Times New Roman" w:cs="Times New Roman"/>
          <w:lang w:val="pt-BR"/>
        </w:rPr>
        <w:t>, conforme DuPont</w:t>
      </w:r>
      <w:r w:rsidR="00B220DD">
        <w:rPr>
          <w:rFonts w:ascii="Times New Roman" w:hAnsi="Times New Roman" w:cs="Times New Roman"/>
          <w:lang w:val="pt-BR"/>
        </w:rPr>
        <w:t xml:space="preserve"> </w:t>
      </w:r>
    </w:p>
    <w:tbl>
      <w:tblPr>
        <w:tblW w:w="8474" w:type="dxa"/>
        <w:tblLook w:val="04A0" w:firstRow="1" w:lastRow="0" w:firstColumn="1" w:lastColumn="0" w:noHBand="0" w:noVBand="1"/>
      </w:tblPr>
      <w:tblGrid>
        <w:gridCol w:w="2806"/>
        <w:gridCol w:w="1417"/>
        <w:gridCol w:w="1417"/>
        <w:gridCol w:w="1417"/>
        <w:gridCol w:w="1417"/>
      </w:tblGrid>
      <w:tr w:rsidR="00C33114" w:rsidRPr="00C33114" w14:paraId="12EE078E" w14:textId="77777777" w:rsidTr="00B421E0">
        <w:trPr>
          <w:trHeight w:val="294"/>
        </w:trPr>
        <w:tc>
          <w:tcPr>
            <w:tcW w:w="2806" w:type="dxa"/>
            <w:tcBorders>
              <w:top w:val="single" w:sz="4" w:space="0" w:color="auto"/>
              <w:left w:val="single" w:sz="4" w:space="0" w:color="auto"/>
              <w:bottom w:val="single" w:sz="4" w:space="0" w:color="auto"/>
              <w:right w:val="nil"/>
            </w:tcBorders>
            <w:shd w:val="clear" w:color="auto" w:fill="44546A" w:themeFill="text2"/>
            <w:noWrap/>
            <w:vAlign w:val="bottom"/>
            <w:hideMark/>
          </w:tcPr>
          <w:p w14:paraId="7B0B3B6C" w14:textId="118F8328" w:rsidR="00C33114" w:rsidRPr="00B421E0" w:rsidRDefault="00280555" w:rsidP="00C33114">
            <w:pPr>
              <w:spacing w:after="0" w:line="240" w:lineRule="auto"/>
              <w:jc w:val="center"/>
              <w:rPr>
                <w:rFonts w:eastAsia="Times New Roman" w:cstheme="minorHAnsi"/>
                <w:b/>
                <w:bCs/>
                <w:color w:val="FFFFFF" w:themeColor="background1"/>
                <w:sz w:val="24"/>
                <w:szCs w:val="24"/>
                <w:lang w:val="pt-BR"/>
              </w:rPr>
            </w:pPr>
            <w:r w:rsidRPr="00B421E0">
              <w:rPr>
                <w:rFonts w:eastAsia="Times New Roman" w:cstheme="minorHAnsi"/>
                <w:b/>
                <w:bCs/>
                <w:color w:val="FFFFFF" w:themeColor="background1"/>
                <w:sz w:val="24"/>
                <w:szCs w:val="24"/>
                <w:lang w:val="pt-BR"/>
              </w:rPr>
              <w:t>MRV</w:t>
            </w:r>
          </w:p>
        </w:tc>
        <w:tc>
          <w:tcPr>
            <w:tcW w:w="1417" w:type="dxa"/>
            <w:tcBorders>
              <w:top w:val="single" w:sz="4" w:space="0" w:color="auto"/>
              <w:left w:val="single" w:sz="4" w:space="0" w:color="auto"/>
              <w:bottom w:val="single" w:sz="4" w:space="0" w:color="auto"/>
              <w:right w:val="single" w:sz="4" w:space="0" w:color="auto"/>
            </w:tcBorders>
            <w:shd w:val="clear" w:color="auto" w:fill="44546A" w:themeFill="text2"/>
            <w:noWrap/>
            <w:hideMark/>
          </w:tcPr>
          <w:p w14:paraId="78F38ACD" w14:textId="77777777" w:rsidR="00C33114" w:rsidRPr="00B421E0" w:rsidRDefault="00C33114" w:rsidP="00C33114">
            <w:pPr>
              <w:spacing w:after="0" w:line="240" w:lineRule="auto"/>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2017</w:t>
            </w:r>
          </w:p>
        </w:tc>
        <w:tc>
          <w:tcPr>
            <w:tcW w:w="1417" w:type="dxa"/>
            <w:tcBorders>
              <w:top w:val="single" w:sz="4" w:space="0" w:color="auto"/>
              <w:left w:val="nil"/>
              <w:bottom w:val="single" w:sz="4" w:space="0" w:color="auto"/>
              <w:right w:val="single" w:sz="4" w:space="0" w:color="auto"/>
            </w:tcBorders>
            <w:shd w:val="clear" w:color="auto" w:fill="44546A" w:themeFill="text2"/>
            <w:noWrap/>
            <w:hideMark/>
          </w:tcPr>
          <w:p w14:paraId="3220E252" w14:textId="77777777" w:rsidR="00C33114" w:rsidRPr="00B421E0" w:rsidRDefault="00C33114" w:rsidP="00C33114">
            <w:pPr>
              <w:spacing w:after="0" w:line="240" w:lineRule="auto"/>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2018</w:t>
            </w:r>
          </w:p>
        </w:tc>
        <w:tc>
          <w:tcPr>
            <w:tcW w:w="1417" w:type="dxa"/>
            <w:tcBorders>
              <w:top w:val="single" w:sz="4" w:space="0" w:color="auto"/>
              <w:left w:val="nil"/>
              <w:bottom w:val="single" w:sz="4" w:space="0" w:color="auto"/>
              <w:right w:val="single" w:sz="4" w:space="0" w:color="auto"/>
            </w:tcBorders>
            <w:shd w:val="clear" w:color="auto" w:fill="44546A" w:themeFill="text2"/>
            <w:noWrap/>
            <w:hideMark/>
          </w:tcPr>
          <w:p w14:paraId="32972368" w14:textId="77777777" w:rsidR="00C33114" w:rsidRPr="00B421E0" w:rsidRDefault="00C33114" w:rsidP="00C33114">
            <w:pPr>
              <w:spacing w:after="0" w:line="240" w:lineRule="auto"/>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2019</w:t>
            </w:r>
          </w:p>
        </w:tc>
        <w:tc>
          <w:tcPr>
            <w:tcW w:w="1417" w:type="dxa"/>
            <w:tcBorders>
              <w:top w:val="single" w:sz="4" w:space="0" w:color="auto"/>
              <w:left w:val="nil"/>
              <w:bottom w:val="single" w:sz="4" w:space="0" w:color="auto"/>
              <w:right w:val="single" w:sz="4" w:space="0" w:color="auto"/>
            </w:tcBorders>
            <w:shd w:val="clear" w:color="auto" w:fill="44546A" w:themeFill="text2"/>
            <w:noWrap/>
            <w:hideMark/>
          </w:tcPr>
          <w:p w14:paraId="6B36086C" w14:textId="77777777" w:rsidR="00C33114" w:rsidRPr="00B421E0" w:rsidRDefault="00C33114" w:rsidP="00C33114">
            <w:pPr>
              <w:spacing w:after="0" w:line="240" w:lineRule="auto"/>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2020</w:t>
            </w:r>
          </w:p>
        </w:tc>
      </w:tr>
      <w:tr w:rsidR="00C33114" w:rsidRPr="00C33114" w14:paraId="40857458" w14:textId="77777777" w:rsidTr="00280555">
        <w:trPr>
          <w:trHeight w:val="294"/>
        </w:trPr>
        <w:tc>
          <w:tcPr>
            <w:tcW w:w="2806" w:type="dxa"/>
            <w:tcBorders>
              <w:top w:val="single" w:sz="4" w:space="0" w:color="auto"/>
              <w:left w:val="single" w:sz="4" w:space="0" w:color="auto"/>
              <w:bottom w:val="single" w:sz="4" w:space="0" w:color="auto"/>
              <w:right w:val="single" w:sz="4" w:space="0" w:color="auto"/>
            </w:tcBorders>
            <w:shd w:val="clear" w:color="auto" w:fill="auto"/>
            <w:noWrap/>
            <w:hideMark/>
          </w:tcPr>
          <w:p w14:paraId="50A490DA" w14:textId="77777777" w:rsidR="00C33114" w:rsidRPr="00C33114" w:rsidRDefault="00C33114" w:rsidP="00C33114">
            <w:pPr>
              <w:spacing w:after="0" w:line="240" w:lineRule="auto"/>
              <w:jc w:val="center"/>
              <w:rPr>
                <w:rFonts w:ascii="Calibri" w:eastAsia="Times New Roman" w:hAnsi="Calibri" w:cs="Calibri"/>
                <w:b/>
                <w:bCs/>
              </w:rPr>
            </w:pPr>
            <w:proofErr w:type="spellStart"/>
            <w:r w:rsidRPr="00C33114">
              <w:rPr>
                <w:rFonts w:ascii="Calibri" w:eastAsia="Times New Roman" w:hAnsi="Calibri" w:cs="Calibri"/>
                <w:b/>
                <w:bCs/>
              </w:rPr>
              <w:t>Margem</w:t>
            </w:r>
            <w:proofErr w:type="spellEnd"/>
            <w:r w:rsidRPr="00C33114">
              <w:rPr>
                <w:rFonts w:ascii="Calibri" w:eastAsia="Times New Roman" w:hAnsi="Calibri" w:cs="Calibri"/>
                <w:b/>
                <w:bCs/>
              </w:rPr>
              <w:t xml:space="preserve"> </w:t>
            </w:r>
            <w:proofErr w:type="spellStart"/>
            <w:r w:rsidRPr="00C33114">
              <w:rPr>
                <w:rFonts w:ascii="Calibri" w:eastAsia="Times New Roman" w:hAnsi="Calibri" w:cs="Calibri"/>
                <w:b/>
                <w:bCs/>
              </w:rPr>
              <w:t>Líquida</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14:paraId="5455D2DC"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0,1471</w:t>
            </w:r>
          </w:p>
        </w:tc>
        <w:tc>
          <w:tcPr>
            <w:tcW w:w="1417" w:type="dxa"/>
            <w:tcBorders>
              <w:top w:val="nil"/>
              <w:left w:val="nil"/>
              <w:bottom w:val="single" w:sz="4" w:space="0" w:color="auto"/>
              <w:right w:val="single" w:sz="4" w:space="0" w:color="auto"/>
            </w:tcBorders>
            <w:shd w:val="clear" w:color="auto" w:fill="auto"/>
            <w:noWrap/>
            <w:vAlign w:val="bottom"/>
            <w:hideMark/>
          </w:tcPr>
          <w:p w14:paraId="7B872FB0"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0,1399</w:t>
            </w:r>
          </w:p>
        </w:tc>
        <w:tc>
          <w:tcPr>
            <w:tcW w:w="1417" w:type="dxa"/>
            <w:tcBorders>
              <w:top w:val="nil"/>
              <w:left w:val="nil"/>
              <w:bottom w:val="single" w:sz="4" w:space="0" w:color="auto"/>
              <w:right w:val="single" w:sz="4" w:space="0" w:color="auto"/>
            </w:tcBorders>
            <w:shd w:val="clear" w:color="auto" w:fill="auto"/>
            <w:noWrap/>
            <w:vAlign w:val="bottom"/>
            <w:hideMark/>
          </w:tcPr>
          <w:p w14:paraId="0C3D771D"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0,1235</w:t>
            </w:r>
          </w:p>
        </w:tc>
        <w:tc>
          <w:tcPr>
            <w:tcW w:w="1417" w:type="dxa"/>
            <w:tcBorders>
              <w:top w:val="nil"/>
              <w:left w:val="nil"/>
              <w:bottom w:val="single" w:sz="4" w:space="0" w:color="auto"/>
              <w:right w:val="single" w:sz="4" w:space="0" w:color="auto"/>
            </w:tcBorders>
            <w:shd w:val="clear" w:color="auto" w:fill="auto"/>
            <w:noWrap/>
            <w:vAlign w:val="bottom"/>
            <w:hideMark/>
          </w:tcPr>
          <w:p w14:paraId="2D0F56E6"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0,0934</w:t>
            </w:r>
          </w:p>
        </w:tc>
      </w:tr>
      <w:tr w:rsidR="00C33114" w:rsidRPr="00C33114" w14:paraId="68962159" w14:textId="77777777" w:rsidTr="00C33114">
        <w:trPr>
          <w:trHeight w:val="294"/>
        </w:trPr>
        <w:tc>
          <w:tcPr>
            <w:tcW w:w="2806" w:type="dxa"/>
            <w:tcBorders>
              <w:top w:val="nil"/>
              <w:left w:val="single" w:sz="4" w:space="0" w:color="auto"/>
              <w:bottom w:val="single" w:sz="4" w:space="0" w:color="auto"/>
              <w:right w:val="single" w:sz="4" w:space="0" w:color="auto"/>
            </w:tcBorders>
            <w:shd w:val="clear" w:color="auto" w:fill="auto"/>
            <w:noWrap/>
            <w:hideMark/>
          </w:tcPr>
          <w:p w14:paraId="5ACD360C" w14:textId="77777777" w:rsidR="00C33114" w:rsidRPr="00C33114" w:rsidRDefault="00C33114" w:rsidP="00C33114">
            <w:pPr>
              <w:spacing w:after="0" w:line="240" w:lineRule="auto"/>
              <w:jc w:val="center"/>
              <w:rPr>
                <w:rFonts w:ascii="Calibri" w:eastAsia="Times New Roman" w:hAnsi="Calibri" w:cs="Calibri"/>
                <w:b/>
                <w:bCs/>
              </w:rPr>
            </w:pPr>
            <w:r w:rsidRPr="00C33114">
              <w:rPr>
                <w:rFonts w:ascii="Calibri" w:eastAsia="Times New Roman" w:hAnsi="Calibri" w:cs="Calibri"/>
                <w:b/>
                <w:bCs/>
              </w:rPr>
              <w:t xml:space="preserve">Giro do </w:t>
            </w:r>
            <w:proofErr w:type="spellStart"/>
            <w:r w:rsidRPr="00C33114">
              <w:rPr>
                <w:rFonts w:ascii="Calibri" w:eastAsia="Times New Roman" w:hAnsi="Calibri" w:cs="Calibri"/>
                <w:b/>
                <w:bCs/>
              </w:rPr>
              <w:t>Ativo</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14:paraId="0D9F61A6"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0,3269</w:t>
            </w:r>
          </w:p>
        </w:tc>
        <w:tc>
          <w:tcPr>
            <w:tcW w:w="1417" w:type="dxa"/>
            <w:tcBorders>
              <w:top w:val="nil"/>
              <w:left w:val="nil"/>
              <w:bottom w:val="single" w:sz="4" w:space="0" w:color="auto"/>
              <w:right w:val="single" w:sz="4" w:space="0" w:color="auto"/>
            </w:tcBorders>
            <w:shd w:val="clear" w:color="auto" w:fill="auto"/>
            <w:noWrap/>
            <w:vAlign w:val="bottom"/>
            <w:hideMark/>
          </w:tcPr>
          <w:p w14:paraId="3671D760"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0,3974</w:t>
            </w:r>
          </w:p>
        </w:tc>
        <w:tc>
          <w:tcPr>
            <w:tcW w:w="1417" w:type="dxa"/>
            <w:tcBorders>
              <w:top w:val="nil"/>
              <w:left w:val="nil"/>
              <w:bottom w:val="single" w:sz="4" w:space="0" w:color="auto"/>
              <w:right w:val="single" w:sz="4" w:space="0" w:color="auto"/>
            </w:tcBorders>
            <w:shd w:val="clear" w:color="auto" w:fill="auto"/>
            <w:noWrap/>
            <w:vAlign w:val="bottom"/>
            <w:hideMark/>
          </w:tcPr>
          <w:p w14:paraId="48604EF2"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0,4123</w:t>
            </w:r>
          </w:p>
        </w:tc>
        <w:tc>
          <w:tcPr>
            <w:tcW w:w="1417" w:type="dxa"/>
            <w:tcBorders>
              <w:top w:val="nil"/>
              <w:left w:val="nil"/>
              <w:bottom w:val="single" w:sz="4" w:space="0" w:color="auto"/>
              <w:right w:val="single" w:sz="4" w:space="0" w:color="auto"/>
            </w:tcBorders>
            <w:shd w:val="clear" w:color="auto" w:fill="auto"/>
            <w:noWrap/>
            <w:vAlign w:val="bottom"/>
            <w:hideMark/>
          </w:tcPr>
          <w:p w14:paraId="31C18849"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0,368</w:t>
            </w:r>
          </w:p>
        </w:tc>
      </w:tr>
      <w:tr w:rsidR="00C33114" w:rsidRPr="00C33114" w14:paraId="3014BA0F" w14:textId="77777777" w:rsidTr="00C33114">
        <w:trPr>
          <w:trHeight w:val="294"/>
        </w:trPr>
        <w:tc>
          <w:tcPr>
            <w:tcW w:w="2806" w:type="dxa"/>
            <w:tcBorders>
              <w:top w:val="nil"/>
              <w:left w:val="single" w:sz="4" w:space="0" w:color="auto"/>
              <w:bottom w:val="single" w:sz="4" w:space="0" w:color="auto"/>
              <w:right w:val="single" w:sz="4" w:space="0" w:color="auto"/>
            </w:tcBorders>
            <w:shd w:val="clear" w:color="auto" w:fill="auto"/>
            <w:noWrap/>
            <w:hideMark/>
          </w:tcPr>
          <w:p w14:paraId="628A4273" w14:textId="77777777" w:rsidR="00C33114" w:rsidRPr="00C33114" w:rsidRDefault="00C33114" w:rsidP="00C33114">
            <w:pPr>
              <w:spacing w:after="0" w:line="240" w:lineRule="auto"/>
              <w:jc w:val="center"/>
              <w:rPr>
                <w:rFonts w:ascii="Calibri" w:eastAsia="Times New Roman" w:hAnsi="Calibri" w:cs="Calibri"/>
                <w:b/>
                <w:bCs/>
              </w:rPr>
            </w:pPr>
            <w:proofErr w:type="spellStart"/>
            <w:r w:rsidRPr="00C33114">
              <w:rPr>
                <w:rFonts w:ascii="Calibri" w:eastAsia="Times New Roman" w:hAnsi="Calibri" w:cs="Calibri"/>
                <w:b/>
                <w:bCs/>
              </w:rPr>
              <w:t>Multiplicador</w:t>
            </w:r>
            <w:proofErr w:type="spellEnd"/>
            <w:r w:rsidRPr="00C33114">
              <w:rPr>
                <w:rFonts w:ascii="Calibri" w:eastAsia="Times New Roman" w:hAnsi="Calibri" w:cs="Calibri"/>
                <w:b/>
                <w:bCs/>
              </w:rPr>
              <w:t xml:space="preserve"> do PL</w:t>
            </w:r>
          </w:p>
        </w:tc>
        <w:tc>
          <w:tcPr>
            <w:tcW w:w="1417" w:type="dxa"/>
            <w:tcBorders>
              <w:top w:val="nil"/>
              <w:left w:val="nil"/>
              <w:bottom w:val="single" w:sz="4" w:space="0" w:color="auto"/>
              <w:right w:val="single" w:sz="4" w:space="0" w:color="auto"/>
            </w:tcBorders>
            <w:shd w:val="clear" w:color="auto" w:fill="auto"/>
            <w:noWrap/>
            <w:vAlign w:val="bottom"/>
            <w:hideMark/>
          </w:tcPr>
          <w:p w14:paraId="6D241DED"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2,5113</w:t>
            </w:r>
          </w:p>
        </w:tc>
        <w:tc>
          <w:tcPr>
            <w:tcW w:w="1417" w:type="dxa"/>
            <w:tcBorders>
              <w:top w:val="nil"/>
              <w:left w:val="nil"/>
              <w:bottom w:val="single" w:sz="4" w:space="0" w:color="auto"/>
              <w:right w:val="single" w:sz="4" w:space="0" w:color="auto"/>
            </w:tcBorders>
            <w:shd w:val="clear" w:color="auto" w:fill="auto"/>
            <w:noWrap/>
            <w:vAlign w:val="bottom"/>
            <w:hideMark/>
          </w:tcPr>
          <w:p w14:paraId="1D9CF95F"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2,7975</w:t>
            </w:r>
          </w:p>
        </w:tc>
        <w:tc>
          <w:tcPr>
            <w:tcW w:w="1417" w:type="dxa"/>
            <w:tcBorders>
              <w:top w:val="nil"/>
              <w:left w:val="nil"/>
              <w:bottom w:val="single" w:sz="4" w:space="0" w:color="auto"/>
              <w:right w:val="single" w:sz="4" w:space="0" w:color="auto"/>
            </w:tcBorders>
            <w:shd w:val="clear" w:color="auto" w:fill="auto"/>
            <w:noWrap/>
            <w:vAlign w:val="bottom"/>
            <w:hideMark/>
          </w:tcPr>
          <w:p w14:paraId="2A17771F"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2,8747</w:t>
            </w:r>
          </w:p>
        </w:tc>
        <w:tc>
          <w:tcPr>
            <w:tcW w:w="1417" w:type="dxa"/>
            <w:tcBorders>
              <w:top w:val="nil"/>
              <w:left w:val="nil"/>
              <w:bottom w:val="single" w:sz="4" w:space="0" w:color="auto"/>
              <w:right w:val="single" w:sz="4" w:space="0" w:color="auto"/>
            </w:tcBorders>
            <w:shd w:val="clear" w:color="auto" w:fill="auto"/>
            <w:noWrap/>
            <w:vAlign w:val="bottom"/>
            <w:hideMark/>
          </w:tcPr>
          <w:p w14:paraId="6141B049"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2,9931</w:t>
            </w:r>
          </w:p>
        </w:tc>
      </w:tr>
      <w:tr w:rsidR="00C33114" w:rsidRPr="00C33114" w14:paraId="6C74C6D3" w14:textId="77777777" w:rsidTr="00B421E0">
        <w:trPr>
          <w:trHeight w:val="294"/>
        </w:trPr>
        <w:tc>
          <w:tcPr>
            <w:tcW w:w="2806" w:type="dxa"/>
            <w:tcBorders>
              <w:top w:val="nil"/>
              <w:left w:val="single" w:sz="4" w:space="0" w:color="auto"/>
              <w:bottom w:val="single" w:sz="4" w:space="0" w:color="auto"/>
              <w:right w:val="single" w:sz="4" w:space="0" w:color="auto"/>
            </w:tcBorders>
            <w:shd w:val="clear" w:color="auto" w:fill="D9D9D9" w:themeFill="background1" w:themeFillShade="D9"/>
            <w:noWrap/>
            <w:hideMark/>
          </w:tcPr>
          <w:p w14:paraId="2632AD9D" w14:textId="77777777" w:rsidR="00C33114" w:rsidRPr="00B421E0" w:rsidRDefault="00C33114" w:rsidP="00C33114">
            <w:pPr>
              <w:spacing w:after="0" w:line="240" w:lineRule="auto"/>
              <w:jc w:val="center"/>
              <w:rPr>
                <w:rFonts w:ascii="Calibri" w:eastAsia="Times New Roman" w:hAnsi="Calibri" w:cs="Calibri"/>
                <w:b/>
                <w:bCs/>
              </w:rPr>
            </w:pPr>
            <w:r w:rsidRPr="00B421E0">
              <w:rPr>
                <w:rFonts w:ascii="Calibri" w:eastAsia="Times New Roman" w:hAnsi="Calibri" w:cs="Calibri"/>
                <w:b/>
                <w:bCs/>
              </w:rPr>
              <w:t>ROE</w:t>
            </w:r>
          </w:p>
        </w:tc>
        <w:tc>
          <w:tcPr>
            <w:tcW w:w="1417" w:type="dxa"/>
            <w:tcBorders>
              <w:top w:val="nil"/>
              <w:left w:val="nil"/>
              <w:bottom w:val="single" w:sz="4" w:space="0" w:color="auto"/>
              <w:right w:val="single" w:sz="4" w:space="0" w:color="auto"/>
            </w:tcBorders>
            <w:shd w:val="clear" w:color="auto" w:fill="D9D9D9" w:themeFill="background1" w:themeFillShade="D9"/>
            <w:noWrap/>
            <w:vAlign w:val="bottom"/>
            <w:hideMark/>
          </w:tcPr>
          <w:p w14:paraId="013B238D" w14:textId="77777777" w:rsidR="00C33114" w:rsidRPr="00B421E0" w:rsidRDefault="00C33114" w:rsidP="00C33114">
            <w:pPr>
              <w:spacing w:after="0" w:line="240" w:lineRule="auto"/>
              <w:jc w:val="center"/>
              <w:rPr>
                <w:rFonts w:ascii="Calibri" w:eastAsia="Times New Roman" w:hAnsi="Calibri" w:cs="Calibri"/>
                <w:b/>
                <w:bCs/>
                <w:color w:val="000000"/>
              </w:rPr>
            </w:pPr>
            <w:r w:rsidRPr="00B421E0">
              <w:rPr>
                <w:rFonts w:ascii="Calibri" w:eastAsia="Times New Roman" w:hAnsi="Calibri" w:cs="Calibri"/>
                <w:b/>
                <w:bCs/>
                <w:color w:val="000000"/>
              </w:rPr>
              <w:t>0,1208</w:t>
            </w:r>
          </w:p>
        </w:tc>
        <w:tc>
          <w:tcPr>
            <w:tcW w:w="1417" w:type="dxa"/>
            <w:tcBorders>
              <w:top w:val="nil"/>
              <w:left w:val="nil"/>
              <w:bottom w:val="single" w:sz="4" w:space="0" w:color="auto"/>
              <w:right w:val="single" w:sz="4" w:space="0" w:color="auto"/>
            </w:tcBorders>
            <w:shd w:val="clear" w:color="auto" w:fill="D9D9D9" w:themeFill="background1" w:themeFillShade="D9"/>
            <w:noWrap/>
            <w:vAlign w:val="bottom"/>
            <w:hideMark/>
          </w:tcPr>
          <w:p w14:paraId="54CF7E96" w14:textId="77777777" w:rsidR="00C33114" w:rsidRPr="00B421E0" w:rsidRDefault="00C33114" w:rsidP="00C33114">
            <w:pPr>
              <w:spacing w:after="0" w:line="240" w:lineRule="auto"/>
              <w:jc w:val="center"/>
              <w:rPr>
                <w:rFonts w:ascii="Calibri" w:eastAsia="Times New Roman" w:hAnsi="Calibri" w:cs="Calibri"/>
                <w:b/>
                <w:bCs/>
                <w:color w:val="000000"/>
              </w:rPr>
            </w:pPr>
            <w:r w:rsidRPr="00B421E0">
              <w:rPr>
                <w:rFonts w:ascii="Calibri" w:eastAsia="Times New Roman" w:hAnsi="Calibri" w:cs="Calibri"/>
                <w:b/>
                <w:bCs/>
                <w:color w:val="000000"/>
              </w:rPr>
              <w:t>0,1555</w:t>
            </w:r>
          </w:p>
        </w:tc>
        <w:tc>
          <w:tcPr>
            <w:tcW w:w="1417" w:type="dxa"/>
            <w:tcBorders>
              <w:top w:val="nil"/>
              <w:left w:val="nil"/>
              <w:bottom w:val="single" w:sz="4" w:space="0" w:color="auto"/>
              <w:right w:val="single" w:sz="4" w:space="0" w:color="auto"/>
            </w:tcBorders>
            <w:shd w:val="clear" w:color="auto" w:fill="D9D9D9" w:themeFill="background1" w:themeFillShade="D9"/>
            <w:noWrap/>
            <w:vAlign w:val="bottom"/>
            <w:hideMark/>
          </w:tcPr>
          <w:p w14:paraId="37381A55" w14:textId="77777777" w:rsidR="00C33114" w:rsidRPr="00B421E0" w:rsidRDefault="00C33114" w:rsidP="00C33114">
            <w:pPr>
              <w:spacing w:after="0" w:line="240" w:lineRule="auto"/>
              <w:jc w:val="center"/>
              <w:rPr>
                <w:rFonts w:ascii="Calibri" w:eastAsia="Times New Roman" w:hAnsi="Calibri" w:cs="Calibri"/>
                <w:b/>
                <w:bCs/>
                <w:color w:val="000000"/>
              </w:rPr>
            </w:pPr>
            <w:r w:rsidRPr="00B421E0">
              <w:rPr>
                <w:rFonts w:ascii="Calibri" w:eastAsia="Times New Roman" w:hAnsi="Calibri" w:cs="Calibri"/>
                <w:b/>
                <w:bCs/>
                <w:color w:val="000000"/>
              </w:rPr>
              <w:t>0,1464</w:t>
            </w:r>
          </w:p>
        </w:tc>
        <w:tc>
          <w:tcPr>
            <w:tcW w:w="1417" w:type="dxa"/>
            <w:tcBorders>
              <w:top w:val="nil"/>
              <w:left w:val="nil"/>
              <w:bottom w:val="single" w:sz="4" w:space="0" w:color="auto"/>
              <w:right w:val="single" w:sz="4" w:space="0" w:color="auto"/>
            </w:tcBorders>
            <w:shd w:val="clear" w:color="auto" w:fill="D9D9D9" w:themeFill="background1" w:themeFillShade="D9"/>
            <w:noWrap/>
            <w:vAlign w:val="bottom"/>
            <w:hideMark/>
          </w:tcPr>
          <w:p w14:paraId="7E570C03" w14:textId="77777777" w:rsidR="00C33114" w:rsidRPr="00B421E0" w:rsidRDefault="00C33114" w:rsidP="00C33114">
            <w:pPr>
              <w:spacing w:after="0" w:line="240" w:lineRule="auto"/>
              <w:jc w:val="center"/>
              <w:rPr>
                <w:rFonts w:ascii="Calibri" w:eastAsia="Times New Roman" w:hAnsi="Calibri" w:cs="Calibri"/>
                <w:b/>
                <w:bCs/>
                <w:color w:val="000000"/>
              </w:rPr>
            </w:pPr>
            <w:r w:rsidRPr="00B421E0">
              <w:rPr>
                <w:rFonts w:ascii="Calibri" w:eastAsia="Times New Roman" w:hAnsi="Calibri" w:cs="Calibri"/>
                <w:b/>
                <w:bCs/>
                <w:color w:val="000000"/>
              </w:rPr>
              <w:t>0,1029</w:t>
            </w:r>
          </w:p>
        </w:tc>
      </w:tr>
    </w:tbl>
    <w:p w14:paraId="6ED8C680" w14:textId="5B152B74" w:rsidR="004E2AEA" w:rsidRDefault="004E2AEA" w:rsidP="00DD0685">
      <w:pPr>
        <w:spacing w:line="360" w:lineRule="auto"/>
        <w:jc w:val="center"/>
        <w:rPr>
          <w:rFonts w:ascii="Times New Roman" w:hAnsi="Times New Roman" w:cs="Times New Roman"/>
          <w:lang w:val="pt-BR"/>
        </w:rPr>
      </w:pPr>
    </w:p>
    <w:p w14:paraId="3B106958" w14:textId="3789351A" w:rsidR="00B220DD" w:rsidRPr="00B220DD" w:rsidRDefault="00B220DD" w:rsidP="00B220DD">
      <w:pPr>
        <w:pStyle w:val="Caption"/>
        <w:keepNext/>
        <w:jc w:val="center"/>
        <w:rPr>
          <w:lang w:val="pt-BR"/>
        </w:rPr>
      </w:pPr>
      <w:r w:rsidRPr="00B220DD">
        <w:rPr>
          <w:lang w:val="pt-BR"/>
        </w:rPr>
        <w:t xml:space="preserve">Tabela </w:t>
      </w:r>
      <w:r>
        <w:fldChar w:fldCharType="begin"/>
      </w:r>
      <w:r w:rsidRPr="00B220DD">
        <w:rPr>
          <w:lang w:val="pt-BR"/>
        </w:rPr>
        <w:instrText xml:space="preserve"> SEQ Tabela \* ARABIC </w:instrText>
      </w:r>
      <w:r>
        <w:fldChar w:fldCharType="separate"/>
      </w:r>
      <w:r w:rsidRPr="00B220DD">
        <w:rPr>
          <w:noProof/>
          <w:lang w:val="pt-BR"/>
        </w:rPr>
        <w:t>2</w:t>
      </w:r>
      <w:r>
        <w:fldChar w:fldCharType="end"/>
      </w:r>
      <w:r w:rsidRPr="00B220DD">
        <w:rPr>
          <w:lang w:val="pt-BR"/>
        </w:rPr>
        <w:t xml:space="preserve">: </w:t>
      </w:r>
      <w:r w:rsidRPr="00C33114">
        <w:rPr>
          <w:rFonts w:ascii="Times New Roman" w:hAnsi="Times New Roman" w:cs="Times New Roman"/>
          <w:lang w:val="pt-BR"/>
        </w:rPr>
        <w:t>evolução dos componentes do ROE</w:t>
      </w:r>
      <w:r>
        <w:rPr>
          <w:rFonts w:ascii="Times New Roman" w:hAnsi="Times New Roman" w:cs="Times New Roman"/>
          <w:lang w:val="pt-BR"/>
        </w:rPr>
        <w:t xml:space="preserve"> da Direcional</w:t>
      </w:r>
      <w:r w:rsidRPr="00C33114">
        <w:rPr>
          <w:rFonts w:ascii="Times New Roman" w:hAnsi="Times New Roman" w:cs="Times New Roman"/>
          <w:lang w:val="pt-BR"/>
        </w:rPr>
        <w:t>, conforme DuPont</w:t>
      </w:r>
    </w:p>
    <w:tbl>
      <w:tblPr>
        <w:tblStyle w:val="TableGrid"/>
        <w:tblW w:w="8485" w:type="dxa"/>
        <w:tblLook w:val="04A0" w:firstRow="1" w:lastRow="0" w:firstColumn="1" w:lastColumn="0" w:noHBand="0" w:noVBand="1"/>
      </w:tblPr>
      <w:tblGrid>
        <w:gridCol w:w="2809"/>
        <w:gridCol w:w="1419"/>
        <w:gridCol w:w="1419"/>
        <w:gridCol w:w="1419"/>
        <w:gridCol w:w="1419"/>
      </w:tblGrid>
      <w:tr w:rsidR="00B5569D" w:rsidRPr="008065A8" w14:paraId="4092B8F6" w14:textId="77777777" w:rsidTr="00B5569D">
        <w:trPr>
          <w:trHeight w:val="304"/>
        </w:trPr>
        <w:tc>
          <w:tcPr>
            <w:tcW w:w="2809" w:type="dxa"/>
            <w:shd w:val="clear" w:color="auto" w:fill="44546A" w:themeFill="text2"/>
            <w:noWrap/>
            <w:hideMark/>
          </w:tcPr>
          <w:p w14:paraId="595DBE92" w14:textId="77CD11DE" w:rsidR="00B5569D" w:rsidRPr="00B421E0" w:rsidRDefault="00B5569D" w:rsidP="00B5569D">
            <w:pPr>
              <w:jc w:val="center"/>
              <w:rPr>
                <w:rFonts w:ascii="Calibri" w:eastAsia="Times New Roman" w:hAnsi="Calibri" w:cs="Calibri"/>
                <w:b/>
                <w:bCs/>
                <w:color w:val="FFFFFF" w:themeColor="background1"/>
                <w:sz w:val="24"/>
                <w:szCs w:val="24"/>
                <w:lang w:val="pt-BR"/>
              </w:rPr>
            </w:pPr>
            <w:r w:rsidRPr="00B421E0">
              <w:rPr>
                <w:rFonts w:ascii="Calibri" w:eastAsia="Times New Roman" w:hAnsi="Calibri" w:cs="Calibri"/>
                <w:b/>
                <w:bCs/>
                <w:color w:val="FFFFFF" w:themeColor="background1"/>
                <w:sz w:val="24"/>
                <w:szCs w:val="24"/>
                <w:lang w:val="pt-BR"/>
              </w:rPr>
              <w:t>Direcional</w:t>
            </w:r>
          </w:p>
        </w:tc>
        <w:tc>
          <w:tcPr>
            <w:tcW w:w="1419" w:type="dxa"/>
            <w:shd w:val="clear" w:color="auto" w:fill="44546A" w:themeFill="text2"/>
            <w:noWrap/>
            <w:hideMark/>
          </w:tcPr>
          <w:p w14:paraId="7C64DC73" w14:textId="77777777" w:rsidR="00B5569D" w:rsidRPr="00B421E0" w:rsidRDefault="00B5569D" w:rsidP="00B5569D">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2017</w:t>
            </w:r>
          </w:p>
        </w:tc>
        <w:tc>
          <w:tcPr>
            <w:tcW w:w="1419" w:type="dxa"/>
            <w:shd w:val="clear" w:color="auto" w:fill="44546A" w:themeFill="text2"/>
            <w:noWrap/>
            <w:hideMark/>
          </w:tcPr>
          <w:p w14:paraId="446A19D1" w14:textId="77777777" w:rsidR="00B5569D" w:rsidRPr="00B421E0" w:rsidRDefault="00B5569D" w:rsidP="00B5569D">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2018</w:t>
            </w:r>
          </w:p>
        </w:tc>
        <w:tc>
          <w:tcPr>
            <w:tcW w:w="1419" w:type="dxa"/>
            <w:tcBorders>
              <w:right w:val="nil"/>
            </w:tcBorders>
            <w:shd w:val="clear" w:color="auto" w:fill="44546A" w:themeFill="text2"/>
            <w:noWrap/>
            <w:hideMark/>
          </w:tcPr>
          <w:p w14:paraId="356D5273" w14:textId="2525A383" w:rsidR="00B5569D" w:rsidRPr="00B421E0" w:rsidRDefault="00B5569D" w:rsidP="00B5569D">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2019</w:t>
            </w:r>
          </w:p>
        </w:tc>
        <w:tc>
          <w:tcPr>
            <w:tcW w:w="1419" w:type="dxa"/>
            <w:tcBorders>
              <w:left w:val="nil"/>
            </w:tcBorders>
            <w:shd w:val="clear" w:color="auto" w:fill="44546A" w:themeFill="text2"/>
            <w:noWrap/>
            <w:hideMark/>
          </w:tcPr>
          <w:p w14:paraId="3E00D25B" w14:textId="58DDA9E5" w:rsidR="00B5569D" w:rsidRPr="00B421E0" w:rsidRDefault="00B5569D" w:rsidP="00B5569D">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2020</w:t>
            </w:r>
          </w:p>
        </w:tc>
      </w:tr>
      <w:tr w:rsidR="008065A8" w:rsidRPr="008065A8" w14:paraId="6C2DB7FA" w14:textId="77777777" w:rsidTr="00AF5C32">
        <w:trPr>
          <w:trHeight w:val="304"/>
        </w:trPr>
        <w:tc>
          <w:tcPr>
            <w:tcW w:w="2809" w:type="dxa"/>
            <w:noWrap/>
            <w:hideMark/>
          </w:tcPr>
          <w:p w14:paraId="57CE8F48" w14:textId="77777777" w:rsidR="008065A8" w:rsidRPr="008065A8" w:rsidRDefault="008065A8" w:rsidP="008065A8">
            <w:pPr>
              <w:jc w:val="center"/>
              <w:rPr>
                <w:rFonts w:ascii="Calibri" w:eastAsia="Times New Roman" w:hAnsi="Calibri" w:cs="Calibri"/>
                <w:b/>
                <w:bCs/>
              </w:rPr>
            </w:pPr>
            <w:proofErr w:type="spellStart"/>
            <w:r w:rsidRPr="008065A8">
              <w:rPr>
                <w:rFonts w:ascii="Calibri" w:eastAsia="Times New Roman" w:hAnsi="Calibri" w:cs="Calibri"/>
                <w:b/>
                <w:bCs/>
              </w:rPr>
              <w:t>Margem</w:t>
            </w:r>
            <w:proofErr w:type="spellEnd"/>
            <w:r w:rsidRPr="008065A8">
              <w:rPr>
                <w:rFonts w:ascii="Calibri" w:eastAsia="Times New Roman" w:hAnsi="Calibri" w:cs="Calibri"/>
                <w:b/>
                <w:bCs/>
              </w:rPr>
              <w:t xml:space="preserve"> </w:t>
            </w:r>
            <w:proofErr w:type="spellStart"/>
            <w:r w:rsidRPr="008065A8">
              <w:rPr>
                <w:rFonts w:ascii="Calibri" w:eastAsia="Times New Roman" w:hAnsi="Calibri" w:cs="Calibri"/>
                <w:b/>
                <w:bCs/>
              </w:rPr>
              <w:t>Líquida</w:t>
            </w:r>
            <w:proofErr w:type="spellEnd"/>
          </w:p>
        </w:tc>
        <w:tc>
          <w:tcPr>
            <w:tcW w:w="1419" w:type="dxa"/>
            <w:noWrap/>
            <w:hideMark/>
          </w:tcPr>
          <w:p w14:paraId="2A5B95CC"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-0,1828</w:t>
            </w:r>
          </w:p>
        </w:tc>
        <w:tc>
          <w:tcPr>
            <w:tcW w:w="1419" w:type="dxa"/>
            <w:noWrap/>
            <w:hideMark/>
          </w:tcPr>
          <w:p w14:paraId="168E8861"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-0,0634</w:t>
            </w:r>
          </w:p>
        </w:tc>
        <w:tc>
          <w:tcPr>
            <w:tcW w:w="1419" w:type="dxa"/>
            <w:noWrap/>
            <w:hideMark/>
          </w:tcPr>
          <w:p w14:paraId="7512BFD6"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0,0829</w:t>
            </w:r>
          </w:p>
        </w:tc>
        <w:tc>
          <w:tcPr>
            <w:tcW w:w="1419" w:type="dxa"/>
            <w:noWrap/>
            <w:hideMark/>
          </w:tcPr>
          <w:p w14:paraId="6B566356"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0,1</w:t>
            </w:r>
          </w:p>
        </w:tc>
      </w:tr>
      <w:tr w:rsidR="008065A8" w:rsidRPr="008065A8" w14:paraId="78C1D09A" w14:textId="77777777" w:rsidTr="00AF5C32">
        <w:trPr>
          <w:trHeight w:val="304"/>
        </w:trPr>
        <w:tc>
          <w:tcPr>
            <w:tcW w:w="2809" w:type="dxa"/>
            <w:noWrap/>
            <w:hideMark/>
          </w:tcPr>
          <w:p w14:paraId="30F7D4A7" w14:textId="77777777" w:rsidR="008065A8" w:rsidRPr="008065A8" w:rsidRDefault="008065A8" w:rsidP="008065A8">
            <w:pPr>
              <w:jc w:val="center"/>
              <w:rPr>
                <w:rFonts w:ascii="Calibri" w:eastAsia="Times New Roman" w:hAnsi="Calibri" w:cs="Calibri"/>
                <w:b/>
                <w:bCs/>
              </w:rPr>
            </w:pPr>
            <w:r w:rsidRPr="008065A8">
              <w:rPr>
                <w:rFonts w:ascii="Calibri" w:eastAsia="Times New Roman" w:hAnsi="Calibri" w:cs="Calibri"/>
                <w:b/>
                <w:bCs/>
              </w:rPr>
              <w:t xml:space="preserve">Giro do </w:t>
            </w:r>
            <w:proofErr w:type="spellStart"/>
            <w:r w:rsidRPr="008065A8">
              <w:rPr>
                <w:rFonts w:ascii="Calibri" w:eastAsia="Times New Roman" w:hAnsi="Calibri" w:cs="Calibri"/>
                <w:b/>
                <w:bCs/>
              </w:rPr>
              <w:t>Ativo</w:t>
            </w:r>
            <w:proofErr w:type="spellEnd"/>
          </w:p>
        </w:tc>
        <w:tc>
          <w:tcPr>
            <w:tcW w:w="1419" w:type="dxa"/>
            <w:noWrap/>
            <w:hideMark/>
          </w:tcPr>
          <w:p w14:paraId="2EA5D4A0"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0,1815</w:t>
            </w:r>
          </w:p>
        </w:tc>
        <w:tc>
          <w:tcPr>
            <w:tcW w:w="1419" w:type="dxa"/>
            <w:noWrap/>
            <w:hideMark/>
          </w:tcPr>
          <w:p w14:paraId="2ADABC51"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0,2507</w:t>
            </w:r>
          </w:p>
        </w:tc>
        <w:tc>
          <w:tcPr>
            <w:tcW w:w="1419" w:type="dxa"/>
            <w:noWrap/>
            <w:hideMark/>
          </w:tcPr>
          <w:p w14:paraId="24774020"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0,3133</w:t>
            </w:r>
          </w:p>
        </w:tc>
        <w:tc>
          <w:tcPr>
            <w:tcW w:w="1419" w:type="dxa"/>
            <w:noWrap/>
            <w:hideMark/>
          </w:tcPr>
          <w:p w14:paraId="0DE3D728"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0,2942</w:t>
            </w:r>
          </w:p>
        </w:tc>
      </w:tr>
      <w:tr w:rsidR="008065A8" w:rsidRPr="008065A8" w14:paraId="28816398" w14:textId="77777777" w:rsidTr="00AF5C32">
        <w:trPr>
          <w:trHeight w:val="304"/>
        </w:trPr>
        <w:tc>
          <w:tcPr>
            <w:tcW w:w="2809" w:type="dxa"/>
            <w:noWrap/>
            <w:hideMark/>
          </w:tcPr>
          <w:p w14:paraId="3E6C9131" w14:textId="77777777" w:rsidR="008065A8" w:rsidRPr="008065A8" w:rsidRDefault="008065A8" w:rsidP="008065A8">
            <w:pPr>
              <w:jc w:val="center"/>
              <w:rPr>
                <w:rFonts w:ascii="Calibri" w:eastAsia="Times New Roman" w:hAnsi="Calibri" w:cs="Calibri"/>
                <w:b/>
                <w:bCs/>
              </w:rPr>
            </w:pPr>
            <w:proofErr w:type="spellStart"/>
            <w:r w:rsidRPr="008065A8">
              <w:rPr>
                <w:rFonts w:ascii="Calibri" w:eastAsia="Times New Roman" w:hAnsi="Calibri" w:cs="Calibri"/>
                <w:b/>
                <w:bCs/>
              </w:rPr>
              <w:t>Multiplicador</w:t>
            </w:r>
            <w:proofErr w:type="spellEnd"/>
            <w:r w:rsidRPr="008065A8">
              <w:rPr>
                <w:rFonts w:ascii="Calibri" w:eastAsia="Times New Roman" w:hAnsi="Calibri" w:cs="Calibri"/>
                <w:b/>
                <w:bCs/>
              </w:rPr>
              <w:t xml:space="preserve"> do PL</w:t>
            </w:r>
          </w:p>
        </w:tc>
        <w:tc>
          <w:tcPr>
            <w:tcW w:w="1419" w:type="dxa"/>
            <w:noWrap/>
            <w:hideMark/>
          </w:tcPr>
          <w:p w14:paraId="660AD858"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2,5816</w:t>
            </w:r>
          </w:p>
        </w:tc>
        <w:tc>
          <w:tcPr>
            <w:tcW w:w="1419" w:type="dxa"/>
            <w:noWrap/>
            <w:hideMark/>
          </w:tcPr>
          <w:p w14:paraId="491A961D"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3,3387</w:t>
            </w:r>
          </w:p>
        </w:tc>
        <w:tc>
          <w:tcPr>
            <w:tcW w:w="1419" w:type="dxa"/>
            <w:noWrap/>
            <w:hideMark/>
          </w:tcPr>
          <w:p w14:paraId="1BFDB0D4"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3,3992</w:t>
            </w:r>
          </w:p>
        </w:tc>
        <w:tc>
          <w:tcPr>
            <w:tcW w:w="1419" w:type="dxa"/>
            <w:noWrap/>
            <w:hideMark/>
          </w:tcPr>
          <w:p w14:paraId="6E7563C5"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3,807</w:t>
            </w:r>
          </w:p>
        </w:tc>
      </w:tr>
      <w:tr w:rsidR="008065A8" w:rsidRPr="008065A8" w14:paraId="4FA4A041" w14:textId="77777777" w:rsidTr="00B421E0">
        <w:trPr>
          <w:trHeight w:val="304"/>
        </w:trPr>
        <w:tc>
          <w:tcPr>
            <w:tcW w:w="2809" w:type="dxa"/>
            <w:shd w:val="clear" w:color="auto" w:fill="D9D9D9" w:themeFill="background1" w:themeFillShade="D9"/>
            <w:noWrap/>
            <w:hideMark/>
          </w:tcPr>
          <w:p w14:paraId="06D68EC5" w14:textId="77777777" w:rsidR="008065A8" w:rsidRPr="00B421E0" w:rsidRDefault="008065A8" w:rsidP="008065A8">
            <w:pPr>
              <w:jc w:val="center"/>
              <w:rPr>
                <w:rFonts w:ascii="Calibri" w:eastAsia="Times New Roman" w:hAnsi="Calibri" w:cs="Calibri"/>
                <w:b/>
                <w:bCs/>
              </w:rPr>
            </w:pPr>
            <w:r w:rsidRPr="00B421E0">
              <w:rPr>
                <w:rFonts w:ascii="Calibri" w:eastAsia="Times New Roman" w:hAnsi="Calibri" w:cs="Calibri"/>
                <w:b/>
                <w:bCs/>
              </w:rPr>
              <w:t>ROE</w:t>
            </w:r>
          </w:p>
        </w:tc>
        <w:tc>
          <w:tcPr>
            <w:tcW w:w="1419" w:type="dxa"/>
            <w:shd w:val="clear" w:color="auto" w:fill="D9D9D9" w:themeFill="background1" w:themeFillShade="D9"/>
            <w:noWrap/>
            <w:hideMark/>
          </w:tcPr>
          <w:p w14:paraId="702FD928" w14:textId="77777777" w:rsidR="008065A8" w:rsidRPr="00B421E0" w:rsidRDefault="008065A8" w:rsidP="00AF5C32">
            <w:pPr>
              <w:jc w:val="center"/>
              <w:rPr>
                <w:rFonts w:ascii="Calibri" w:eastAsia="Times New Roman" w:hAnsi="Calibri" w:cs="Calibri"/>
                <w:b/>
                <w:bCs/>
                <w:color w:val="000000"/>
              </w:rPr>
            </w:pPr>
            <w:r w:rsidRPr="00B421E0">
              <w:rPr>
                <w:rFonts w:ascii="Calibri" w:eastAsia="Times New Roman" w:hAnsi="Calibri" w:cs="Calibri"/>
                <w:b/>
                <w:bCs/>
                <w:color w:val="000000"/>
              </w:rPr>
              <w:t>-0,0857</w:t>
            </w:r>
          </w:p>
        </w:tc>
        <w:tc>
          <w:tcPr>
            <w:tcW w:w="1419" w:type="dxa"/>
            <w:shd w:val="clear" w:color="auto" w:fill="D9D9D9" w:themeFill="background1" w:themeFillShade="D9"/>
            <w:noWrap/>
            <w:hideMark/>
          </w:tcPr>
          <w:p w14:paraId="76AAB935" w14:textId="77777777" w:rsidR="008065A8" w:rsidRPr="00B421E0" w:rsidRDefault="008065A8" w:rsidP="00AF5C32">
            <w:pPr>
              <w:jc w:val="center"/>
              <w:rPr>
                <w:rFonts w:ascii="Calibri" w:eastAsia="Times New Roman" w:hAnsi="Calibri" w:cs="Calibri"/>
                <w:b/>
                <w:bCs/>
                <w:color w:val="000000"/>
              </w:rPr>
            </w:pPr>
            <w:r w:rsidRPr="00B421E0">
              <w:rPr>
                <w:rFonts w:ascii="Calibri" w:eastAsia="Times New Roman" w:hAnsi="Calibri" w:cs="Calibri"/>
                <w:b/>
                <w:bCs/>
                <w:color w:val="000000"/>
              </w:rPr>
              <w:t>-0,0531</w:t>
            </w:r>
          </w:p>
        </w:tc>
        <w:tc>
          <w:tcPr>
            <w:tcW w:w="1419" w:type="dxa"/>
            <w:shd w:val="clear" w:color="auto" w:fill="D9D9D9" w:themeFill="background1" w:themeFillShade="D9"/>
            <w:noWrap/>
            <w:hideMark/>
          </w:tcPr>
          <w:p w14:paraId="0E9012D4" w14:textId="77777777" w:rsidR="008065A8" w:rsidRPr="00B421E0" w:rsidRDefault="008065A8" w:rsidP="00AF5C32">
            <w:pPr>
              <w:jc w:val="center"/>
              <w:rPr>
                <w:rFonts w:ascii="Calibri" w:eastAsia="Times New Roman" w:hAnsi="Calibri" w:cs="Calibri"/>
                <w:b/>
                <w:bCs/>
                <w:color w:val="000000"/>
              </w:rPr>
            </w:pPr>
            <w:r w:rsidRPr="00B421E0">
              <w:rPr>
                <w:rFonts w:ascii="Calibri" w:eastAsia="Times New Roman" w:hAnsi="Calibri" w:cs="Calibri"/>
                <w:b/>
                <w:bCs/>
                <w:color w:val="000000"/>
              </w:rPr>
              <w:t>0,0882</w:t>
            </w:r>
          </w:p>
        </w:tc>
        <w:tc>
          <w:tcPr>
            <w:tcW w:w="1419" w:type="dxa"/>
            <w:shd w:val="clear" w:color="auto" w:fill="D9D9D9" w:themeFill="background1" w:themeFillShade="D9"/>
            <w:noWrap/>
            <w:hideMark/>
          </w:tcPr>
          <w:p w14:paraId="482F0A22" w14:textId="77777777" w:rsidR="008065A8" w:rsidRPr="00B421E0" w:rsidRDefault="008065A8" w:rsidP="00AF5C32">
            <w:pPr>
              <w:jc w:val="center"/>
              <w:rPr>
                <w:rFonts w:ascii="Calibri" w:eastAsia="Times New Roman" w:hAnsi="Calibri" w:cs="Calibri"/>
                <w:b/>
                <w:bCs/>
                <w:color w:val="000000"/>
              </w:rPr>
            </w:pPr>
            <w:r w:rsidRPr="00B421E0">
              <w:rPr>
                <w:rFonts w:ascii="Calibri" w:eastAsia="Times New Roman" w:hAnsi="Calibri" w:cs="Calibri"/>
                <w:b/>
                <w:bCs/>
                <w:color w:val="000000"/>
              </w:rPr>
              <w:t>0,112</w:t>
            </w:r>
          </w:p>
        </w:tc>
      </w:tr>
      <w:bookmarkEnd w:id="0"/>
    </w:tbl>
    <w:p w14:paraId="768CEE56" w14:textId="22B3E729" w:rsidR="00A45E4D" w:rsidRDefault="00A45E4D" w:rsidP="00A45E4D">
      <w:pPr>
        <w:spacing w:line="360" w:lineRule="auto"/>
        <w:jc w:val="both"/>
        <w:rPr>
          <w:rFonts w:ascii="Times New Roman" w:hAnsi="Times New Roman" w:cs="Times New Roman"/>
          <w:highlight w:val="yellow"/>
          <w:lang w:val="pt-BR"/>
        </w:rPr>
      </w:pPr>
    </w:p>
    <w:p w14:paraId="6AB7D341" w14:textId="77777777" w:rsidR="005D4C8E" w:rsidRPr="0004091D" w:rsidRDefault="005D4C8E" w:rsidP="00A45E4D">
      <w:pPr>
        <w:spacing w:line="360" w:lineRule="auto"/>
        <w:jc w:val="both"/>
        <w:rPr>
          <w:rFonts w:ascii="Times New Roman" w:hAnsi="Times New Roman" w:cs="Times New Roman"/>
          <w:highlight w:val="yellow"/>
          <w:lang w:val="pt-BR"/>
        </w:rPr>
      </w:pPr>
    </w:p>
    <w:p w14:paraId="3A8D688E" w14:textId="3273FFB6" w:rsidR="003F31DC" w:rsidRDefault="00021963" w:rsidP="00021963">
      <w:pPr>
        <w:pStyle w:val="ListParagraph"/>
        <w:numPr>
          <w:ilvl w:val="0"/>
          <w:numId w:val="11"/>
        </w:num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Fluxos de Caixa</w:t>
      </w:r>
    </w:p>
    <w:p w14:paraId="393F79F8" w14:textId="77777777" w:rsidR="00F909E8" w:rsidRDefault="00021963" w:rsidP="00F909E8">
      <w:pPr>
        <w:spacing w:after="0" w:line="360" w:lineRule="auto"/>
        <w:ind w:firstLine="360"/>
        <w:jc w:val="both"/>
        <w:rPr>
          <w:rFonts w:ascii="Times New Roman" w:eastAsia="Times New Roman" w:hAnsi="Times New Roman" w:cs="Times New Roman"/>
          <w:color w:val="000000"/>
          <w:lang w:val="pt-BR"/>
        </w:rPr>
      </w:pPr>
      <w:r w:rsidRPr="00C20EBC">
        <w:rPr>
          <w:rFonts w:ascii="Times New Roman" w:eastAsia="Times New Roman" w:hAnsi="Times New Roman" w:cs="Times New Roman"/>
          <w:color w:val="000000"/>
          <w:lang w:val="pt-BR"/>
        </w:rPr>
        <w:t xml:space="preserve">Como é possível observar na </w:t>
      </w:r>
      <w:r w:rsidRPr="00C20EBC">
        <w:rPr>
          <w:rFonts w:ascii="Times New Roman" w:eastAsia="Times New Roman" w:hAnsi="Times New Roman" w:cs="Times New Roman"/>
          <w:color w:val="000000"/>
          <w:highlight w:val="green"/>
          <w:lang w:val="pt-BR"/>
        </w:rPr>
        <w:t>Tabela</w:t>
      </w:r>
      <w:r w:rsidR="00B5569D" w:rsidRPr="00C20EBC">
        <w:rPr>
          <w:rFonts w:ascii="Times New Roman" w:eastAsia="Times New Roman" w:hAnsi="Times New Roman" w:cs="Times New Roman"/>
          <w:color w:val="000000"/>
          <w:highlight w:val="green"/>
          <w:lang w:val="pt-BR"/>
        </w:rPr>
        <w:t xml:space="preserve"> 3</w:t>
      </w:r>
      <w:r w:rsidRPr="00C20EBC">
        <w:rPr>
          <w:rFonts w:ascii="Times New Roman" w:eastAsia="Times New Roman" w:hAnsi="Times New Roman" w:cs="Times New Roman"/>
          <w:color w:val="000000"/>
          <w:lang w:val="pt-BR"/>
        </w:rPr>
        <w:t xml:space="preserve"> o Fluxo de Caixa dos Ativos da MRV cresceu pouco mais de </w:t>
      </w:r>
      <w:r w:rsidR="00800D88" w:rsidRPr="00C20EBC">
        <w:rPr>
          <w:rFonts w:ascii="Times New Roman" w:eastAsia="Times New Roman" w:hAnsi="Times New Roman" w:cs="Times New Roman"/>
          <w:color w:val="000000"/>
          <w:lang w:val="pt-BR"/>
        </w:rPr>
        <w:t>16</w:t>
      </w:r>
      <w:r w:rsidRPr="00C20EBC">
        <w:rPr>
          <w:rFonts w:ascii="Times New Roman" w:eastAsia="Times New Roman" w:hAnsi="Times New Roman" w:cs="Times New Roman"/>
          <w:color w:val="000000"/>
          <w:lang w:val="pt-BR"/>
        </w:rPr>
        <w:t xml:space="preserve">% entre 2019 e 2020. </w:t>
      </w:r>
      <w:proofErr w:type="spellStart"/>
      <w:r w:rsidRPr="00F909E8">
        <w:rPr>
          <w:rFonts w:ascii="Times New Roman" w:eastAsia="Times New Roman" w:hAnsi="Times New Roman" w:cs="Times New Roman"/>
          <w:color w:val="000000"/>
        </w:rPr>
        <w:t>Esse</w:t>
      </w:r>
      <w:proofErr w:type="spellEnd"/>
      <w:r w:rsidRPr="00F909E8">
        <w:rPr>
          <w:rFonts w:ascii="Times New Roman" w:eastAsia="Times New Roman" w:hAnsi="Times New Roman" w:cs="Times New Roman"/>
          <w:color w:val="000000"/>
        </w:rPr>
        <w:t xml:space="preserve"> </w:t>
      </w:r>
      <w:proofErr w:type="spellStart"/>
      <w:r w:rsidRPr="00F909E8">
        <w:rPr>
          <w:rFonts w:ascii="Times New Roman" w:eastAsia="Times New Roman" w:hAnsi="Times New Roman" w:cs="Times New Roman"/>
          <w:color w:val="000000"/>
        </w:rPr>
        <w:t>movimento</w:t>
      </w:r>
      <w:proofErr w:type="spellEnd"/>
      <w:r w:rsidRPr="00F909E8">
        <w:rPr>
          <w:rFonts w:ascii="Times New Roman" w:eastAsia="Times New Roman" w:hAnsi="Times New Roman" w:cs="Times New Roman"/>
          <w:color w:val="000000"/>
        </w:rPr>
        <w:t xml:space="preserve"> </w:t>
      </w:r>
      <w:proofErr w:type="spellStart"/>
      <w:r w:rsidRPr="00F909E8">
        <w:rPr>
          <w:rFonts w:ascii="Times New Roman" w:eastAsia="Times New Roman" w:hAnsi="Times New Roman" w:cs="Times New Roman"/>
          <w:color w:val="000000"/>
        </w:rPr>
        <w:t>pode</w:t>
      </w:r>
      <w:proofErr w:type="spellEnd"/>
      <w:r w:rsidRPr="00F909E8">
        <w:rPr>
          <w:rFonts w:ascii="Times New Roman" w:eastAsia="Times New Roman" w:hAnsi="Times New Roman" w:cs="Times New Roman"/>
          <w:color w:val="000000"/>
        </w:rPr>
        <w:t xml:space="preserve"> ser explicado pela queda no CCL</w:t>
      </w:r>
      <w:r w:rsidR="00800D88" w:rsidRPr="00F909E8">
        <w:rPr>
          <w:rFonts w:ascii="Times New Roman" w:eastAsia="Times New Roman" w:hAnsi="Times New Roman" w:cs="Times New Roman"/>
          <w:color w:val="000000"/>
        </w:rPr>
        <w:t xml:space="preserve"> e no CAPEX</w:t>
      </w:r>
      <w:r w:rsidR="00302701" w:rsidRPr="00F909E8">
        <w:rPr>
          <w:rFonts w:ascii="Times New Roman" w:eastAsia="Times New Roman" w:hAnsi="Times New Roman" w:cs="Times New Roman"/>
          <w:color w:val="000000"/>
        </w:rPr>
        <w:t>, apesar da queda no FCO</w:t>
      </w:r>
      <w:r w:rsidR="00800D88" w:rsidRPr="00F909E8">
        <w:rPr>
          <w:rFonts w:ascii="Times New Roman" w:eastAsia="Times New Roman" w:hAnsi="Times New Roman" w:cs="Times New Roman"/>
          <w:color w:val="000000"/>
        </w:rPr>
        <w:t xml:space="preserve">, que acabou sendo menos impactante. </w:t>
      </w:r>
      <w:r w:rsidR="00C2282B" w:rsidRPr="00F909E8">
        <w:rPr>
          <w:rFonts w:ascii="Times New Roman" w:eastAsia="Times New Roman" w:hAnsi="Times New Roman" w:cs="Times New Roman"/>
          <w:color w:val="000000"/>
        </w:rPr>
        <w:t xml:space="preserve">Ou seja, a MRV obteve um FC(A) maior porque gastou menos com ativos Imobilizados e Intangíveis, além de ter apresentado uma liquidez corrente menor do que em 2019. </w:t>
      </w:r>
      <w:r w:rsidR="00800D88" w:rsidRPr="00F909E8">
        <w:rPr>
          <w:rFonts w:ascii="Times New Roman" w:eastAsia="Times New Roman" w:hAnsi="Times New Roman" w:cs="Times New Roman"/>
          <w:color w:val="000000"/>
          <w:lang w:val="pt-BR"/>
        </w:rPr>
        <w:t>Já a a queda do FCO tem relação com a queda no lucro líquido, que acabou derrubando também a margem líquida</w:t>
      </w:r>
      <w:r w:rsidR="00F909E8" w:rsidRPr="00F909E8">
        <w:rPr>
          <w:rFonts w:ascii="Times New Roman" w:eastAsia="Times New Roman" w:hAnsi="Times New Roman" w:cs="Times New Roman"/>
          <w:color w:val="000000"/>
          <w:lang w:val="pt-BR"/>
        </w:rPr>
        <w:t>.</w:t>
      </w:r>
    </w:p>
    <w:p w14:paraId="7FC1F171" w14:textId="77777777" w:rsidR="00F909E8" w:rsidRDefault="00F909E8" w:rsidP="00F909E8">
      <w:pPr>
        <w:spacing w:after="0" w:line="360" w:lineRule="auto"/>
        <w:ind w:firstLine="360"/>
        <w:jc w:val="both"/>
        <w:rPr>
          <w:rFonts w:ascii="Times New Roman" w:eastAsia="Times New Roman" w:hAnsi="Times New Roman" w:cs="Times New Roman"/>
          <w:color w:val="000000"/>
          <w:lang w:val="pt-BR"/>
        </w:rPr>
      </w:pPr>
    </w:p>
    <w:p w14:paraId="3A3EB066" w14:textId="77777777" w:rsidR="00F909E8" w:rsidRPr="00B5569D" w:rsidRDefault="00F909E8" w:rsidP="00F909E8">
      <w:pPr>
        <w:pStyle w:val="Caption"/>
        <w:keepNext/>
        <w:jc w:val="center"/>
        <w:rPr>
          <w:lang w:val="pt-BR"/>
        </w:rPr>
      </w:pPr>
      <w:r w:rsidRPr="00B220DD">
        <w:rPr>
          <w:lang w:val="pt-BR"/>
        </w:rPr>
        <w:t xml:space="preserve">Tabela </w:t>
      </w:r>
      <w:r>
        <w:rPr>
          <w:lang w:val="pt-BR"/>
        </w:rPr>
        <w:t>3</w:t>
      </w:r>
      <w:r w:rsidRPr="00B220DD">
        <w:rPr>
          <w:lang w:val="pt-BR"/>
        </w:rPr>
        <w:t xml:space="preserve">: </w:t>
      </w:r>
      <w:r w:rsidRPr="00C33114">
        <w:rPr>
          <w:rFonts w:ascii="Times New Roman" w:hAnsi="Times New Roman" w:cs="Times New Roman"/>
          <w:lang w:val="pt-BR"/>
        </w:rPr>
        <w:t xml:space="preserve">evolução dos componentes do </w:t>
      </w:r>
      <w:r>
        <w:rPr>
          <w:rFonts w:ascii="Times New Roman" w:hAnsi="Times New Roman" w:cs="Times New Roman"/>
          <w:lang w:val="pt-BR"/>
        </w:rPr>
        <w:t>Fluxo de Caixa dos Ativos da MRV</w:t>
      </w:r>
    </w:p>
    <w:tbl>
      <w:tblPr>
        <w:tblStyle w:val="TableGrid"/>
        <w:tblW w:w="8485" w:type="dxa"/>
        <w:tblLook w:val="04A0" w:firstRow="1" w:lastRow="0" w:firstColumn="1" w:lastColumn="0" w:noHBand="0" w:noVBand="1"/>
      </w:tblPr>
      <w:tblGrid>
        <w:gridCol w:w="4221"/>
        <w:gridCol w:w="2132"/>
        <w:gridCol w:w="2132"/>
      </w:tblGrid>
      <w:tr w:rsidR="00F909E8" w:rsidRPr="008065A8" w14:paraId="531EBD39" w14:textId="77777777" w:rsidTr="00E14640">
        <w:trPr>
          <w:trHeight w:val="304"/>
        </w:trPr>
        <w:tc>
          <w:tcPr>
            <w:tcW w:w="2809" w:type="dxa"/>
            <w:shd w:val="clear" w:color="auto" w:fill="44546A" w:themeFill="text2"/>
            <w:noWrap/>
            <w:hideMark/>
          </w:tcPr>
          <w:p w14:paraId="12021705" w14:textId="77777777" w:rsidR="00F909E8" w:rsidRPr="00B421E0" w:rsidRDefault="00F909E8" w:rsidP="00E14640">
            <w:pPr>
              <w:jc w:val="center"/>
              <w:rPr>
                <w:rFonts w:ascii="Calibri" w:eastAsia="Times New Roman" w:hAnsi="Calibri" w:cs="Calibri"/>
                <w:b/>
                <w:bCs/>
                <w:color w:val="FFFFFF" w:themeColor="background1"/>
                <w:sz w:val="24"/>
                <w:szCs w:val="24"/>
                <w:lang w:val="pt-BR"/>
              </w:rPr>
            </w:pPr>
            <w:r>
              <w:rPr>
                <w:rFonts w:ascii="Calibri" w:eastAsia="Times New Roman" w:hAnsi="Calibri" w:cs="Calibri"/>
                <w:b/>
                <w:bCs/>
                <w:color w:val="FFFFFF" w:themeColor="background1"/>
                <w:sz w:val="24"/>
                <w:szCs w:val="24"/>
                <w:lang w:val="pt-BR"/>
              </w:rPr>
              <w:t>MRV</w:t>
            </w:r>
          </w:p>
        </w:tc>
        <w:tc>
          <w:tcPr>
            <w:tcW w:w="1419" w:type="dxa"/>
            <w:shd w:val="clear" w:color="auto" w:fill="44546A" w:themeFill="text2"/>
            <w:noWrap/>
            <w:hideMark/>
          </w:tcPr>
          <w:p w14:paraId="7539C5BF" w14:textId="77777777" w:rsidR="00F909E8" w:rsidRPr="00B421E0" w:rsidRDefault="00F909E8" w:rsidP="00E14640">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2019</w:t>
            </w:r>
          </w:p>
        </w:tc>
        <w:tc>
          <w:tcPr>
            <w:tcW w:w="1419" w:type="dxa"/>
            <w:shd w:val="clear" w:color="auto" w:fill="44546A" w:themeFill="text2"/>
            <w:noWrap/>
            <w:hideMark/>
          </w:tcPr>
          <w:p w14:paraId="446433A9" w14:textId="77777777" w:rsidR="00F909E8" w:rsidRPr="00B421E0" w:rsidRDefault="00F909E8" w:rsidP="00E14640">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2020</w:t>
            </w:r>
          </w:p>
        </w:tc>
      </w:tr>
      <w:tr w:rsidR="00F909E8" w:rsidRPr="008065A8" w14:paraId="37CE8BF6" w14:textId="77777777" w:rsidTr="00E14640">
        <w:trPr>
          <w:trHeight w:val="304"/>
        </w:trPr>
        <w:tc>
          <w:tcPr>
            <w:tcW w:w="2809" w:type="dxa"/>
            <w:noWrap/>
            <w:hideMark/>
          </w:tcPr>
          <w:p w14:paraId="5D4E23F3" w14:textId="77777777" w:rsidR="00F909E8" w:rsidRPr="008065A8" w:rsidRDefault="00F909E8" w:rsidP="00E14640">
            <w:pPr>
              <w:jc w:val="center"/>
              <w:rPr>
                <w:rFonts w:ascii="Calibri" w:eastAsia="Times New Roman" w:hAnsi="Calibri" w:cs="Calibri"/>
                <w:b/>
                <w:bCs/>
              </w:rPr>
            </w:pPr>
            <w:r>
              <w:rPr>
                <w:rFonts w:ascii="Calibri" w:eastAsia="Times New Roman" w:hAnsi="Calibri" w:cs="Calibri"/>
                <w:b/>
                <w:bCs/>
              </w:rPr>
              <w:t>FCO</w:t>
            </w:r>
          </w:p>
        </w:tc>
        <w:tc>
          <w:tcPr>
            <w:tcW w:w="1419" w:type="dxa"/>
            <w:noWrap/>
            <w:hideMark/>
          </w:tcPr>
          <w:p w14:paraId="19C5FEDE" w14:textId="77777777" w:rsidR="00F909E8" w:rsidRPr="008065A8" w:rsidRDefault="00F909E8" w:rsidP="00E14640">
            <w:pPr>
              <w:jc w:val="center"/>
              <w:rPr>
                <w:rFonts w:ascii="Calibri" w:eastAsia="Times New Roman" w:hAnsi="Calibri" w:cs="Calibri"/>
                <w:color w:val="000000"/>
              </w:rPr>
            </w:pPr>
            <w:r w:rsidRPr="00B5569D">
              <w:rPr>
                <w:rFonts w:ascii="Calibri" w:eastAsia="Times New Roman" w:hAnsi="Calibri" w:cs="Calibri"/>
                <w:color w:val="000000"/>
              </w:rPr>
              <w:t>697795</w:t>
            </w:r>
          </w:p>
        </w:tc>
        <w:tc>
          <w:tcPr>
            <w:tcW w:w="1419" w:type="dxa"/>
            <w:noWrap/>
            <w:hideMark/>
          </w:tcPr>
          <w:p w14:paraId="5BCF391A" w14:textId="77777777" w:rsidR="00F909E8" w:rsidRPr="008065A8" w:rsidRDefault="00F909E8" w:rsidP="00E14640">
            <w:pPr>
              <w:jc w:val="center"/>
              <w:rPr>
                <w:rFonts w:ascii="Calibri" w:eastAsia="Times New Roman" w:hAnsi="Calibri" w:cs="Calibri"/>
                <w:color w:val="000000"/>
              </w:rPr>
            </w:pPr>
            <w:r w:rsidRPr="00B5569D">
              <w:rPr>
                <w:rFonts w:ascii="Calibri" w:eastAsia="Times New Roman" w:hAnsi="Calibri" w:cs="Calibri"/>
                <w:color w:val="000000"/>
              </w:rPr>
              <w:t>683711</w:t>
            </w:r>
          </w:p>
        </w:tc>
      </w:tr>
      <w:tr w:rsidR="00F909E8" w:rsidRPr="008065A8" w14:paraId="74D475E5" w14:textId="77777777" w:rsidTr="00E14640">
        <w:trPr>
          <w:trHeight w:val="304"/>
        </w:trPr>
        <w:tc>
          <w:tcPr>
            <w:tcW w:w="2809" w:type="dxa"/>
            <w:noWrap/>
            <w:hideMark/>
          </w:tcPr>
          <w:p w14:paraId="09DC3D54" w14:textId="77777777" w:rsidR="00F909E8" w:rsidRPr="008065A8" w:rsidRDefault="00F909E8" w:rsidP="00E14640">
            <w:pPr>
              <w:jc w:val="center"/>
              <w:rPr>
                <w:rFonts w:ascii="Calibri" w:eastAsia="Times New Roman" w:hAnsi="Calibri" w:cs="Calibri"/>
                <w:b/>
                <w:bCs/>
              </w:rPr>
            </w:pPr>
            <w:r>
              <w:rPr>
                <w:rFonts w:ascii="Calibri" w:eastAsia="Times New Roman" w:hAnsi="Calibri" w:cs="Calibri"/>
                <w:b/>
                <w:bCs/>
              </w:rPr>
              <w:t>CAPEX</w:t>
            </w:r>
          </w:p>
        </w:tc>
        <w:tc>
          <w:tcPr>
            <w:tcW w:w="1419" w:type="dxa"/>
            <w:noWrap/>
            <w:hideMark/>
          </w:tcPr>
          <w:p w14:paraId="612974A3" w14:textId="77777777" w:rsidR="00F909E8" w:rsidRPr="008065A8" w:rsidRDefault="00F909E8" w:rsidP="00E14640">
            <w:pPr>
              <w:jc w:val="center"/>
              <w:rPr>
                <w:rFonts w:ascii="Calibri" w:eastAsia="Times New Roman" w:hAnsi="Calibri" w:cs="Calibri"/>
                <w:color w:val="000000"/>
              </w:rPr>
            </w:pPr>
            <w:r w:rsidRPr="00B5569D">
              <w:rPr>
                <w:rFonts w:ascii="Calibri" w:eastAsia="Times New Roman" w:hAnsi="Calibri" w:cs="Calibri"/>
                <w:color w:val="000000"/>
              </w:rPr>
              <w:t>208735</w:t>
            </w:r>
          </w:p>
        </w:tc>
        <w:tc>
          <w:tcPr>
            <w:tcW w:w="1419" w:type="dxa"/>
            <w:noWrap/>
            <w:hideMark/>
          </w:tcPr>
          <w:p w14:paraId="0E6C891A" w14:textId="77777777" w:rsidR="00F909E8" w:rsidRPr="008065A8" w:rsidRDefault="00F909E8" w:rsidP="00E14640">
            <w:pPr>
              <w:jc w:val="center"/>
              <w:rPr>
                <w:rFonts w:ascii="Calibri" w:eastAsia="Times New Roman" w:hAnsi="Calibri" w:cs="Calibri"/>
                <w:color w:val="000000"/>
              </w:rPr>
            </w:pPr>
            <w:r w:rsidRPr="00B5569D">
              <w:rPr>
                <w:rFonts w:ascii="Calibri" w:eastAsia="Times New Roman" w:hAnsi="Calibri" w:cs="Calibri"/>
                <w:color w:val="000000"/>
              </w:rPr>
              <w:t>179957</w:t>
            </w:r>
          </w:p>
        </w:tc>
      </w:tr>
      <w:tr w:rsidR="00F909E8" w:rsidRPr="008065A8" w14:paraId="6C98FA3A" w14:textId="77777777" w:rsidTr="00E14640">
        <w:trPr>
          <w:trHeight w:val="304"/>
        </w:trPr>
        <w:tc>
          <w:tcPr>
            <w:tcW w:w="2809" w:type="dxa"/>
            <w:noWrap/>
            <w:hideMark/>
          </w:tcPr>
          <w:p w14:paraId="15BBCF06" w14:textId="77777777" w:rsidR="00F909E8" w:rsidRPr="008065A8" w:rsidRDefault="00F909E8" w:rsidP="00E14640">
            <w:pPr>
              <w:jc w:val="center"/>
              <w:rPr>
                <w:rFonts w:ascii="Calibri" w:eastAsia="Times New Roman" w:hAnsi="Calibri" w:cs="Calibri"/>
                <w:b/>
                <w:bCs/>
              </w:rPr>
            </w:pPr>
            <w:proofErr w:type="spellStart"/>
            <w:r>
              <w:rPr>
                <w:rFonts w:ascii="Calibri" w:eastAsia="Times New Roman" w:hAnsi="Calibri" w:cs="Calibri"/>
                <w:b/>
                <w:bCs/>
              </w:rPr>
              <w:t>Variação</w:t>
            </w:r>
            <w:proofErr w:type="spellEnd"/>
            <w:r>
              <w:rPr>
                <w:rFonts w:ascii="Calibri" w:eastAsia="Times New Roman" w:hAnsi="Calibri" w:cs="Calibri"/>
                <w:b/>
                <w:bCs/>
              </w:rPr>
              <w:t xml:space="preserve"> do CCL</w:t>
            </w:r>
          </w:p>
        </w:tc>
        <w:tc>
          <w:tcPr>
            <w:tcW w:w="1419" w:type="dxa"/>
            <w:noWrap/>
            <w:hideMark/>
          </w:tcPr>
          <w:p w14:paraId="6101E455" w14:textId="77777777" w:rsidR="00F909E8" w:rsidRPr="008065A8" w:rsidRDefault="00F909E8" w:rsidP="00E14640">
            <w:pPr>
              <w:jc w:val="center"/>
              <w:rPr>
                <w:rFonts w:ascii="Calibri" w:eastAsia="Times New Roman" w:hAnsi="Calibri" w:cs="Calibri"/>
                <w:color w:val="000000"/>
              </w:rPr>
            </w:pPr>
            <w:r w:rsidRPr="00B5569D">
              <w:rPr>
                <w:rFonts w:ascii="Calibri" w:eastAsia="Times New Roman" w:hAnsi="Calibri" w:cs="Calibri"/>
                <w:color w:val="000000"/>
              </w:rPr>
              <w:t>31119</w:t>
            </w:r>
          </w:p>
        </w:tc>
        <w:tc>
          <w:tcPr>
            <w:tcW w:w="1419" w:type="dxa"/>
            <w:noWrap/>
            <w:hideMark/>
          </w:tcPr>
          <w:p w14:paraId="20A171D7" w14:textId="77777777" w:rsidR="00F909E8" w:rsidRPr="008065A8" w:rsidRDefault="00F909E8" w:rsidP="00E14640">
            <w:pPr>
              <w:jc w:val="center"/>
              <w:rPr>
                <w:rFonts w:ascii="Calibri" w:eastAsia="Times New Roman" w:hAnsi="Calibri" w:cs="Calibri"/>
                <w:color w:val="000000"/>
              </w:rPr>
            </w:pPr>
            <w:r w:rsidRPr="00B5569D">
              <w:rPr>
                <w:rFonts w:ascii="Calibri" w:eastAsia="Times New Roman" w:hAnsi="Calibri" w:cs="Calibri"/>
                <w:color w:val="000000"/>
              </w:rPr>
              <w:t>-30846</w:t>
            </w:r>
          </w:p>
        </w:tc>
      </w:tr>
      <w:tr w:rsidR="00F909E8" w:rsidRPr="008065A8" w14:paraId="3C2DB576" w14:textId="77777777" w:rsidTr="00E14640">
        <w:trPr>
          <w:trHeight w:val="304"/>
        </w:trPr>
        <w:tc>
          <w:tcPr>
            <w:tcW w:w="2809" w:type="dxa"/>
            <w:shd w:val="clear" w:color="auto" w:fill="D9D9D9" w:themeFill="background1" w:themeFillShade="D9"/>
            <w:noWrap/>
            <w:hideMark/>
          </w:tcPr>
          <w:p w14:paraId="43C47AF5" w14:textId="77777777" w:rsidR="00F909E8" w:rsidRPr="00B421E0" w:rsidRDefault="00F909E8" w:rsidP="00E14640">
            <w:pPr>
              <w:jc w:val="center"/>
              <w:rPr>
                <w:rFonts w:ascii="Calibri" w:eastAsia="Times New Roman" w:hAnsi="Calibri" w:cs="Calibri"/>
                <w:b/>
                <w:bCs/>
                <w:lang w:val="pt-BR"/>
              </w:rPr>
            </w:pPr>
            <w:r w:rsidRPr="00B421E0">
              <w:rPr>
                <w:rFonts w:ascii="Calibri" w:eastAsia="Times New Roman" w:hAnsi="Calibri" w:cs="Calibri"/>
                <w:b/>
                <w:bCs/>
                <w:lang w:val="pt-BR"/>
              </w:rPr>
              <w:t>Fluxo de Caixa dos A</w:t>
            </w:r>
            <w:r>
              <w:rPr>
                <w:rFonts w:ascii="Calibri" w:eastAsia="Times New Roman" w:hAnsi="Calibri" w:cs="Calibri"/>
                <w:b/>
                <w:bCs/>
                <w:lang w:val="pt-BR"/>
              </w:rPr>
              <w:t>tivos</w:t>
            </w:r>
          </w:p>
        </w:tc>
        <w:tc>
          <w:tcPr>
            <w:tcW w:w="1419" w:type="dxa"/>
            <w:shd w:val="clear" w:color="auto" w:fill="D9D9D9" w:themeFill="background1" w:themeFillShade="D9"/>
            <w:noWrap/>
            <w:hideMark/>
          </w:tcPr>
          <w:p w14:paraId="63ADD474" w14:textId="77777777" w:rsidR="00F909E8" w:rsidRPr="00B421E0" w:rsidRDefault="00F909E8" w:rsidP="00E14640">
            <w:pPr>
              <w:jc w:val="center"/>
              <w:rPr>
                <w:rFonts w:ascii="Calibri" w:eastAsia="Times New Roman" w:hAnsi="Calibri" w:cs="Calibri"/>
                <w:b/>
                <w:bCs/>
                <w:color w:val="000000"/>
              </w:rPr>
            </w:pPr>
            <w:r w:rsidRPr="00B5569D">
              <w:rPr>
                <w:rFonts w:ascii="Calibri" w:eastAsia="Times New Roman" w:hAnsi="Calibri" w:cs="Calibri"/>
                <w:b/>
                <w:bCs/>
                <w:color w:val="000000"/>
              </w:rPr>
              <w:t>457941</w:t>
            </w:r>
          </w:p>
        </w:tc>
        <w:tc>
          <w:tcPr>
            <w:tcW w:w="1419" w:type="dxa"/>
            <w:shd w:val="clear" w:color="auto" w:fill="D9D9D9" w:themeFill="background1" w:themeFillShade="D9"/>
            <w:noWrap/>
            <w:hideMark/>
          </w:tcPr>
          <w:p w14:paraId="1EBC62F9" w14:textId="77777777" w:rsidR="00F909E8" w:rsidRPr="00B421E0" w:rsidRDefault="00F909E8" w:rsidP="00E14640">
            <w:pPr>
              <w:jc w:val="center"/>
              <w:rPr>
                <w:rFonts w:ascii="Calibri" w:eastAsia="Times New Roman" w:hAnsi="Calibri" w:cs="Calibri"/>
                <w:b/>
                <w:bCs/>
                <w:color w:val="000000"/>
              </w:rPr>
            </w:pPr>
            <w:r w:rsidRPr="00B5569D">
              <w:rPr>
                <w:rFonts w:ascii="Calibri" w:eastAsia="Times New Roman" w:hAnsi="Calibri" w:cs="Calibri"/>
                <w:b/>
                <w:bCs/>
                <w:color w:val="000000"/>
              </w:rPr>
              <w:t>534600</w:t>
            </w:r>
          </w:p>
        </w:tc>
      </w:tr>
    </w:tbl>
    <w:p w14:paraId="17ADFDEA" w14:textId="5A675DAA" w:rsidR="0022643C" w:rsidRPr="00C20EBC" w:rsidRDefault="0022643C" w:rsidP="00C20EBC">
      <w:pPr>
        <w:spacing w:after="0" w:line="360" w:lineRule="auto"/>
        <w:jc w:val="both"/>
        <w:rPr>
          <w:rFonts w:ascii="Times New Roman" w:eastAsia="Times New Roman" w:hAnsi="Times New Roman" w:cs="Times New Roman"/>
          <w:color w:val="000000"/>
        </w:rPr>
      </w:pPr>
    </w:p>
    <w:p w14:paraId="73D65F98" w14:textId="056582ED" w:rsidR="0022643C" w:rsidRDefault="00F909E8" w:rsidP="00F909E8">
      <w:pPr>
        <w:spacing w:after="0" w:line="360" w:lineRule="auto"/>
        <w:ind w:firstLine="360"/>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lang w:val="pt-BR"/>
        </w:rPr>
        <w:t xml:space="preserve">Já em relação aos Fluxos de Caixa dos Credores e dos Acionistas, pode-se concluir ao observar a Tabela </w:t>
      </w:r>
      <w:r w:rsidR="005D4C8E">
        <w:rPr>
          <w:rFonts w:ascii="Times New Roman" w:eastAsia="Times New Roman" w:hAnsi="Times New Roman" w:cs="Times New Roman"/>
          <w:color w:val="000000"/>
          <w:lang w:val="pt-BR"/>
        </w:rPr>
        <w:t>4</w:t>
      </w:r>
      <w:r>
        <w:rPr>
          <w:rFonts w:ascii="Times New Roman" w:eastAsia="Times New Roman" w:hAnsi="Times New Roman" w:cs="Times New Roman"/>
          <w:color w:val="000000"/>
          <w:lang w:val="pt-BR"/>
        </w:rPr>
        <w:t xml:space="preserve"> </w:t>
      </w:r>
      <w:r w:rsidR="008C73A7">
        <w:rPr>
          <w:rFonts w:ascii="Times New Roman" w:eastAsia="Times New Roman" w:hAnsi="Times New Roman" w:cs="Times New Roman"/>
          <w:color w:val="000000"/>
          <w:lang w:val="pt-BR"/>
        </w:rPr>
        <w:t>que a MRV contraiu muita dívida com credores. Isso é evidenciado pelo crescimento de pouco mais de 42% do Passivo Financeiro se comparado a 2019. Já em relação aos Acionistas, há uma queda em seu fluxo de caixa pois o lucro líquido caiu e, além disso, houve um menor Índice de Payout.</w:t>
      </w:r>
    </w:p>
    <w:p w14:paraId="66036BA0" w14:textId="77777777" w:rsidR="008C73A7" w:rsidRDefault="008C73A7" w:rsidP="00F909E8">
      <w:pPr>
        <w:spacing w:after="0" w:line="360" w:lineRule="auto"/>
        <w:ind w:firstLine="360"/>
        <w:jc w:val="both"/>
        <w:rPr>
          <w:rFonts w:ascii="Times New Roman" w:eastAsia="Times New Roman" w:hAnsi="Times New Roman" w:cs="Times New Roman"/>
          <w:color w:val="000000"/>
          <w:lang w:val="pt-BR"/>
        </w:rPr>
      </w:pPr>
    </w:p>
    <w:p w14:paraId="0D86DE47" w14:textId="64DFC917" w:rsidR="00F909E8" w:rsidRPr="00F909E8" w:rsidRDefault="00F909E8" w:rsidP="00F909E8">
      <w:pPr>
        <w:pStyle w:val="Caption"/>
        <w:keepNext/>
        <w:jc w:val="center"/>
        <w:rPr>
          <w:lang w:val="pt-BR"/>
        </w:rPr>
      </w:pPr>
      <w:r w:rsidRPr="00B220DD">
        <w:rPr>
          <w:lang w:val="pt-BR"/>
        </w:rPr>
        <w:lastRenderedPageBreak/>
        <w:t xml:space="preserve">Tabela </w:t>
      </w:r>
      <w:r w:rsidR="00C20EBC">
        <w:rPr>
          <w:lang w:val="pt-BR"/>
        </w:rPr>
        <w:t>4</w:t>
      </w:r>
      <w:r w:rsidRPr="00B220DD">
        <w:rPr>
          <w:lang w:val="pt-BR"/>
        </w:rPr>
        <w:t xml:space="preserve">: </w:t>
      </w:r>
      <w:r w:rsidRPr="00C33114">
        <w:rPr>
          <w:rFonts w:ascii="Times New Roman" w:hAnsi="Times New Roman" w:cs="Times New Roman"/>
          <w:lang w:val="pt-BR"/>
        </w:rPr>
        <w:t>evolução dos componentes do</w:t>
      </w:r>
      <w:r>
        <w:rPr>
          <w:rFonts w:ascii="Times New Roman" w:hAnsi="Times New Roman" w:cs="Times New Roman"/>
          <w:lang w:val="pt-BR"/>
        </w:rPr>
        <w:t>s</w:t>
      </w:r>
      <w:r w:rsidRPr="00C33114">
        <w:rPr>
          <w:rFonts w:ascii="Times New Roman" w:hAnsi="Times New Roman" w:cs="Times New Roman"/>
          <w:lang w:val="pt-BR"/>
        </w:rPr>
        <w:t xml:space="preserve"> </w:t>
      </w:r>
      <w:r>
        <w:rPr>
          <w:rFonts w:ascii="Times New Roman" w:hAnsi="Times New Roman" w:cs="Times New Roman"/>
          <w:lang w:val="pt-BR"/>
        </w:rPr>
        <w:t>Fluxo</w:t>
      </w:r>
      <w:r>
        <w:rPr>
          <w:rFonts w:ascii="Times New Roman" w:hAnsi="Times New Roman" w:cs="Times New Roman"/>
          <w:lang w:val="pt-BR"/>
        </w:rPr>
        <w:t>s</w:t>
      </w:r>
      <w:r>
        <w:rPr>
          <w:rFonts w:ascii="Times New Roman" w:hAnsi="Times New Roman" w:cs="Times New Roman"/>
          <w:lang w:val="pt-BR"/>
        </w:rPr>
        <w:t xml:space="preserve"> de Caixa da </w:t>
      </w:r>
      <w:r>
        <w:rPr>
          <w:rFonts w:ascii="Times New Roman" w:hAnsi="Times New Roman" w:cs="Times New Roman"/>
          <w:lang w:val="pt-BR"/>
        </w:rPr>
        <w:t>MRV</w:t>
      </w:r>
    </w:p>
    <w:tbl>
      <w:tblPr>
        <w:tblStyle w:val="TableGrid"/>
        <w:tblW w:w="8485" w:type="dxa"/>
        <w:tblLook w:val="04A0" w:firstRow="1" w:lastRow="0" w:firstColumn="1" w:lastColumn="0" w:noHBand="0" w:noVBand="1"/>
      </w:tblPr>
      <w:tblGrid>
        <w:gridCol w:w="4221"/>
        <w:gridCol w:w="2132"/>
        <w:gridCol w:w="2132"/>
      </w:tblGrid>
      <w:tr w:rsidR="0022643C" w:rsidRPr="00B421E0" w14:paraId="6AC65551" w14:textId="77777777" w:rsidTr="00E14640">
        <w:trPr>
          <w:trHeight w:val="304"/>
        </w:trPr>
        <w:tc>
          <w:tcPr>
            <w:tcW w:w="4221" w:type="dxa"/>
            <w:shd w:val="clear" w:color="auto" w:fill="44546A" w:themeFill="text2"/>
            <w:noWrap/>
            <w:hideMark/>
          </w:tcPr>
          <w:p w14:paraId="3DFA4A1A" w14:textId="4D76E5E3" w:rsidR="0022643C" w:rsidRPr="00B421E0" w:rsidRDefault="0022643C" w:rsidP="00E14640">
            <w:pPr>
              <w:jc w:val="center"/>
              <w:rPr>
                <w:rFonts w:ascii="Calibri" w:eastAsia="Times New Roman" w:hAnsi="Calibri" w:cs="Calibri"/>
                <w:b/>
                <w:bCs/>
                <w:color w:val="FFFFFF" w:themeColor="background1"/>
                <w:sz w:val="24"/>
                <w:szCs w:val="24"/>
                <w:lang w:val="pt-BR"/>
              </w:rPr>
            </w:pPr>
            <w:r>
              <w:rPr>
                <w:rFonts w:ascii="Calibri" w:eastAsia="Times New Roman" w:hAnsi="Calibri" w:cs="Calibri"/>
                <w:b/>
                <w:bCs/>
                <w:color w:val="FFFFFF" w:themeColor="background1"/>
                <w:sz w:val="24"/>
                <w:szCs w:val="24"/>
                <w:lang w:val="pt-BR"/>
              </w:rPr>
              <w:t>MRV</w:t>
            </w:r>
          </w:p>
        </w:tc>
        <w:tc>
          <w:tcPr>
            <w:tcW w:w="2132" w:type="dxa"/>
            <w:shd w:val="clear" w:color="auto" w:fill="44546A" w:themeFill="text2"/>
            <w:noWrap/>
            <w:hideMark/>
          </w:tcPr>
          <w:p w14:paraId="45F9AB79" w14:textId="77777777" w:rsidR="0022643C" w:rsidRPr="00B421E0" w:rsidRDefault="0022643C" w:rsidP="00E14640">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2019</w:t>
            </w:r>
          </w:p>
        </w:tc>
        <w:tc>
          <w:tcPr>
            <w:tcW w:w="2132" w:type="dxa"/>
            <w:shd w:val="clear" w:color="auto" w:fill="44546A" w:themeFill="text2"/>
            <w:noWrap/>
            <w:hideMark/>
          </w:tcPr>
          <w:p w14:paraId="16342D9B" w14:textId="77777777" w:rsidR="0022643C" w:rsidRPr="00B421E0" w:rsidRDefault="0022643C" w:rsidP="00E14640">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2020</w:t>
            </w:r>
          </w:p>
        </w:tc>
      </w:tr>
      <w:tr w:rsidR="0022643C" w:rsidRPr="008065A8" w14:paraId="2E322D62" w14:textId="77777777" w:rsidTr="00E14640">
        <w:trPr>
          <w:trHeight w:val="304"/>
        </w:trPr>
        <w:tc>
          <w:tcPr>
            <w:tcW w:w="4221" w:type="dxa"/>
            <w:noWrap/>
            <w:hideMark/>
          </w:tcPr>
          <w:p w14:paraId="55C4059A" w14:textId="77777777" w:rsidR="0022643C" w:rsidRPr="0022643C" w:rsidRDefault="0022643C" w:rsidP="00E14640">
            <w:pPr>
              <w:jc w:val="center"/>
              <w:rPr>
                <w:rFonts w:ascii="Calibri" w:eastAsia="Times New Roman" w:hAnsi="Calibri" w:cs="Calibri"/>
                <w:b/>
                <w:bCs/>
                <w:lang w:val="pt-BR"/>
              </w:rPr>
            </w:pPr>
            <w:r w:rsidRPr="0022643C">
              <w:rPr>
                <w:rFonts w:ascii="Calibri" w:eastAsia="Times New Roman" w:hAnsi="Calibri" w:cs="Calibri"/>
                <w:b/>
                <w:bCs/>
                <w:lang w:val="pt-BR"/>
              </w:rPr>
              <w:t>Fluxo de Caixa dos A</w:t>
            </w:r>
            <w:r>
              <w:rPr>
                <w:rFonts w:ascii="Calibri" w:eastAsia="Times New Roman" w:hAnsi="Calibri" w:cs="Calibri"/>
                <w:b/>
                <w:bCs/>
                <w:lang w:val="pt-BR"/>
              </w:rPr>
              <w:t>tivos</w:t>
            </w:r>
          </w:p>
        </w:tc>
        <w:tc>
          <w:tcPr>
            <w:tcW w:w="2132" w:type="dxa"/>
            <w:noWrap/>
            <w:hideMark/>
          </w:tcPr>
          <w:p w14:paraId="5C17C47A" w14:textId="4A37929C" w:rsidR="0022643C" w:rsidRPr="008065A8" w:rsidRDefault="0022643C" w:rsidP="00E14640">
            <w:pPr>
              <w:jc w:val="center"/>
              <w:rPr>
                <w:rFonts w:ascii="Calibri" w:eastAsia="Times New Roman" w:hAnsi="Calibri" w:cs="Calibri"/>
                <w:color w:val="000000"/>
              </w:rPr>
            </w:pPr>
            <w:r w:rsidRPr="0022643C">
              <w:t>457941</w:t>
            </w:r>
          </w:p>
        </w:tc>
        <w:tc>
          <w:tcPr>
            <w:tcW w:w="2132" w:type="dxa"/>
            <w:noWrap/>
            <w:hideMark/>
          </w:tcPr>
          <w:p w14:paraId="16D96CDE" w14:textId="2E345724" w:rsidR="0022643C" w:rsidRPr="008065A8" w:rsidRDefault="0022643C" w:rsidP="00E14640">
            <w:pPr>
              <w:jc w:val="center"/>
              <w:rPr>
                <w:rFonts w:ascii="Calibri" w:eastAsia="Times New Roman" w:hAnsi="Calibri" w:cs="Calibri"/>
                <w:color w:val="000000"/>
              </w:rPr>
            </w:pPr>
            <w:r w:rsidRPr="0022643C">
              <w:t>534600</w:t>
            </w:r>
          </w:p>
        </w:tc>
      </w:tr>
      <w:tr w:rsidR="0022643C" w:rsidRPr="008065A8" w14:paraId="49BE05C3" w14:textId="77777777" w:rsidTr="00E14640">
        <w:trPr>
          <w:trHeight w:val="304"/>
        </w:trPr>
        <w:tc>
          <w:tcPr>
            <w:tcW w:w="4221" w:type="dxa"/>
            <w:noWrap/>
            <w:hideMark/>
          </w:tcPr>
          <w:p w14:paraId="5603CCEF" w14:textId="77777777" w:rsidR="0022643C" w:rsidRPr="0022643C" w:rsidRDefault="0022643C" w:rsidP="00E14640">
            <w:pPr>
              <w:jc w:val="center"/>
              <w:rPr>
                <w:rFonts w:ascii="Calibri" w:eastAsia="Times New Roman" w:hAnsi="Calibri" w:cs="Calibri"/>
                <w:b/>
                <w:bCs/>
                <w:lang w:val="pt-BR"/>
              </w:rPr>
            </w:pPr>
            <w:r w:rsidRPr="0022643C">
              <w:rPr>
                <w:rFonts w:ascii="Calibri" w:eastAsia="Times New Roman" w:hAnsi="Calibri" w:cs="Calibri"/>
                <w:b/>
                <w:bCs/>
                <w:lang w:val="pt-BR"/>
              </w:rPr>
              <w:t>Fluxo de Caixa dos C</w:t>
            </w:r>
            <w:r>
              <w:rPr>
                <w:rFonts w:ascii="Calibri" w:eastAsia="Times New Roman" w:hAnsi="Calibri" w:cs="Calibri"/>
                <w:b/>
                <w:bCs/>
                <w:lang w:val="pt-BR"/>
              </w:rPr>
              <w:t>redores</w:t>
            </w:r>
          </w:p>
        </w:tc>
        <w:tc>
          <w:tcPr>
            <w:tcW w:w="2132" w:type="dxa"/>
            <w:noWrap/>
            <w:hideMark/>
          </w:tcPr>
          <w:p w14:paraId="6AD9DFD6" w14:textId="2EF7F9AF" w:rsidR="0022643C" w:rsidRPr="008065A8" w:rsidRDefault="0022643C" w:rsidP="00E14640">
            <w:pPr>
              <w:jc w:val="center"/>
              <w:rPr>
                <w:rFonts w:ascii="Calibri" w:eastAsia="Times New Roman" w:hAnsi="Calibri" w:cs="Calibri"/>
                <w:color w:val="000000"/>
              </w:rPr>
            </w:pPr>
            <w:r w:rsidRPr="0022643C">
              <w:rPr>
                <w:rFonts w:ascii="Calibri" w:eastAsia="Times New Roman" w:hAnsi="Calibri" w:cs="Calibri"/>
                <w:color w:val="000000"/>
              </w:rPr>
              <w:t>-281021</w:t>
            </w:r>
          </w:p>
        </w:tc>
        <w:tc>
          <w:tcPr>
            <w:tcW w:w="2132" w:type="dxa"/>
            <w:noWrap/>
            <w:hideMark/>
          </w:tcPr>
          <w:p w14:paraId="436D0DFA" w14:textId="57C3B571" w:rsidR="0022643C" w:rsidRPr="008065A8" w:rsidRDefault="0022643C" w:rsidP="00E14640">
            <w:pPr>
              <w:jc w:val="center"/>
              <w:rPr>
                <w:rFonts w:ascii="Calibri" w:eastAsia="Times New Roman" w:hAnsi="Calibri" w:cs="Calibri"/>
                <w:color w:val="000000"/>
              </w:rPr>
            </w:pPr>
            <w:r w:rsidRPr="0022643C">
              <w:rPr>
                <w:rFonts w:ascii="Calibri" w:eastAsia="Times New Roman" w:hAnsi="Calibri" w:cs="Calibri"/>
                <w:color w:val="000000"/>
              </w:rPr>
              <w:t>-1340844</w:t>
            </w:r>
          </w:p>
        </w:tc>
      </w:tr>
      <w:tr w:rsidR="0022643C" w:rsidRPr="008065A8" w14:paraId="5351717B" w14:textId="77777777" w:rsidTr="00E14640">
        <w:trPr>
          <w:trHeight w:val="304"/>
        </w:trPr>
        <w:tc>
          <w:tcPr>
            <w:tcW w:w="4221" w:type="dxa"/>
            <w:noWrap/>
            <w:hideMark/>
          </w:tcPr>
          <w:p w14:paraId="19EFF0CB" w14:textId="77777777" w:rsidR="0022643C" w:rsidRPr="0022643C" w:rsidRDefault="0022643C" w:rsidP="00E14640">
            <w:pPr>
              <w:jc w:val="center"/>
              <w:rPr>
                <w:rFonts w:ascii="Calibri" w:eastAsia="Times New Roman" w:hAnsi="Calibri" w:cs="Calibri"/>
                <w:b/>
                <w:bCs/>
                <w:lang w:val="pt-BR"/>
              </w:rPr>
            </w:pPr>
            <w:r w:rsidRPr="0022643C">
              <w:rPr>
                <w:rFonts w:ascii="Calibri" w:eastAsia="Times New Roman" w:hAnsi="Calibri" w:cs="Calibri"/>
                <w:b/>
                <w:bCs/>
                <w:lang w:val="pt-BR"/>
              </w:rPr>
              <w:t>Fluxo de Caixa dos A</w:t>
            </w:r>
            <w:r>
              <w:rPr>
                <w:rFonts w:ascii="Calibri" w:eastAsia="Times New Roman" w:hAnsi="Calibri" w:cs="Calibri"/>
                <w:b/>
                <w:bCs/>
                <w:lang w:val="pt-BR"/>
              </w:rPr>
              <w:t>cionistas</w:t>
            </w:r>
          </w:p>
        </w:tc>
        <w:tc>
          <w:tcPr>
            <w:tcW w:w="2132" w:type="dxa"/>
            <w:noWrap/>
            <w:hideMark/>
          </w:tcPr>
          <w:p w14:paraId="24F56541" w14:textId="1E1B7DD5" w:rsidR="0022643C" w:rsidRPr="008065A8" w:rsidRDefault="0022643C" w:rsidP="00E14640">
            <w:pPr>
              <w:jc w:val="center"/>
              <w:rPr>
                <w:rFonts w:ascii="Calibri" w:eastAsia="Times New Roman" w:hAnsi="Calibri" w:cs="Calibri"/>
                <w:color w:val="000000"/>
              </w:rPr>
            </w:pPr>
            <w:r w:rsidRPr="0022643C">
              <w:rPr>
                <w:rFonts w:ascii="Calibri" w:eastAsia="Times New Roman" w:hAnsi="Calibri" w:cs="Calibri"/>
                <w:color w:val="000000"/>
              </w:rPr>
              <w:t>738911</w:t>
            </w:r>
          </w:p>
        </w:tc>
        <w:tc>
          <w:tcPr>
            <w:tcW w:w="2132" w:type="dxa"/>
            <w:noWrap/>
            <w:hideMark/>
          </w:tcPr>
          <w:p w14:paraId="753A295B" w14:textId="701A0D2E" w:rsidR="0022643C" w:rsidRPr="008065A8" w:rsidRDefault="0022643C" w:rsidP="00E14640">
            <w:pPr>
              <w:jc w:val="center"/>
              <w:rPr>
                <w:rFonts w:ascii="Calibri" w:eastAsia="Times New Roman" w:hAnsi="Calibri" w:cs="Calibri"/>
                <w:color w:val="000000"/>
              </w:rPr>
            </w:pPr>
            <w:r w:rsidRPr="0022643C">
              <w:rPr>
                <w:rFonts w:ascii="Calibri" w:eastAsia="Times New Roman" w:hAnsi="Calibri" w:cs="Calibri"/>
                <w:color w:val="000000"/>
              </w:rPr>
              <w:t>200334</w:t>
            </w:r>
          </w:p>
        </w:tc>
      </w:tr>
    </w:tbl>
    <w:p w14:paraId="0B043F25" w14:textId="4228BE17" w:rsidR="00C20EBC" w:rsidRPr="00C20EBC" w:rsidRDefault="00C20EBC" w:rsidP="00C20EBC">
      <w:pPr>
        <w:spacing w:after="0" w:line="360" w:lineRule="auto"/>
        <w:jc w:val="both"/>
        <w:rPr>
          <w:rFonts w:ascii="Times New Roman" w:eastAsia="Times New Roman" w:hAnsi="Times New Roman" w:cs="Times New Roman"/>
          <w:color w:val="000000"/>
        </w:rPr>
      </w:pPr>
    </w:p>
    <w:p w14:paraId="3DBAE44B" w14:textId="197C5C3A" w:rsidR="00C20EBC" w:rsidRPr="00C20EBC" w:rsidRDefault="00C20EBC" w:rsidP="00C20EBC">
      <w:pPr>
        <w:spacing w:after="0" w:line="360" w:lineRule="auto"/>
        <w:ind w:firstLine="360"/>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lang w:val="pt-BR"/>
        </w:rPr>
        <w:t>Vale destacar que o Fluxo de Caixa dos Ativos deveria ser igual à soma dos Fluxos de Caixa dos Credores e dos Acionistas. Entretanto, isso não ocorre nesse caso. Para explicar esse acontecimento é necessário entender como é feito o cálculo desses fluxos. No caso do FC(A) existem algumas contas que são ignoradas, como Estoques LP, por exemplo. Assim, há um Ativo de alta relevância que está sendo financiado por Credores e Acionistas, mas que não é contabilizado no Fluxo de Caixa da Empresa. Naturalmente, isso faz com que os fluxos fiquem desiguais. Outro ponto que é importante destacar é o fato de que na conta Outros LP (Passivo) há um subgrupo de Dividendos a Pagar. Dessa forma, há também uma distorção no Fluxo de Caixa dos Acionistas.</w:t>
      </w:r>
    </w:p>
    <w:sectPr w:rsidR="00C20EBC" w:rsidRPr="00C20EBC" w:rsidSect="00724B31">
      <w:headerReference w:type="default" r:id="rId10"/>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E2CA2" w14:textId="77777777" w:rsidR="00574E10" w:rsidRDefault="00574E10" w:rsidP="00A45E4D">
      <w:pPr>
        <w:spacing w:after="0" w:line="240" w:lineRule="auto"/>
      </w:pPr>
      <w:r>
        <w:separator/>
      </w:r>
    </w:p>
  </w:endnote>
  <w:endnote w:type="continuationSeparator" w:id="0">
    <w:p w14:paraId="16A2ED9E" w14:textId="77777777" w:rsidR="00574E10" w:rsidRDefault="00574E10" w:rsidP="00A45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334DD" w14:textId="77777777" w:rsidR="00574E10" w:rsidRDefault="00574E10" w:rsidP="00A45E4D">
      <w:pPr>
        <w:spacing w:after="0" w:line="240" w:lineRule="auto"/>
      </w:pPr>
      <w:r>
        <w:separator/>
      </w:r>
    </w:p>
  </w:footnote>
  <w:footnote w:type="continuationSeparator" w:id="0">
    <w:p w14:paraId="1122851B" w14:textId="77777777" w:rsidR="00574E10" w:rsidRDefault="00574E10" w:rsidP="00A45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3618608"/>
      <w:docPartObj>
        <w:docPartGallery w:val="Page Numbers (Top of Page)"/>
        <w:docPartUnique/>
      </w:docPartObj>
    </w:sdtPr>
    <w:sdtEndPr>
      <w:rPr>
        <w:noProof/>
      </w:rPr>
    </w:sdtEndPr>
    <w:sdtContent>
      <w:p w14:paraId="75998758" w14:textId="3D79DDE8" w:rsidR="00B5569D" w:rsidRDefault="00B556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A16D76" w14:textId="77777777" w:rsidR="00B5569D" w:rsidRDefault="00B55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4DC6"/>
    <w:multiLevelType w:val="multilevel"/>
    <w:tmpl w:val="C38E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071F01"/>
    <w:multiLevelType w:val="multilevel"/>
    <w:tmpl w:val="41DE66A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D6D4241"/>
    <w:multiLevelType w:val="hybridMultilevel"/>
    <w:tmpl w:val="B1300DC6"/>
    <w:lvl w:ilvl="0" w:tplc="0409000F">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414CA"/>
    <w:multiLevelType w:val="multilevel"/>
    <w:tmpl w:val="955C74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53D2C1B"/>
    <w:multiLevelType w:val="multilevel"/>
    <w:tmpl w:val="9F701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6050B09"/>
    <w:multiLevelType w:val="multilevel"/>
    <w:tmpl w:val="30CC78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98F723F"/>
    <w:multiLevelType w:val="multilevel"/>
    <w:tmpl w:val="718ED12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3DB752C9"/>
    <w:multiLevelType w:val="multilevel"/>
    <w:tmpl w:val="65947EF6"/>
    <w:lvl w:ilvl="0">
      <w:start w:val="1"/>
      <w:numFmt w:val="decimal"/>
      <w:lvlText w:val="%1"/>
      <w:lvlJc w:val="left"/>
      <w:pPr>
        <w:ind w:left="444" w:hanging="444"/>
      </w:pPr>
      <w:rPr>
        <w:rFonts w:hint="default"/>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15:restartNumberingAfterBreak="0">
    <w:nsid w:val="3F47590D"/>
    <w:multiLevelType w:val="multilevel"/>
    <w:tmpl w:val="0EC049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AB4D27"/>
    <w:multiLevelType w:val="hybridMultilevel"/>
    <w:tmpl w:val="FB4C5B78"/>
    <w:lvl w:ilvl="0" w:tplc="49BE67F8">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5063B7"/>
    <w:multiLevelType w:val="hybridMultilevel"/>
    <w:tmpl w:val="17AA40E6"/>
    <w:lvl w:ilvl="0" w:tplc="0416000F">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0"/>
  </w:num>
  <w:num w:numId="2">
    <w:abstractNumId w:val="9"/>
  </w:num>
  <w:num w:numId="3">
    <w:abstractNumId w:val="2"/>
  </w:num>
  <w:num w:numId="4">
    <w:abstractNumId w:val="1"/>
  </w:num>
  <w:num w:numId="5">
    <w:abstractNumId w:val="8"/>
  </w:num>
  <w:num w:numId="6">
    <w:abstractNumId w:val="3"/>
  </w:num>
  <w:num w:numId="7">
    <w:abstractNumId w:val="0"/>
  </w:num>
  <w:num w:numId="8">
    <w:abstractNumId w:val="7"/>
  </w:num>
  <w:num w:numId="9">
    <w:abstractNumId w:val="5"/>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47"/>
    <w:rsid w:val="00021963"/>
    <w:rsid w:val="0004091D"/>
    <w:rsid w:val="00090D80"/>
    <w:rsid w:val="00200C7C"/>
    <w:rsid w:val="002204E3"/>
    <w:rsid w:val="0022643C"/>
    <w:rsid w:val="00280555"/>
    <w:rsid w:val="00302701"/>
    <w:rsid w:val="003F31DC"/>
    <w:rsid w:val="004E2AEA"/>
    <w:rsid w:val="00516F5F"/>
    <w:rsid w:val="005736FC"/>
    <w:rsid w:val="00574E10"/>
    <w:rsid w:val="005D4C8E"/>
    <w:rsid w:val="00724B31"/>
    <w:rsid w:val="00774E4E"/>
    <w:rsid w:val="00792424"/>
    <w:rsid w:val="007B1480"/>
    <w:rsid w:val="00800D88"/>
    <w:rsid w:val="008065A8"/>
    <w:rsid w:val="008B57FE"/>
    <w:rsid w:val="008B6EBF"/>
    <w:rsid w:val="008C73A7"/>
    <w:rsid w:val="00956198"/>
    <w:rsid w:val="0095684F"/>
    <w:rsid w:val="0098247C"/>
    <w:rsid w:val="00A0477F"/>
    <w:rsid w:val="00A45E4D"/>
    <w:rsid w:val="00A67A23"/>
    <w:rsid w:val="00A71E5F"/>
    <w:rsid w:val="00AB0A53"/>
    <w:rsid w:val="00AF5C32"/>
    <w:rsid w:val="00B214BE"/>
    <w:rsid w:val="00B220DD"/>
    <w:rsid w:val="00B2363A"/>
    <w:rsid w:val="00B421E0"/>
    <w:rsid w:val="00B5569D"/>
    <w:rsid w:val="00B81DB7"/>
    <w:rsid w:val="00BC2305"/>
    <w:rsid w:val="00C20EBC"/>
    <w:rsid w:val="00C2282B"/>
    <w:rsid w:val="00C33114"/>
    <w:rsid w:val="00D2159E"/>
    <w:rsid w:val="00D35647"/>
    <w:rsid w:val="00D87681"/>
    <w:rsid w:val="00DC3A66"/>
    <w:rsid w:val="00DD0685"/>
    <w:rsid w:val="00E121FF"/>
    <w:rsid w:val="00F909E8"/>
    <w:rsid w:val="00FB2C14"/>
    <w:rsid w:val="00FF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0F6F"/>
  <w15:chartTrackingRefBased/>
  <w15:docId w15:val="{B4BA3D7E-47D6-433C-B853-532459E2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E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1DC"/>
    <w:pPr>
      <w:spacing w:after="200" w:line="276" w:lineRule="auto"/>
      <w:ind w:left="720"/>
      <w:contextualSpacing/>
    </w:pPr>
    <w:rPr>
      <w:rFonts w:eastAsiaTheme="minorEastAsia"/>
      <w:lang w:val="pt-BR" w:eastAsia="pt-BR"/>
    </w:rPr>
  </w:style>
  <w:style w:type="paragraph" w:styleId="Header">
    <w:name w:val="header"/>
    <w:basedOn w:val="Normal"/>
    <w:link w:val="HeaderChar"/>
    <w:uiPriority w:val="99"/>
    <w:unhideWhenUsed/>
    <w:rsid w:val="00A45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E4D"/>
  </w:style>
  <w:style w:type="paragraph" w:styleId="Footer">
    <w:name w:val="footer"/>
    <w:basedOn w:val="Normal"/>
    <w:link w:val="FooterChar"/>
    <w:uiPriority w:val="99"/>
    <w:unhideWhenUsed/>
    <w:rsid w:val="00A45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E4D"/>
  </w:style>
  <w:style w:type="paragraph" w:styleId="Caption">
    <w:name w:val="caption"/>
    <w:basedOn w:val="Normal"/>
    <w:next w:val="Normal"/>
    <w:uiPriority w:val="35"/>
    <w:unhideWhenUsed/>
    <w:qFormat/>
    <w:rsid w:val="00516F5F"/>
    <w:pPr>
      <w:spacing w:after="200" w:line="240" w:lineRule="auto"/>
    </w:pPr>
    <w:rPr>
      <w:i/>
      <w:iCs/>
      <w:color w:val="44546A" w:themeColor="text2"/>
      <w:sz w:val="18"/>
      <w:szCs w:val="18"/>
    </w:rPr>
  </w:style>
  <w:style w:type="table" w:styleId="TableGrid">
    <w:name w:val="Table Grid"/>
    <w:basedOn w:val="TableNormal"/>
    <w:uiPriority w:val="39"/>
    <w:rsid w:val="00AF5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98223">
      <w:bodyDiv w:val="1"/>
      <w:marLeft w:val="0"/>
      <w:marRight w:val="0"/>
      <w:marTop w:val="0"/>
      <w:marBottom w:val="0"/>
      <w:divBdr>
        <w:top w:val="none" w:sz="0" w:space="0" w:color="auto"/>
        <w:left w:val="none" w:sz="0" w:space="0" w:color="auto"/>
        <w:bottom w:val="none" w:sz="0" w:space="0" w:color="auto"/>
        <w:right w:val="none" w:sz="0" w:space="0" w:color="auto"/>
      </w:divBdr>
    </w:div>
    <w:div w:id="158812667">
      <w:bodyDiv w:val="1"/>
      <w:marLeft w:val="0"/>
      <w:marRight w:val="0"/>
      <w:marTop w:val="0"/>
      <w:marBottom w:val="0"/>
      <w:divBdr>
        <w:top w:val="none" w:sz="0" w:space="0" w:color="auto"/>
        <w:left w:val="none" w:sz="0" w:space="0" w:color="auto"/>
        <w:bottom w:val="none" w:sz="0" w:space="0" w:color="auto"/>
        <w:right w:val="none" w:sz="0" w:space="0" w:color="auto"/>
      </w:divBdr>
    </w:div>
    <w:div w:id="174805993">
      <w:bodyDiv w:val="1"/>
      <w:marLeft w:val="0"/>
      <w:marRight w:val="0"/>
      <w:marTop w:val="0"/>
      <w:marBottom w:val="0"/>
      <w:divBdr>
        <w:top w:val="none" w:sz="0" w:space="0" w:color="auto"/>
        <w:left w:val="none" w:sz="0" w:space="0" w:color="auto"/>
        <w:bottom w:val="none" w:sz="0" w:space="0" w:color="auto"/>
        <w:right w:val="none" w:sz="0" w:space="0" w:color="auto"/>
      </w:divBdr>
    </w:div>
    <w:div w:id="252056626">
      <w:bodyDiv w:val="1"/>
      <w:marLeft w:val="0"/>
      <w:marRight w:val="0"/>
      <w:marTop w:val="0"/>
      <w:marBottom w:val="0"/>
      <w:divBdr>
        <w:top w:val="none" w:sz="0" w:space="0" w:color="auto"/>
        <w:left w:val="none" w:sz="0" w:space="0" w:color="auto"/>
        <w:bottom w:val="none" w:sz="0" w:space="0" w:color="auto"/>
        <w:right w:val="none" w:sz="0" w:space="0" w:color="auto"/>
      </w:divBdr>
    </w:div>
    <w:div w:id="785588694">
      <w:bodyDiv w:val="1"/>
      <w:marLeft w:val="0"/>
      <w:marRight w:val="0"/>
      <w:marTop w:val="0"/>
      <w:marBottom w:val="0"/>
      <w:divBdr>
        <w:top w:val="none" w:sz="0" w:space="0" w:color="auto"/>
        <w:left w:val="none" w:sz="0" w:space="0" w:color="auto"/>
        <w:bottom w:val="none" w:sz="0" w:space="0" w:color="auto"/>
        <w:right w:val="none" w:sz="0" w:space="0" w:color="auto"/>
      </w:divBdr>
    </w:div>
    <w:div w:id="150983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89B63-2A4C-47C1-BAC6-3460CC21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6</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Pellizzon</dc:creator>
  <cp:keywords/>
  <dc:description/>
  <cp:lastModifiedBy>Pedro Ramos</cp:lastModifiedBy>
  <cp:revision>17</cp:revision>
  <dcterms:created xsi:type="dcterms:W3CDTF">2021-03-15T20:56:00Z</dcterms:created>
  <dcterms:modified xsi:type="dcterms:W3CDTF">2021-03-18T00:54:00Z</dcterms:modified>
</cp:coreProperties>
</file>