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2E78F" w14:textId="677DF38A" w:rsidR="0023592F" w:rsidRDefault="0023592F" w:rsidP="0023592F">
      <w:pPr>
        <w:jc w:val="both"/>
        <w:rPr>
          <w:rFonts w:ascii="Times New Roman" w:eastAsia="Times New Roman" w:hAnsi="Times New Roman" w:cs="Times New Roman"/>
          <w:b/>
          <w:bCs/>
          <w:sz w:val="24"/>
          <w:szCs w:val="24"/>
        </w:rPr>
      </w:pPr>
      <w:r w:rsidRPr="00E17E04">
        <w:rPr>
          <w:rFonts w:ascii="Times New Roman" w:eastAsia="Times New Roman" w:hAnsi="Times New Roman" w:cs="Times New Roman"/>
          <w:b/>
          <w:bCs/>
          <w:sz w:val="24"/>
          <w:szCs w:val="24"/>
        </w:rPr>
        <w:t>SLIDE 1 – TELA DE APRESENTAÇÃO</w:t>
      </w:r>
    </w:p>
    <w:p w14:paraId="65F4D44A" w14:textId="2E6584F2" w:rsidR="009558E7" w:rsidRPr="009558E7" w:rsidRDefault="009558E7" w:rsidP="009558E7">
      <w:pPr>
        <w:spacing w:before="240" w:after="240"/>
        <w:ind w:left="360" w:right="332" w:firstLine="720"/>
        <w:jc w:val="center"/>
        <w:rPr>
          <w:rFonts w:ascii="Times New Roman" w:eastAsia="Times New Roman" w:hAnsi="Times New Roman" w:cs="Times New Roman"/>
          <w:sz w:val="24"/>
          <w:szCs w:val="24"/>
        </w:rPr>
      </w:pPr>
      <w:r w:rsidRPr="00B56B5C">
        <w:rPr>
          <w:rFonts w:ascii="Times New Roman" w:eastAsia="Times New Roman" w:hAnsi="Times New Roman" w:cs="Times New Roman"/>
          <w:b/>
          <w:sz w:val="24"/>
          <w:szCs w:val="24"/>
        </w:rPr>
        <w:t>Impacto Desigual do Financiamento da Educação Baseado em Resultados</w:t>
      </w:r>
      <w:r w:rsidRPr="00B56B5C">
        <w:rPr>
          <w:rFonts w:ascii="Times New Roman" w:eastAsia="Times New Roman" w:hAnsi="Times New Roman" w:cs="Times New Roman"/>
          <w:sz w:val="24"/>
          <w:szCs w:val="24"/>
        </w:rPr>
        <w:t xml:space="preserve"> </w:t>
      </w:r>
    </w:p>
    <w:p w14:paraId="15CA418D" w14:textId="77777777" w:rsidR="0023592F" w:rsidRDefault="0023592F" w:rsidP="0023592F">
      <w:pPr>
        <w:jc w:val="both"/>
        <w:rPr>
          <w:rFonts w:ascii="Times New Roman" w:eastAsia="Times New Roman" w:hAnsi="Times New Roman" w:cs="Times New Roman"/>
          <w:b/>
          <w:bCs/>
          <w:sz w:val="24"/>
          <w:szCs w:val="24"/>
        </w:rPr>
      </w:pPr>
      <w:r w:rsidRPr="00E17E04">
        <w:rPr>
          <w:rFonts w:ascii="Times New Roman" w:eastAsia="Times New Roman" w:hAnsi="Times New Roman" w:cs="Times New Roman"/>
          <w:b/>
          <w:bCs/>
          <w:sz w:val="24"/>
          <w:szCs w:val="24"/>
        </w:rPr>
        <w:t>SLIDE 2 – SÚMARIO E UMA BREVE INTRODUÇÃO</w:t>
      </w:r>
    </w:p>
    <w:p w14:paraId="0B418795" w14:textId="77777777" w:rsidR="0023592F" w:rsidRPr="00346F6B" w:rsidRDefault="0023592F" w:rsidP="0023592F">
      <w:pPr>
        <w:pStyle w:val="PargrafodaLista"/>
        <w:numPr>
          <w:ilvl w:val="0"/>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Motivação</w:t>
      </w:r>
    </w:p>
    <w:p w14:paraId="6BFB0BEF" w14:textId="77777777" w:rsidR="0023592F" w:rsidRPr="00346F6B" w:rsidRDefault="0023592F" w:rsidP="0023592F">
      <w:pPr>
        <w:pStyle w:val="PargrafodaLista"/>
        <w:numPr>
          <w:ilvl w:val="1"/>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Sucesso da Educação Ceará</w:t>
      </w:r>
    </w:p>
    <w:p w14:paraId="1905C17E" w14:textId="77777777" w:rsidR="0023592F" w:rsidRPr="00346F6B" w:rsidRDefault="0023592F" w:rsidP="0023592F">
      <w:pPr>
        <w:pStyle w:val="PargrafodaLista"/>
        <w:numPr>
          <w:ilvl w:val="1"/>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Ineditismo da Política de ICMS</w:t>
      </w:r>
    </w:p>
    <w:p w14:paraId="0CDCC762" w14:textId="77777777" w:rsidR="0023592F" w:rsidRPr="00346F6B" w:rsidRDefault="0023592F" w:rsidP="0023592F">
      <w:pPr>
        <w:pStyle w:val="PargrafodaLista"/>
        <w:numPr>
          <w:ilvl w:val="1"/>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Incentivos aos Gastos e Possível Heterogeneidade</w:t>
      </w:r>
    </w:p>
    <w:p w14:paraId="0CD9AE75" w14:textId="77777777" w:rsidR="0023592F" w:rsidRPr="00346F6B" w:rsidRDefault="0023592F" w:rsidP="0023592F">
      <w:pPr>
        <w:pStyle w:val="PargrafodaLista"/>
        <w:numPr>
          <w:ilvl w:val="0"/>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Base de Dados e Estratégia Empírica</w:t>
      </w:r>
    </w:p>
    <w:p w14:paraId="1606664B" w14:textId="77777777" w:rsidR="0023592F" w:rsidRPr="00346F6B" w:rsidRDefault="0023592F" w:rsidP="0023592F">
      <w:pPr>
        <w:pStyle w:val="PargrafodaLista"/>
        <w:numPr>
          <w:ilvl w:val="0"/>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 xml:space="preserve">Resultados </w:t>
      </w:r>
    </w:p>
    <w:p w14:paraId="0E8F1009" w14:textId="77777777" w:rsidR="0023592F" w:rsidRPr="00346F6B" w:rsidRDefault="0023592F" w:rsidP="0023592F">
      <w:pPr>
        <w:pStyle w:val="PargrafodaLista"/>
        <w:numPr>
          <w:ilvl w:val="1"/>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 xml:space="preserve">Resultados para Gastos </w:t>
      </w:r>
    </w:p>
    <w:p w14:paraId="2166D302" w14:textId="77777777" w:rsidR="0023592F" w:rsidRPr="00346F6B" w:rsidRDefault="0023592F" w:rsidP="0023592F">
      <w:pPr>
        <w:pStyle w:val="PargrafodaLista"/>
        <w:numPr>
          <w:ilvl w:val="1"/>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Resultados para Educação</w:t>
      </w:r>
    </w:p>
    <w:p w14:paraId="00B9ADE0" w14:textId="77777777" w:rsidR="0023592F" w:rsidRPr="00346F6B" w:rsidRDefault="0023592F" w:rsidP="0023592F">
      <w:pPr>
        <w:pStyle w:val="PargrafodaLista"/>
        <w:numPr>
          <w:ilvl w:val="1"/>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Mecanismos</w:t>
      </w:r>
    </w:p>
    <w:p w14:paraId="6E501C0D" w14:textId="77777777" w:rsidR="0023592F" w:rsidRPr="00346F6B" w:rsidRDefault="0023592F" w:rsidP="0023592F">
      <w:pPr>
        <w:pStyle w:val="PargrafodaLista"/>
        <w:numPr>
          <w:ilvl w:val="0"/>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Conclusões</w:t>
      </w:r>
    </w:p>
    <w:p w14:paraId="125108FA" w14:textId="77777777" w:rsidR="0023592F" w:rsidRPr="00E17E04" w:rsidRDefault="0023592F" w:rsidP="0023592F">
      <w:pPr>
        <w:jc w:val="both"/>
        <w:rPr>
          <w:rFonts w:ascii="Times New Roman" w:eastAsia="Times New Roman" w:hAnsi="Times New Roman" w:cs="Times New Roman"/>
          <w:b/>
          <w:bCs/>
          <w:sz w:val="24"/>
          <w:szCs w:val="24"/>
        </w:rPr>
      </w:pPr>
      <w:r w:rsidRPr="00E17E04">
        <w:rPr>
          <w:rFonts w:ascii="Times New Roman" w:eastAsia="Times New Roman" w:hAnsi="Times New Roman" w:cs="Times New Roman"/>
          <w:b/>
          <w:bCs/>
          <w:sz w:val="24"/>
          <w:szCs w:val="24"/>
        </w:rPr>
        <w:t>SLIDE 3</w:t>
      </w:r>
      <w:r>
        <w:rPr>
          <w:rFonts w:ascii="Times New Roman" w:eastAsia="Times New Roman" w:hAnsi="Times New Roman" w:cs="Times New Roman"/>
          <w:b/>
          <w:bCs/>
          <w:sz w:val="24"/>
          <w:szCs w:val="24"/>
        </w:rPr>
        <w:t>, 4</w:t>
      </w:r>
      <w:r w:rsidRPr="00E17E04">
        <w:rPr>
          <w:rFonts w:ascii="Times New Roman" w:eastAsia="Times New Roman" w:hAnsi="Times New Roman" w:cs="Times New Roman"/>
          <w:b/>
          <w:bCs/>
          <w:sz w:val="24"/>
          <w:szCs w:val="24"/>
        </w:rPr>
        <w:t xml:space="preserve"> – MOTIVAÇÃO </w:t>
      </w:r>
    </w:p>
    <w:p w14:paraId="49D20D33" w14:textId="1468AA87" w:rsidR="0023592F" w:rsidRDefault="0023592F" w:rsidP="0023592F">
      <w:pPr>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Uma novidade introduzida pelo estado do Ceará em 2009 foi a redistribuição de transferências tributárias baseadas na performance educacional agregadas dos municípios.</w:t>
      </w:r>
      <w:r>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Por meio de políticas de financiamento baseado em resultados como parte de um programa mais abrangente de reforma educacional, o Ceará deu início a significativas reformas educacionais que permitiram melhorar os níveis de aprendizagem desde a alfabetização até dos alunos do ensino fundamental.</w:t>
      </w:r>
    </w:p>
    <w:p w14:paraId="1A514814" w14:textId="77777777" w:rsidR="0023592F" w:rsidRPr="00E17E04" w:rsidRDefault="0023592F" w:rsidP="0023592F">
      <w:pPr>
        <w:jc w:val="both"/>
        <w:rPr>
          <w:rFonts w:ascii="Times New Roman" w:eastAsia="Times New Roman" w:hAnsi="Times New Roman" w:cs="Times New Roman"/>
          <w:b/>
          <w:bCs/>
          <w:sz w:val="24"/>
          <w:szCs w:val="24"/>
        </w:rPr>
      </w:pPr>
      <w:r w:rsidRPr="00E17E04">
        <w:rPr>
          <w:rFonts w:ascii="Times New Roman" w:eastAsia="Times New Roman" w:hAnsi="Times New Roman" w:cs="Times New Roman"/>
          <w:b/>
          <w:bCs/>
          <w:sz w:val="24"/>
          <w:szCs w:val="24"/>
        </w:rPr>
        <w:t xml:space="preserve">SLIDE </w:t>
      </w:r>
      <w:r>
        <w:rPr>
          <w:rFonts w:ascii="Times New Roman" w:eastAsia="Times New Roman" w:hAnsi="Times New Roman" w:cs="Times New Roman"/>
          <w:b/>
          <w:bCs/>
          <w:sz w:val="24"/>
          <w:szCs w:val="24"/>
        </w:rPr>
        <w:t>5</w:t>
      </w:r>
      <w:r w:rsidRPr="00E17E04">
        <w:rPr>
          <w:rFonts w:ascii="Times New Roman" w:eastAsia="Times New Roman" w:hAnsi="Times New Roman" w:cs="Times New Roman"/>
          <w:b/>
          <w:bCs/>
          <w:sz w:val="24"/>
          <w:szCs w:val="24"/>
        </w:rPr>
        <w:t xml:space="preserve"> – MOTIVAÇÃO (RESULTADOS DO CE NOS ULTIMOS 14 ANOS)</w:t>
      </w:r>
    </w:p>
    <w:p w14:paraId="3B46E5FB" w14:textId="013036E9" w:rsidR="0023592F" w:rsidRDefault="0023592F" w:rsidP="0023592F">
      <w:pPr>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Analisando a performance média dos municípios no IDEB, percebe-se que o Ceará apresentou uma evolução significativa na aprendizagem no 5º ano do Ensino Fundamental</w:t>
      </w:r>
      <w:r>
        <w:rPr>
          <w:rFonts w:ascii="Times New Roman" w:eastAsia="Times New Roman" w:hAnsi="Times New Roman" w:cs="Times New Roman"/>
          <w:sz w:val="24"/>
          <w:szCs w:val="24"/>
        </w:rPr>
        <w:t xml:space="preserve"> entre 2005 e 2020</w:t>
      </w:r>
      <w:r w:rsidRPr="00B56B5C">
        <w:rPr>
          <w:rFonts w:ascii="Times New Roman" w:eastAsia="Times New Roman" w:hAnsi="Times New Roman" w:cs="Times New Roman"/>
          <w:sz w:val="24"/>
          <w:szCs w:val="24"/>
        </w:rPr>
        <w:t>, mesmo estando em situação socioeconômica adversa.</w:t>
      </w:r>
      <w:r>
        <w:rPr>
          <w:rFonts w:ascii="Times New Roman" w:eastAsia="Times New Roman" w:hAnsi="Times New Roman" w:cs="Times New Roman"/>
          <w:sz w:val="24"/>
          <w:szCs w:val="24"/>
        </w:rPr>
        <w:t xml:space="preserve"> </w:t>
      </w:r>
      <w:r w:rsidRPr="00E21F00">
        <w:rPr>
          <w:rFonts w:ascii="Times New Roman" w:eastAsia="Times New Roman" w:hAnsi="Times New Roman" w:cs="Times New Roman"/>
          <w:sz w:val="24"/>
          <w:szCs w:val="24"/>
        </w:rPr>
        <w:t>O sucesso cearense é baseado em alguns pilares interdependentes, nos quais se pode citar</w:t>
      </w:r>
      <w:r>
        <w:rPr>
          <w:rFonts w:ascii="Times New Roman" w:eastAsia="Times New Roman" w:hAnsi="Times New Roman" w:cs="Times New Roman"/>
          <w:sz w:val="24"/>
          <w:szCs w:val="24"/>
        </w:rPr>
        <w:t xml:space="preserve"> a Lei de Cota Parte com distribuição de recursos a partir de metas estabelecidas; O PAIC com assistência técnica para melhorar o aprendizado e o SPAECE com o monitoramento dos resultados educacionais.</w:t>
      </w:r>
    </w:p>
    <w:p w14:paraId="29F1A94C" w14:textId="77777777" w:rsidR="0023592F" w:rsidRDefault="0023592F" w:rsidP="0023592F">
      <w:pPr>
        <w:jc w:val="both"/>
        <w:rPr>
          <w:rFonts w:ascii="Times New Roman" w:eastAsia="Times New Roman" w:hAnsi="Times New Roman" w:cs="Times New Roman"/>
          <w:b/>
          <w:bCs/>
          <w:sz w:val="24"/>
          <w:szCs w:val="24"/>
        </w:rPr>
      </w:pPr>
      <w:r w:rsidRPr="00E17E04">
        <w:rPr>
          <w:rFonts w:ascii="Times New Roman" w:eastAsia="Times New Roman" w:hAnsi="Times New Roman" w:cs="Times New Roman"/>
          <w:b/>
          <w:bCs/>
          <w:sz w:val="24"/>
          <w:szCs w:val="24"/>
        </w:rPr>
        <w:t xml:space="preserve">SLIDE </w:t>
      </w:r>
      <w:r>
        <w:rPr>
          <w:rFonts w:ascii="Times New Roman" w:eastAsia="Times New Roman" w:hAnsi="Times New Roman" w:cs="Times New Roman"/>
          <w:b/>
          <w:bCs/>
          <w:sz w:val="24"/>
          <w:szCs w:val="24"/>
        </w:rPr>
        <w:t>6</w:t>
      </w:r>
      <w:r w:rsidRPr="00E17E04">
        <w:rPr>
          <w:rFonts w:ascii="Times New Roman" w:eastAsia="Times New Roman" w:hAnsi="Times New Roman" w:cs="Times New Roman"/>
          <w:b/>
          <w:bCs/>
          <w:sz w:val="24"/>
          <w:szCs w:val="24"/>
        </w:rPr>
        <w:t xml:space="preserve"> – DISTRIBUIÇÃO DE ICMS PELOS ESTADOS</w:t>
      </w:r>
    </w:p>
    <w:p w14:paraId="36F89DA7" w14:textId="77777777" w:rsidR="0023592F" w:rsidRDefault="0023592F" w:rsidP="0023592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é a distribuição de ICMS pelos estados brasileiros? </w:t>
      </w:r>
      <w:r w:rsidRPr="00B56B5C">
        <w:rPr>
          <w:rFonts w:ascii="Times New Roman" w:eastAsia="Times New Roman" w:hAnsi="Times New Roman" w:cs="Times New Roman"/>
          <w:sz w:val="24"/>
          <w:szCs w:val="24"/>
        </w:rPr>
        <w:t xml:space="preserve">A maior parte dos </w:t>
      </w:r>
      <w:r>
        <w:rPr>
          <w:rFonts w:ascii="Times New Roman" w:eastAsia="Times New Roman" w:hAnsi="Times New Roman" w:cs="Times New Roman"/>
          <w:sz w:val="24"/>
          <w:szCs w:val="24"/>
        </w:rPr>
        <w:t>e</w:t>
      </w:r>
      <w:r w:rsidRPr="00B56B5C">
        <w:rPr>
          <w:rFonts w:ascii="Times New Roman" w:eastAsia="Times New Roman" w:hAnsi="Times New Roman" w:cs="Times New Roman"/>
          <w:sz w:val="24"/>
          <w:szCs w:val="24"/>
        </w:rPr>
        <w:t>stados adotam critérios de repartição baseados no tamanho populacional dos municípios ou dos estudantes. Exceção aos estados do Ceará, Pernambuco, Amapá, Minas Gerais, Bahia e Espírito Santo que adotam critérios baseados na qualidade da prestação do serviço público. No entanto, o Ceará se destaca neste conjunto de estados por ter o maior percentual da cota parte do ICMS vinculada a essa forma de distribuição</w:t>
      </w:r>
      <w:r>
        <w:rPr>
          <w:rFonts w:ascii="Times New Roman" w:eastAsia="Times New Roman" w:hAnsi="Times New Roman" w:cs="Times New Roman"/>
          <w:sz w:val="24"/>
          <w:szCs w:val="24"/>
        </w:rPr>
        <w:t>, cerca de 23%</w:t>
      </w:r>
      <w:r w:rsidRPr="00B56B5C">
        <w:rPr>
          <w:rFonts w:ascii="Times New Roman" w:eastAsia="Times New Roman" w:hAnsi="Times New Roman" w:cs="Times New Roman"/>
          <w:sz w:val="24"/>
          <w:szCs w:val="24"/>
        </w:rPr>
        <w:t>.</w:t>
      </w:r>
    </w:p>
    <w:p w14:paraId="7AC4EFB9" w14:textId="77777777" w:rsidR="0023592F" w:rsidRPr="00E17E04" w:rsidRDefault="0023592F" w:rsidP="0023592F">
      <w:pPr>
        <w:spacing w:line="240" w:lineRule="auto"/>
        <w:jc w:val="both"/>
        <w:rPr>
          <w:rFonts w:ascii="Times New Roman" w:eastAsia="Times New Roman" w:hAnsi="Times New Roman" w:cs="Times New Roman"/>
          <w:b/>
          <w:bCs/>
          <w:sz w:val="24"/>
          <w:szCs w:val="24"/>
        </w:rPr>
      </w:pPr>
      <w:r w:rsidRPr="00E17E04">
        <w:rPr>
          <w:rFonts w:ascii="Times New Roman" w:eastAsia="Times New Roman" w:hAnsi="Times New Roman" w:cs="Times New Roman"/>
          <w:b/>
          <w:bCs/>
          <w:sz w:val="24"/>
          <w:szCs w:val="24"/>
        </w:rPr>
        <w:t xml:space="preserve">SLIDE </w:t>
      </w:r>
      <w:r>
        <w:rPr>
          <w:rFonts w:ascii="Times New Roman" w:eastAsia="Times New Roman" w:hAnsi="Times New Roman" w:cs="Times New Roman"/>
          <w:b/>
          <w:bCs/>
          <w:sz w:val="24"/>
          <w:szCs w:val="24"/>
        </w:rPr>
        <w:t>7</w:t>
      </w:r>
      <w:r w:rsidRPr="00E17E04">
        <w:rPr>
          <w:rFonts w:ascii="Times New Roman" w:eastAsia="Times New Roman" w:hAnsi="Times New Roman" w:cs="Times New Roman"/>
          <w:b/>
          <w:bCs/>
          <w:sz w:val="24"/>
          <w:szCs w:val="24"/>
        </w:rPr>
        <w:t xml:space="preserve"> – INCENTIVOS E POTENCIAL HETEROGENIDADE</w:t>
      </w:r>
    </w:p>
    <w:p w14:paraId="702D8729" w14:textId="6E7B39BF" w:rsidR="0023592F" w:rsidRDefault="0023592F" w:rsidP="0023592F">
      <w:pPr>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Duas características interessantes deste modelo de redistribuição de recursos são: </w:t>
      </w:r>
      <w:r w:rsidRPr="006C0C07">
        <w:rPr>
          <w:rFonts w:ascii="Times New Roman" w:eastAsia="Times New Roman" w:hAnsi="Times New Roman" w:cs="Times New Roman"/>
          <w:b/>
          <w:bCs/>
          <w:sz w:val="24"/>
          <w:szCs w:val="24"/>
        </w:rPr>
        <w:t>1.</w:t>
      </w:r>
      <w:r w:rsidRPr="00B56B5C">
        <w:rPr>
          <w:rFonts w:ascii="Times New Roman" w:eastAsia="Times New Roman" w:hAnsi="Times New Roman" w:cs="Times New Roman"/>
          <w:sz w:val="24"/>
          <w:szCs w:val="24"/>
        </w:rPr>
        <w:t xml:space="preserve"> Os recursos s</w:t>
      </w:r>
      <w:r>
        <w:rPr>
          <w:rFonts w:ascii="Times New Roman" w:eastAsia="Times New Roman" w:hAnsi="Times New Roman" w:cs="Times New Roman"/>
          <w:sz w:val="24"/>
          <w:szCs w:val="24"/>
        </w:rPr>
        <w:t>erem</w:t>
      </w:r>
      <w:r w:rsidRPr="00B56B5C">
        <w:rPr>
          <w:rFonts w:ascii="Times New Roman" w:eastAsia="Times New Roman" w:hAnsi="Times New Roman" w:cs="Times New Roman"/>
          <w:sz w:val="24"/>
          <w:szCs w:val="24"/>
        </w:rPr>
        <w:t xml:space="preserve"> fungíveis, </w:t>
      </w:r>
      <w:r>
        <w:rPr>
          <w:rFonts w:ascii="Times New Roman" w:eastAsia="Times New Roman" w:hAnsi="Times New Roman" w:cs="Times New Roman"/>
          <w:sz w:val="24"/>
          <w:szCs w:val="24"/>
        </w:rPr>
        <w:t>ou seja</w:t>
      </w:r>
      <w:r w:rsidRPr="00B56B5C">
        <w:rPr>
          <w:rFonts w:ascii="Times New Roman" w:eastAsia="Times New Roman" w:hAnsi="Times New Roman" w:cs="Times New Roman"/>
          <w:sz w:val="24"/>
          <w:szCs w:val="24"/>
        </w:rPr>
        <w:t>, os prefeitos recebem recursos</w:t>
      </w:r>
      <w:r>
        <w:rPr>
          <w:rFonts w:ascii="Times New Roman" w:eastAsia="Times New Roman" w:hAnsi="Times New Roman" w:cs="Times New Roman"/>
          <w:sz w:val="24"/>
          <w:szCs w:val="24"/>
        </w:rPr>
        <w:t>, mas</w:t>
      </w:r>
      <w:r w:rsidRPr="00B56B5C">
        <w:rPr>
          <w:rFonts w:ascii="Times New Roman" w:eastAsia="Times New Roman" w:hAnsi="Times New Roman" w:cs="Times New Roman"/>
          <w:sz w:val="24"/>
          <w:szCs w:val="24"/>
        </w:rPr>
        <w:t xml:space="preserve"> não são obrigados a gast</w:t>
      </w:r>
      <w:r>
        <w:rPr>
          <w:rFonts w:ascii="Times New Roman" w:eastAsia="Times New Roman" w:hAnsi="Times New Roman" w:cs="Times New Roman"/>
          <w:sz w:val="24"/>
          <w:szCs w:val="24"/>
        </w:rPr>
        <w:t>ar</w:t>
      </w:r>
      <w:r w:rsidRPr="00B56B5C">
        <w:rPr>
          <w:rFonts w:ascii="Times New Roman" w:eastAsia="Times New Roman" w:hAnsi="Times New Roman" w:cs="Times New Roman"/>
          <w:sz w:val="24"/>
          <w:szCs w:val="24"/>
        </w:rPr>
        <w:t xml:space="preserve"> em educação</w:t>
      </w:r>
      <w:r>
        <w:rPr>
          <w:rFonts w:ascii="Times New Roman" w:eastAsia="Times New Roman" w:hAnsi="Times New Roman" w:cs="Times New Roman"/>
          <w:sz w:val="24"/>
          <w:szCs w:val="24"/>
        </w:rPr>
        <w:t xml:space="preserve">; </w:t>
      </w:r>
      <w:r w:rsidRPr="006C0C07">
        <w:rPr>
          <w:rFonts w:ascii="Times New Roman" w:eastAsia="Times New Roman" w:hAnsi="Times New Roman" w:cs="Times New Roman"/>
          <w:b/>
          <w:bCs/>
          <w:sz w:val="24"/>
          <w:szCs w:val="24"/>
        </w:rPr>
        <w:t>2.</w:t>
      </w:r>
      <w:r w:rsidRPr="00B56B5C">
        <w:rPr>
          <w:rFonts w:ascii="Times New Roman" w:eastAsia="Times New Roman" w:hAnsi="Times New Roman" w:cs="Times New Roman"/>
          <w:sz w:val="24"/>
          <w:szCs w:val="24"/>
        </w:rPr>
        <w:t xml:space="preserve"> Os resultados são mensurados de forma agregada ao nível do município</w:t>
      </w:r>
      <w:r>
        <w:rPr>
          <w:rFonts w:ascii="Times New Roman" w:eastAsia="Times New Roman" w:hAnsi="Times New Roman" w:cs="Times New Roman"/>
          <w:sz w:val="24"/>
          <w:szCs w:val="24"/>
        </w:rPr>
        <w:t xml:space="preserve"> permitindo</w:t>
      </w:r>
      <w:r w:rsidRPr="00B56B5C">
        <w:rPr>
          <w:rFonts w:ascii="Times New Roman" w:eastAsia="Times New Roman" w:hAnsi="Times New Roman" w:cs="Times New Roman"/>
          <w:sz w:val="24"/>
          <w:szCs w:val="24"/>
        </w:rPr>
        <w:t xml:space="preserve"> que municípios possam ter uma performance média elevada, mesmo se algumas escolas não melhorarem seus resultados educacionais.</w:t>
      </w:r>
      <w:r>
        <w:rPr>
          <w:rFonts w:ascii="Times New Roman" w:eastAsia="Times New Roman" w:hAnsi="Times New Roman" w:cs="Times New Roman"/>
          <w:sz w:val="24"/>
          <w:szCs w:val="24"/>
        </w:rPr>
        <w:t xml:space="preserve"> A combinação dessas duas características pode gerar uma possível um potencial heterogeneidade. </w:t>
      </w:r>
    </w:p>
    <w:p w14:paraId="1DA732F2" w14:textId="08634EC0" w:rsidR="0023592F" w:rsidRDefault="0023592F" w:rsidP="002359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Entretanto, alguns pontos dessa política de distribuição de gastos não foram respondidos. Por exemplo, não há evidências do impacto da LCP sobre a composição dos gastos municipais. Este ponto é importante para entender se a LCP induz uma busca por melhorias na qualidade educacional por meio do aumento de gastos. Outro ponto não respondido é que há evidências dos impactos desta política sobre a desigualdade entre as escolas em diferentes níveis de proficiência. Além disso, prefeitos podem alocar recursos de forma discriminada para escolas que consigam gerar melhores resultados, possibilitando manter um nível de performance agregado estável ao longo do tempo. Responder a esses questionamentos é importante para </w:t>
      </w:r>
      <w:r>
        <w:rPr>
          <w:rFonts w:ascii="Times New Roman" w:eastAsia="Times New Roman" w:hAnsi="Times New Roman" w:cs="Times New Roman"/>
          <w:sz w:val="24"/>
          <w:szCs w:val="24"/>
        </w:rPr>
        <w:lastRenderedPageBreak/>
        <w:t xml:space="preserve">entender como os prefeitos optam por alocar seus recursos nas escolas em resposta ao incentivo gerado pela Lei da Cota Parte. </w:t>
      </w:r>
    </w:p>
    <w:p w14:paraId="325A3BEA" w14:textId="77777777" w:rsidR="0023592F" w:rsidRPr="00E17E04" w:rsidRDefault="0023592F" w:rsidP="0023592F">
      <w:pPr>
        <w:spacing w:line="240" w:lineRule="auto"/>
        <w:jc w:val="both"/>
        <w:rPr>
          <w:rFonts w:ascii="Times New Roman" w:eastAsia="Times New Roman" w:hAnsi="Times New Roman" w:cs="Times New Roman"/>
          <w:b/>
          <w:bCs/>
          <w:sz w:val="24"/>
          <w:szCs w:val="24"/>
        </w:rPr>
      </w:pPr>
      <w:r w:rsidRPr="00E17E04">
        <w:rPr>
          <w:rFonts w:ascii="Times New Roman" w:eastAsia="Times New Roman" w:hAnsi="Times New Roman" w:cs="Times New Roman"/>
          <w:b/>
          <w:bCs/>
          <w:sz w:val="24"/>
          <w:szCs w:val="24"/>
        </w:rPr>
        <w:t xml:space="preserve">SLIDE </w:t>
      </w:r>
      <w:r>
        <w:rPr>
          <w:rFonts w:ascii="Times New Roman" w:eastAsia="Times New Roman" w:hAnsi="Times New Roman" w:cs="Times New Roman"/>
          <w:b/>
          <w:bCs/>
          <w:sz w:val="24"/>
          <w:szCs w:val="24"/>
        </w:rPr>
        <w:t>8</w:t>
      </w:r>
      <w:r w:rsidRPr="00E17E04">
        <w:rPr>
          <w:rFonts w:ascii="Times New Roman" w:eastAsia="Times New Roman" w:hAnsi="Times New Roman" w:cs="Times New Roman"/>
          <w:b/>
          <w:bCs/>
          <w:sz w:val="24"/>
          <w:szCs w:val="24"/>
        </w:rPr>
        <w:t xml:space="preserve">, 9 – BASE DE DADOS </w:t>
      </w:r>
    </w:p>
    <w:p w14:paraId="4AB95D38" w14:textId="77777777" w:rsidR="0023592F" w:rsidRPr="00B56B5C" w:rsidRDefault="0023592F" w:rsidP="0023592F">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Para avaliar o efeito da Lei da Cota de Parte utiliz</w:t>
      </w:r>
      <w:r>
        <w:rPr>
          <w:rFonts w:ascii="Times New Roman" w:eastAsia="Times New Roman" w:hAnsi="Times New Roman" w:cs="Times New Roman"/>
          <w:sz w:val="24"/>
          <w:szCs w:val="24"/>
        </w:rPr>
        <w:t xml:space="preserve">amos informações municipais de 2004 a 2017 de tamanho da população, gasto total, gasto com educação, gasto com ensino fundamental, PIB, transferências de ICMS, FUNDEB e FPM, todas essas variáveis foram coletadas na FINBRA. </w:t>
      </w:r>
      <w:r w:rsidRPr="00B56B5C">
        <w:rPr>
          <w:rFonts w:ascii="Times New Roman" w:eastAsia="Times New Roman" w:hAnsi="Times New Roman" w:cs="Times New Roman"/>
          <w:sz w:val="24"/>
          <w:szCs w:val="24"/>
        </w:rPr>
        <w:t>Os coeficientes de rateio</w:t>
      </w:r>
      <w:r>
        <w:rPr>
          <w:rFonts w:ascii="Times New Roman" w:eastAsia="Times New Roman" w:hAnsi="Times New Roman" w:cs="Times New Roman"/>
          <w:sz w:val="24"/>
          <w:szCs w:val="24"/>
        </w:rPr>
        <w:t xml:space="preserve"> e os índices</w:t>
      </w:r>
      <w:r w:rsidRPr="00B56B5C">
        <w:rPr>
          <w:rFonts w:ascii="Times New Roman" w:eastAsia="Times New Roman" w:hAnsi="Times New Roman" w:cs="Times New Roman"/>
          <w:sz w:val="24"/>
          <w:szCs w:val="24"/>
        </w:rPr>
        <w:t xml:space="preserve"> da cota-parte do ICMS </w:t>
      </w:r>
      <w:r>
        <w:rPr>
          <w:rFonts w:ascii="Times New Roman" w:eastAsia="Times New Roman" w:hAnsi="Times New Roman" w:cs="Times New Roman"/>
          <w:sz w:val="24"/>
          <w:szCs w:val="24"/>
        </w:rPr>
        <w:t>e</w:t>
      </w:r>
      <w:r w:rsidRPr="00B56B5C">
        <w:rPr>
          <w:rFonts w:ascii="Times New Roman" w:eastAsia="Times New Roman" w:hAnsi="Times New Roman" w:cs="Times New Roman"/>
          <w:sz w:val="24"/>
          <w:szCs w:val="24"/>
        </w:rPr>
        <w:t xml:space="preserve"> foram obtidos junto ao IPECEDATA</w:t>
      </w:r>
      <w:r>
        <w:rPr>
          <w:rFonts w:ascii="Times New Roman" w:eastAsia="Times New Roman" w:hAnsi="Times New Roman" w:cs="Times New Roman"/>
          <w:sz w:val="24"/>
          <w:szCs w:val="24"/>
        </w:rPr>
        <w:t xml:space="preserve"> entre</w:t>
      </w:r>
      <w:r w:rsidRPr="00B56B5C">
        <w:rPr>
          <w:rFonts w:ascii="Times New Roman" w:eastAsia="Times New Roman" w:hAnsi="Times New Roman" w:cs="Times New Roman"/>
          <w:sz w:val="24"/>
          <w:szCs w:val="24"/>
        </w:rPr>
        <w:t xml:space="preserve"> 2009 a 2017. </w:t>
      </w:r>
      <w:r>
        <w:rPr>
          <w:rFonts w:ascii="Times New Roman" w:eastAsia="Times New Roman" w:hAnsi="Times New Roman" w:cs="Times New Roman"/>
          <w:sz w:val="24"/>
          <w:szCs w:val="24"/>
        </w:rPr>
        <w:t>Vale ressaltar que t</w:t>
      </w:r>
      <w:r w:rsidRPr="00B56B5C">
        <w:rPr>
          <w:rFonts w:ascii="Times New Roman" w:eastAsia="Times New Roman" w:hAnsi="Times New Roman" w:cs="Times New Roman"/>
          <w:sz w:val="24"/>
          <w:szCs w:val="24"/>
        </w:rPr>
        <w:t>odas as informações monetárias foram dessazonalizadas utilizando o IPCA-Fortaleza.</w:t>
      </w:r>
    </w:p>
    <w:p w14:paraId="443A05AF" w14:textId="64D0C0B0" w:rsidR="0023592F" w:rsidRDefault="0023592F" w:rsidP="0023592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B56B5C">
        <w:rPr>
          <w:rFonts w:ascii="Times New Roman" w:eastAsia="Times New Roman" w:hAnsi="Times New Roman" w:cs="Times New Roman"/>
          <w:sz w:val="24"/>
          <w:szCs w:val="24"/>
        </w:rPr>
        <w:t xml:space="preserve">ara avaliar o impacto das mudanças na regra de distribuição do ICMS sobre a proficiência de alfabetização dos alunos do 2º ano do Ensino Fundamental do Ceará foram considerados os microdados do SPAECE-Alfa disponibilizados pela SEDUC/CE durante os anos de 2007 a 2015, além dos dados do Censo Escolar, sobre as características das escolas e das turmas. </w:t>
      </w:r>
    </w:p>
    <w:p w14:paraId="00F8EA56" w14:textId="77777777" w:rsidR="0023592F" w:rsidRDefault="0023592F" w:rsidP="0023592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Duas observações: 7 municípios foram excluídos da amostra por não terem dados suficientes, impossibilitando a implementação da estratégia empírica. O SPAECE utiliza TRI, que permite a comparação ao longo do tempo</w:t>
      </w:r>
    </w:p>
    <w:p w14:paraId="5EB2D376" w14:textId="77777777" w:rsidR="0023592F" w:rsidRPr="0093051B" w:rsidRDefault="0023592F" w:rsidP="0023592F">
      <w:pPr>
        <w:spacing w:line="240" w:lineRule="auto"/>
        <w:jc w:val="both"/>
        <w:rPr>
          <w:rFonts w:ascii="Times New Roman" w:eastAsia="Times New Roman" w:hAnsi="Times New Roman" w:cs="Times New Roman"/>
          <w:b/>
          <w:bCs/>
          <w:sz w:val="24"/>
          <w:szCs w:val="24"/>
        </w:rPr>
      </w:pPr>
      <w:r w:rsidRPr="0093051B">
        <w:rPr>
          <w:rFonts w:ascii="Times New Roman" w:eastAsia="Times New Roman" w:hAnsi="Times New Roman" w:cs="Times New Roman"/>
          <w:b/>
          <w:bCs/>
          <w:sz w:val="24"/>
          <w:szCs w:val="24"/>
        </w:rPr>
        <w:t xml:space="preserve">SLIDE </w:t>
      </w:r>
      <w:r>
        <w:rPr>
          <w:rFonts w:ascii="Times New Roman" w:eastAsia="Times New Roman" w:hAnsi="Times New Roman" w:cs="Times New Roman"/>
          <w:b/>
          <w:bCs/>
          <w:sz w:val="24"/>
          <w:szCs w:val="24"/>
        </w:rPr>
        <w:t>11</w:t>
      </w:r>
      <w:r w:rsidRPr="0093051B">
        <w:rPr>
          <w:rFonts w:ascii="Times New Roman" w:eastAsia="Times New Roman" w:hAnsi="Times New Roman" w:cs="Times New Roman"/>
          <w:b/>
          <w:bCs/>
          <w:sz w:val="24"/>
          <w:szCs w:val="24"/>
        </w:rPr>
        <w:t xml:space="preserve"> – ESTRATÉGIA 1</w:t>
      </w:r>
    </w:p>
    <w:p w14:paraId="0D674D28" w14:textId="77777777" w:rsidR="0023592F" w:rsidRDefault="0023592F" w:rsidP="0023592F">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Para responder</w:t>
      </w:r>
      <w:r>
        <w:rPr>
          <w:rFonts w:ascii="Times New Roman" w:eastAsia="Times New Roman" w:hAnsi="Times New Roman" w:cs="Times New Roman"/>
          <w:sz w:val="24"/>
          <w:szCs w:val="24"/>
        </w:rPr>
        <w:t xml:space="preserve"> qual o impacto da LCP sobre os gastos públicos municipais</w:t>
      </w:r>
      <w:r w:rsidRPr="00B56B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adotamos</w:t>
      </w:r>
      <w:r w:rsidRPr="00B56B5C">
        <w:rPr>
          <w:rFonts w:ascii="Times New Roman" w:eastAsia="Times New Roman" w:hAnsi="Times New Roman" w:cs="Times New Roman"/>
          <w:sz w:val="24"/>
          <w:szCs w:val="24"/>
        </w:rPr>
        <w:t xml:space="preserve"> uma estratégia empírica de diferença em diferença.</w:t>
      </w:r>
      <w:r>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A equação é definida por:</w:t>
      </w:r>
    </w:p>
    <w:p w14:paraId="4F07B19A" w14:textId="77777777" w:rsidR="0023592F" w:rsidRPr="00112344" w:rsidRDefault="006C5789" w:rsidP="0023592F">
      <w:pPr>
        <w:spacing w:line="240" w:lineRule="auto"/>
        <w:ind w:firstLine="720"/>
        <w:jc w:val="both"/>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 xml:space="preserve">   Δy</m:t>
              </m:r>
            </m:e>
            <m:sub>
              <m:r>
                <w:rPr>
                  <w:rFonts w:ascii="Cambria Math" w:eastAsia="Times New Roman" w:hAnsi="Cambria Math" w:cs="Times New Roman"/>
                  <w:sz w:val="20"/>
                  <w:szCs w:val="20"/>
                </w:rPr>
                <m:t>mt</m:t>
              </m:r>
            </m:sub>
          </m:sSub>
          <m:r>
            <w:rPr>
              <w:rFonts w:ascii="Cambria Math" w:eastAsia="Times New Roman" w:hAnsi="Cambria Math" w:cs="Times New Roman"/>
              <w:sz w:val="20"/>
              <w:szCs w:val="20"/>
            </w:rPr>
            <m:t>=</m:t>
          </m:r>
          <m:nary>
            <m:naryPr>
              <m:chr m:val="∑"/>
              <m:ctrlPr>
                <w:rPr>
                  <w:rFonts w:ascii="Cambria Math" w:eastAsia="Times New Roman" w:hAnsi="Cambria Math" w:cs="Times New Roman"/>
                  <w:sz w:val="20"/>
                  <w:szCs w:val="20"/>
                </w:rPr>
              </m:ctrlPr>
            </m:naryPr>
            <m:sub>
              <m:r>
                <w:rPr>
                  <w:rFonts w:ascii="Cambria Math" w:eastAsia="Times New Roman" w:hAnsi="Cambria Math" w:cs="Times New Roman"/>
                  <w:sz w:val="20"/>
                  <w:szCs w:val="20"/>
                </w:rPr>
                <m:t>t=2004</m:t>
              </m:r>
            </m:sub>
            <m:sup>
              <m:r>
                <w:rPr>
                  <w:rFonts w:ascii="Cambria Math" w:eastAsia="Times New Roman" w:hAnsi="Cambria Math" w:cs="Times New Roman"/>
                  <w:sz w:val="20"/>
                  <w:szCs w:val="20"/>
                </w:rPr>
                <m:t>2007</m:t>
              </m:r>
            </m:sup>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1t</m:t>
                  </m:r>
                </m:sub>
              </m:sSub>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ΔCP</m:t>
                  </m:r>
                </m:e>
                <m:sub>
                  <m:r>
                    <w:rPr>
                      <w:rFonts w:ascii="Cambria Math" w:eastAsia="Times New Roman" w:hAnsi="Cambria Math" w:cs="Times New Roman"/>
                      <w:sz w:val="20"/>
                      <w:szCs w:val="20"/>
                    </w:rPr>
                    <m:t>mt</m:t>
                  </m:r>
                </m:sub>
              </m:sSub>
            </m:e>
          </m:nary>
          <m:r>
            <w:rPr>
              <w:rFonts w:ascii="Cambria Math" w:eastAsia="Times New Roman" w:hAnsi="Cambria Math" w:cs="Times New Roman"/>
              <w:sz w:val="20"/>
              <w:szCs w:val="20"/>
            </w:rPr>
            <m:t>×I</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Q</m:t>
                  </m:r>
                </m:e>
                <m:sub>
                  <m:r>
                    <w:rPr>
                      <w:rFonts w:ascii="Cambria Math" w:eastAsia="Times New Roman" w:hAnsi="Cambria Math" w:cs="Times New Roman"/>
                      <w:sz w:val="20"/>
                      <w:szCs w:val="20"/>
                    </w:rPr>
                    <m:t>1</m:t>
                  </m:r>
                </m:sub>
              </m:sSub>
            </m:e>
          </m:d>
          <m:r>
            <w:rPr>
              <w:rFonts w:ascii="Cambria Math" w:eastAsia="Times New Roman" w:hAnsi="Cambria Math" w:cs="Times New Roman"/>
              <w:sz w:val="20"/>
              <w:szCs w:val="20"/>
            </w:rPr>
            <m:t>+</m:t>
          </m:r>
          <m:nary>
            <m:naryPr>
              <m:chr m:val="∑"/>
              <m:ctrlPr>
                <w:rPr>
                  <w:rFonts w:ascii="Cambria Math" w:eastAsia="Times New Roman" w:hAnsi="Cambria Math" w:cs="Times New Roman"/>
                  <w:sz w:val="20"/>
                  <w:szCs w:val="20"/>
                </w:rPr>
              </m:ctrlPr>
            </m:naryPr>
            <m:sub>
              <m:r>
                <w:rPr>
                  <w:rFonts w:ascii="Cambria Math" w:eastAsia="Times New Roman" w:hAnsi="Cambria Math" w:cs="Times New Roman"/>
                  <w:sz w:val="20"/>
                  <w:szCs w:val="20"/>
                </w:rPr>
                <m:t>t=2009</m:t>
              </m:r>
            </m:sub>
            <m:sup>
              <m:r>
                <w:rPr>
                  <w:rFonts w:ascii="Cambria Math" w:eastAsia="Times New Roman" w:hAnsi="Cambria Math" w:cs="Times New Roman"/>
                  <w:sz w:val="20"/>
                  <w:szCs w:val="20"/>
                </w:rPr>
                <m:t>2017</m:t>
              </m:r>
            </m:sup>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2t</m:t>
                  </m:r>
                </m:sub>
              </m:sSub>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ΔCP</m:t>
                  </m:r>
                </m:e>
                <m:sub>
                  <m:r>
                    <w:rPr>
                      <w:rFonts w:ascii="Cambria Math" w:eastAsia="Times New Roman" w:hAnsi="Cambria Math" w:cs="Times New Roman"/>
                      <w:sz w:val="20"/>
                      <w:szCs w:val="20"/>
                    </w:rPr>
                    <m:t>mt</m:t>
                  </m:r>
                </m:sub>
              </m:sSub>
            </m:e>
          </m:nary>
          <m:r>
            <w:rPr>
              <w:rFonts w:ascii="Cambria Math" w:eastAsia="Times New Roman" w:hAnsi="Cambria Math" w:cs="Times New Roman"/>
              <w:sz w:val="20"/>
              <w:szCs w:val="20"/>
            </w:rPr>
            <m:t>×I</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Q</m:t>
                  </m:r>
                </m:e>
                <m:sub>
                  <m:r>
                    <w:rPr>
                      <w:rFonts w:ascii="Cambria Math" w:eastAsia="Times New Roman" w:hAnsi="Cambria Math" w:cs="Times New Roman"/>
                      <w:sz w:val="20"/>
                      <w:szCs w:val="20"/>
                    </w:rPr>
                    <m:t>1</m:t>
                  </m:r>
                </m:sub>
              </m:sSub>
            </m:e>
          </m:d>
          <m:r>
            <w:rPr>
              <w:rFonts w:ascii="Cambria Math" w:eastAsia="Times New Roman" w:hAnsi="Cambria Math" w:cs="Times New Roman"/>
              <w:sz w:val="20"/>
              <w:szCs w:val="20"/>
            </w:rPr>
            <m:t>×I</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Após</m:t>
              </m:r>
            </m:e>
          </m:d>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τ</m:t>
              </m:r>
            </m:e>
            <m:sub>
              <m:r>
                <w:rPr>
                  <w:rFonts w:ascii="Cambria Math" w:eastAsia="Times New Roman" w:hAnsi="Cambria Math" w:cs="Times New Roman"/>
                  <w:sz w:val="20"/>
                  <w:szCs w:val="20"/>
                </w:rPr>
                <m:t>m</m:t>
              </m:r>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τ</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+γ</m:t>
              </m:r>
            </m:e>
            <m:sub>
              <m:r>
                <w:rPr>
                  <w:rFonts w:ascii="Cambria Math" w:eastAsia="Times New Roman" w:hAnsi="Cambria Math" w:cs="Times New Roman"/>
                  <w:sz w:val="20"/>
                  <w:szCs w:val="20"/>
                </w:rPr>
                <m:t>mt</m:t>
              </m:r>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ε</m:t>
              </m:r>
            </m:e>
            <m:sub>
              <m:r>
                <w:rPr>
                  <w:rFonts w:ascii="Cambria Math" w:eastAsia="Times New Roman" w:hAnsi="Cambria Math" w:cs="Times New Roman"/>
                  <w:sz w:val="20"/>
                  <w:szCs w:val="20"/>
                </w:rPr>
                <m:t>gmt</m:t>
              </m:r>
            </m:sub>
          </m:sSub>
        </m:oMath>
      </m:oMathPara>
    </w:p>
    <w:p w14:paraId="75353204" w14:textId="77777777" w:rsidR="0023592F" w:rsidRPr="00B56B5C" w:rsidRDefault="0023592F" w:rsidP="0023592F">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 definição de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Δ</m:t>
            </m:r>
            <m:r>
              <w:rPr>
                <w:rFonts w:ascii="Cambria Math" w:eastAsia="Times New Roman" w:hAnsi="Cambria Math" w:cs="Times New Roman"/>
                <w:sz w:val="24"/>
                <w:szCs w:val="24"/>
              </w:rPr>
              <m:t>y</m:t>
            </m:r>
          </m:e>
          <m:sub>
            <m:r>
              <w:rPr>
                <w:rFonts w:ascii="Cambria Math" w:eastAsia="Times New Roman" w:hAnsi="Cambria Math" w:cs="Times New Roman"/>
                <w:sz w:val="24"/>
                <w:szCs w:val="24"/>
              </w:rPr>
              <m:t>mt</m:t>
            </m:r>
          </m:sub>
        </m:sSub>
      </m:oMath>
      <w:r w:rsidRPr="00B56B5C">
        <w:rPr>
          <w:rFonts w:ascii="Times New Roman" w:eastAsia="Times New Roman" w:hAnsi="Times New Roman" w:cs="Times New Roman"/>
          <w:sz w:val="24"/>
          <w:szCs w:val="24"/>
        </w:rPr>
        <w:t xml:space="preserve"> é a diferença entre um tipo de gasto</w:t>
      </w:r>
      <w:r>
        <w:rPr>
          <w:rFonts w:ascii="Times New Roman" w:eastAsia="Times New Roman" w:hAnsi="Times New Roman" w:cs="Times New Roman"/>
          <w:sz w:val="24"/>
          <w:szCs w:val="24"/>
        </w:rPr>
        <w:t xml:space="preserve"> (total, em educação ou gasto no ensino fundamental)</w:t>
      </w:r>
      <w:r w:rsidRPr="00B56B5C">
        <w:rPr>
          <w:rFonts w:ascii="Times New Roman" w:eastAsia="Times New Roman" w:hAnsi="Times New Roman" w:cs="Times New Roman"/>
          <w:sz w:val="24"/>
          <w:szCs w:val="24"/>
        </w:rPr>
        <w:t xml:space="preserve"> em relação ao gasto do ano de 2008 per capita. O ano de 2008 foi escolhido como referência por ser o último ano antes da implementação da Lei da Cota Parte. Adicionalmente foi considerado como referência o tamanho da população de 2008, para evitar que variações populacionais afetem os resultados</w:t>
      </w:r>
      <w:r>
        <w:rPr>
          <w:rFonts w:ascii="Times New Roman" w:eastAsia="Times New Roman" w:hAnsi="Times New Roman" w:cs="Times New Roman"/>
          <w:sz w:val="24"/>
          <w:szCs w:val="24"/>
        </w:rPr>
        <w:t>.</w:t>
      </w:r>
    </w:p>
    <w:p w14:paraId="14CCB1D3" w14:textId="77777777" w:rsidR="0023592F" w:rsidRDefault="0023592F" w:rsidP="0023592F">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Por sua vez, </w:t>
      </w:r>
      <m:oMath>
        <m:r>
          <w:rPr>
            <w:rFonts w:ascii="Cambria Math" w:hAnsi="Cambria Math" w:cs="Times New Roman"/>
            <w:sz w:val="24"/>
            <w:szCs w:val="24"/>
          </w:rPr>
          <m:t>Δ</m:t>
        </m:r>
        <m:r>
          <w:rPr>
            <w:rFonts w:ascii="Cambria Math" w:eastAsia="Times New Roman" w:hAnsi="Cambria Math" w:cs="Times New Roman"/>
            <w:sz w:val="24"/>
            <w:szCs w:val="24"/>
          </w:rPr>
          <m:t>C</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mt</m:t>
            </m:r>
          </m:sub>
        </m:sSub>
      </m:oMath>
      <w:r w:rsidRPr="00B56B5C">
        <w:rPr>
          <w:rFonts w:ascii="Times New Roman" w:eastAsia="Times New Roman" w:hAnsi="Times New Roman" w:cs="Times New Roman"/>
          <w:sz w:val="24"/>
          <w:szCs w:val="24"/>
        </w:rPr>
        <w:t xml:space="preserve"> é a diferença entre a receita da Cota Parte do ICMS em relação a quanto o município recebia em 2008 em termos per capita. Como antes de 2009, o recurso da Cota Parte do ICMS era dividido </w:t>
      </w:r>
      <w:r>
        <w:rPr>
          <w:rFonts w:ascii="Times New Roman" w:eastAsia="Times New Roman" w:hAnsi="Times New Roman" w:cs="Times New Roman"/>
          <w:sz w:val="24"/>
          <w:szCs w:val="24"/>
        </w:rPr>
        <w:t>de acordo com outros critérios</w:t>
      </w:r>
      <w:r w:rsidRPr="00B56B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essa variável</w:t>
      </w:r>
      <w:r w:rsidRPr="00B56B5C">
        <w:rPr>
          <w:rFonts w:ascii="Times New Roman" w:eastAsia="Times New Roman" w:hAnsi="Times New Roman" w:cs="Times New Roman"/>
          <w:sz w:val="24"/>
          <w:szCs w:val="24"/>
        </w:rPr>
        <w:t xml:space="preserve"> mensura o quanto cada município passou a receber a mais ou a menos a partir de 2008.</w:t>
      </w:r>
      <w:r>
        <w:rPr>
          <w:rFonts w:ascii="Times New Roman" w:eastAsia="Times New Roman" w:hAnsi="Times New Roman" w:cs="Times New Roman"/>
          <w:sz w:val="24"/>
          <w:szCs w:val="24"/>
        </w:rPr>
        <w:t xml:space="preserve"> </w:t>
      </w:r>
    </w:p>
    <w:p w14:paraId="0BCEB490" w14:textId="77777777" w:rsidR="0023592F" w:rsidRDefault="0023592F" w:rsidP="0023592F">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Adicionalmente,</w:t>
      </w:r>
      <w:r>
        <w:rPr>
          <w:rFonts w:ascii="Times New Roman" w:eastAsia="Times New Roman" w:hAnsi="Times New Roman" w:cs="Times New Roman"/>
          <w:sz w:val="24"/>
          <w:szCs w:val="24"/>
        </w:rPr>
        <w:t xml:space="preserve"> </w:t>
      </w:r>
      <w:r w:rsidRPr="00367295">
        <w:rPr>
          <w:rFonts w:ascii="Times New Roman" w:eastAsia="Times New Roman" w:hAnsi="Times New Roman" w:cs="Times New Roman"/>
          <w:i/>
          <w:iCs/>
          <w:sz w:val="24"/>
          <w:szCs w:val="24"/>
        </w:rPr>
        <w:t>(tau)</w:t>
      </w:r>
      <w:r w:rsidRPr="00B56B5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τ</m:t>
            </m:r>
          </m:e>
          <m:sub>
            <m:r>
              <w:rPr>
                <w:rFonts w:ascii="Cambria Math" w:eastAsia="Times New Roman" w:hAnsi="Cambria Math" w:cs="Times New Roman"/>
                <w:sz w:val="24"/>
                <w:szCs w:val="24"/>
              </w:rPr>
              <m:t>t</m:t>
            </m:r>
          </m:sub>
        </m:sSub>
      </m:oMath>
      <w:r w:rsidRPr="00B56B5C">
        <w:rPr>
          <w:rFonts w:ascii="Times New Roman" w:eastAsia="Times New Roman" w:hAnsi="Times New Roman" w:cs="Times New Roman"/>
          <w:sz w:val="24"/>
          <w:szCs w:val="24"/>
        </w:rPr>
        <w:t xml:space="preserve"> 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τ</m:t>
            </m:r>
          </m:e>
          <m:sub>
            <m:r>
              <w:rPr>
                <w:rFonts w:ascii="Cambria Math" w:eastAsia="Times New Roman" w:hAnsi="Cambria Math" w:cs="Times New Roman"/>
                <w:sz w:val="24"/>
                <w:szCs w:val="24"/>
              </w:rPr>
              <m:t>m</m:t>
            </m:r>
          </m:sub>
        </m:sSub>
      </m:oMath>
      <w:r w:rsidRPr="00B56B5C">
        <w:rPr>
          <w:rFonts w:ascii="Times New Roman" w:eastAsia="Times New Roman" w:hAnsi="Times New Roman" w:cs="Times New Roman"/>
          <w:sz w:val="24"/>
          <w:szCs w:val="24"/>
        </w:rPr>
        <w:t xml:space="preserve"> são efeitos fixos anuais e municipais cuja função </w:t>
      </w:r>
      <w:r w:rsidRPr="00346F6B">
        <w:rPr>
          <w:rFonts w:ascii="Times New Roman" w:eastAsia="Times New Roman" w:hAnsi="Times New Roman" w:cs="Times New Roman"/>
          <w:sz w:val="24"/>
          <w:szCs w:val="24"/>
        </w:rPr>
        <w:t xml:space="preserve">é capturar variações </w:t>
      </w:r>
      <w:proofErr w:type="gramStart"/>
      <w:r w:rsidRPr="00346F6B">
        <w:rPr>
          <w:rFonts w:ascii="Times New Roman" w:eastAsia="Times New Roman" w:hAnsi="Times New Roman" w:cs="Times New Roman"/>
          <w:sz w:val="24"/>
          <w:szCs w:val="24"/>
        </w:rPr>
        <w:t>idiossincráticas</w:t>
      </w:r>
      <w:proofErr w:type="gramEnd"/>
      <w:r w:rsidRPr="00346F6B">
        <w:rPr>
          <w:rFonts w:ascii="Times New Roman" w:eastAsia="Times New Roman" w:hAnsi="Times New Roman" w:cs="Times New Roman"/>
          <w:sz w:val="24"/>
          <w:szCs w:val="24"/>
        </w:rPr>
        <w:t xml:space="preserve"> em determinado ano (choques econômicos, secas, etc.) ou município.</w:t>
      </w:r>
      <w:r>
        <w:rPr>
          <w:rFonts w:ascii="Times New Roman" w:eastAsia="Times New Roman" w:hAnsi="Times New Roman" w:cs="Times New Roman"/>
          <w:sz w:val="24"/>
          <w:szCs w:val="24"/>
        </w:rPr>
        <w:t xml:space="preserve"> E </w:t>
      </w:r>
      <w:r w:rsidRPr="00B56B5C">
        <w:rPr>
          <w:rFonts w:ascii="Times New Roman" w:eastAsia="Times New Roman" w:hAnsi="Times New Roman" w:cs="Times New Roman"/>
          <w:sz w:val="24"/>
          <w:szCs w:val="24"/>
        </w:rPr>
        <w:t>para controlar</w:t>
      </w:r>
      <w:r>
        <w:rPr>
          <w:rFonts w:ascii="Times New Roman" w:eastAsia="Times New Roman" w:hAnsi="Times New Roman" w:cs="Times New Roman"/>
          <w:sz w:val="24"/>
          <w:szCs w:val="24"/>
        </w:rPr>
        <w:t xml:space="preserve"> a variabilidade no ciclo econômico dos municípios</w:t>
      </w:r>
      <w:r w:rsidRPr="00B56B5C">
        <w:rPr>
          <w:rFonts w:ascii="Times New Roman" w:eastAsia="Times New Roman" w:hAnsi="Times New Roman" w:cs="Times New Roman"/>
          <w:sz w:val="24"/>
          <w:szCs w:val="24"/>
        </w:rPr>
        <w:t xml:space="preserve"> são introduzidos os efeitos fixos do ciclo econômico de cada município variando no tempo,</w:t>
      </w:r>
      <w:r>
        <w:rPr>
          <w:rFonts w:ascii="Times New Roman" w:eastAsia="Times New Roman" w:hAnsi="Times New Roman" w:cs="Times New Roman"/>
          <w:sz w:val="24"/>
          <w:szCs w:val="24"/>
        </w:rPr>
        <w:t xml:space="preserve"> adicionamos </w:t>
      </w:r>
      <w:r w:rsidRPr="00367295">
        <w:rPr>
          <w:rFonts w:ascii="Times New Roman" w:eastAsia="Times New Roman" w:hAnsi="Times New Roman" w:cs="Times New Roman"/>
          <w:i/>
          <w:iCs/>
          <w:sz w:val="24"/>
          <w:szCs w:val="24"/>
        </w:rPr>
        <w:t>(gama)</w:t>
      </w:r>
      <w:r w:rsidRPr="00B56B5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γ</m:t>
            </m:r>
          </m:e>
          <m:sub>
            <m:r>
              <w:rPr>
                <w:rFonts w:ascii="Cambria Math" w:eastAsia="Times New Roman" w:hAnsi="Cambria Math" w:cs="Times New Roman"/>
                <w:sz w:val="24"/>
                <w:szCs w:val="24"/>
              </w:rPr>
              <m:t>mt</m:t>
            </m:r>
          </m:sub>
        </m:sSub>
      </m:oMath>
      <w:r w:rsidRPr="00B56B5C">
        <w:rPr>
          <w:rFonts w:ascii="Times New Roman" w:eastAsia="Times New Roman" w:hAnsi="Times New Roman" w:cs="Times New Roman"/>
          <w:sz w:val="24"/>
          <w:szCs w:val="24"/>
        </w:rPr>
        <w:t xml:space="preserve"> O período de análise considerado inicia-se em 2004 e finaliza em 2017.</w:t>
      </w:r>
      <w:r>
        <w:rPr>
          <w:rFonts w:ascii="Times New Roman" w:eastAsia="Times New Roman" w:hAnsi="Times New Roman" w:cs="Times New Roman"/>
          <w:sz w:val="24"/>
          <w:szCs w:val="24"/>
        </w:rPr>
        <w:t xml:space="preserve"> </w:t>
      </w:r>
    </w:p>
    <w:p w14:paraId="13F1A1AD" w14:textId="377D0ED5" w:rsidR="0023592F" w:rsidRPr="00B56B5C" w:rsidRDefault="0023592F" w:rsidP="0023592F">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 variável </w:t>
      </w:r>
      <m:oMath>
        <m:r>
          <w:rPr>
            <w:rFonts w:ascii="Cambria Math" w:eastAsia="Times New Roman" w:hAnsi="Cambria Math" w:cs="Times New Roman"/>
            <w:sz w:val="24"/>
            <w:szCs w:val="24"/>
          </w:rPr>
          <m:t>I(m=</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oMath>
      <w:r w:rsidRPr="00B56B5C">
        <w:rPr>
          <w:rFonts w:ascii="Times New Roman" w:eastAsia="Times New Roman" w:hAnsi="Times New Roman" w:cs="Times New Roman"/>
          <w:sz w:val="24"/>
          <w:szCs w:val="24"/>
        </w:rPr>
        <w:t xml:space="preserve"> designa os municípios que serão considerados tratados. </w:t>
      </w:r>
      <w:r>
        <w:rPr>
          <w:rFonts w:ascii="Times New Roman" w:eastAsia="Times New Roman" w:hAnsi="Times New Roman" w:cs="Times New Roman"/>
          <w:sz w:val="24"/>
          <w:szCs w:val="24"/>
        </w:rPr>
        <w:t>O</w:t>
      </w:r>
      <w:r w:rsidRPr="00B56B5C">
        <w:rPr>
          <w:rFonts w:ascii="Times New Roman" w:eastAsia="Times New Roman" w:hAnsi="Times New Roman" w:cs="Times New Roman"/>
          <w:sz w:val="24"/>
          <w:szCs w:val="24"/>
        </w:rPr>
        <w:t xml:space="preserve"> valor 1</w:t>
      </w:r>
      <w:r>
        <w:rPr>
          <w:rFonts w:ascii="Times New Roman" w:eastAsia="Times New Roman" w:hAnsi="Times New Roman" w:cs="Times New Roman"/>
          <w:sz w:val="24"/>
          <w:szCs w:val="24"/>
        </w:rPr>
        <w:t xml:space="preserve"> é atribuído</w:t>
      </w:r>
      <w:r w:rsidRPr="00B56B5C">
        <w:rPr>
          <w:rFonts w:ascii="Times New Roman" w:eastAsia="Times New Roman" w:hAnsi="Times New Roman" w:cs="Times New Roman"/>
          <w:sz w:val="24"/>
          <w:szCs w:val="24"/>
        </w:rPr>
        <w:t xml:space="preserve"> para os municípios que tinham melhor desempenho educacional antes da implementação da Lei da Cota Parte em 2009. Além disso, </w:t>
      </w:r>
      <m:oMath>
        <m:r>
          <w:rPr>
            <w:rFonts w:ascii="Cambria Math" w:eastAsia="Times New Roman" w:hAnsi="Cambria Math" w:cs="Times New Roman"/>
            <w:sz w:val="24"/>
            <w:szCs w:val="24"/>
          </w:rPr>
          <m:t>I(m=</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oMath>
      <w:r w:rsidRPr="00B56B5C">
        <w:rPr>
          <w:rFonts w:ascii="Times New Roman" w:eastAsia="Times New Roman" w:hAnsi="Times New Roman" w:cs="Times New Roman"/>
          <w:sz w:val="24"/>
          <w:szCs w:val="24"/>
        </w:rPr>
        <w:t xml:space="preserve"> atribui valor zero para todos os demais municípios. Para definir quais municípios possuem melhor desempenho educacional antes da implementação da Lei da Cota Parte foi utilizado o índice de qualidade da educação (</w:t>
      </w:r>
      <m:oMath>
        <m:r>
          <w:rPr>
            <w:rFonts w:ascii="Cambria Math" w:eastAsia="Times New Roman" w:hAnsi="Cambria Math" w:cs="Times New Roman"/>
            <w:sz w:val="24"/>
            <w:szCs w:val="24"/>
          </w:rPr>
          <m:t>IQE</m:t>
        </m:r>
      </m:oMath>
      <w:r w:rsidRPr="00B56B5C">
        <w:rPr>
          <w:rFonts w:ascii="Times New Roman" w:eastAsia="Times New Roman" w:hAnsi="Times New Roman" w:cs="Times New Roman"/>
          <w:sz w:val="24"/>
          <w:szCs w:val="24"/>
        </w:rPr>
        <w:t xml:space="preserve">) para o ano de 2009. Os municípios foram ranqueados segundo o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oMath>
      <w:r w:rsidRPr="00B56B5C">
        <w:rPr>
          <w:rFonts w:ascii="Times New Roman" w:eastAsia="Times New Roman" w:hAnsi="Times New Roman" w:cs="Times New Roman"/>
          <w:sz w:val="24"/>
          <w:szCs w:val="24"/>
        </w:rPr>
        <w:t xml:space="preserve"> e os 30% municípios mais bem ranqueados foram considerados tratados. Os 70% restantes foram considerados controles.</w:t>
      </w:r>
      <w:r>
        <w:rPr>
          <w:rFonts w:ascii="Times New Roman" w:eastAsia="Times New Roman" w:hAnsi="Times New Roman" w:cs="Times New Roman"/>
          <w:sz w:val="24"/>
          <w:szCs w:val="24"/>
        </w:rPr>
        <w:t xml:space="preserve"> Erros-padrão foram estimados ao nível do município.</w:t>
      </w:r>
    </w:p>
    <w:p w14:paraId="6AFB8EED" w14:textId="77777777" w:rsidR="009558E7" w:rsidRDefault="0023592F" w:rsidP="009558E7">
      <w:pPr>
        <w:spacing w:line="240" w:lineRule="auto"/>
        <w:jc w:val="both"/>
        <w:rPr>
          <w:rFonts w:ascii="Times New Roman" w:eastAsia="Times New Roman" w:hAnsi="Times New Roman" w:cs="Times New Roman"/>
          <w:sz w:val="24"/>
          <w:szCs w:val="24"/>
        </w:rPr>
      </w:pPr>
      <w:r w:rsidRPr="00085EF5">
        <w:rPr>
          <w:rFonts w:ascii="Times New Roman" w:eastAsia="Times New Roman" w:hAnsi="Times New Roman" w:cs="Times New Roman"/>
          <w:sz w:val="24"/>
          <w:szCs w:val="24"/>
          <w:highlight w:val="yellow"/>
        </w:rPr>
        <w:t xml:space="preserve">Para que nossa estratégia seja válida, o IQE municipal de 2009, que é uma variável pré-determinada, deve satisfazer duas condições. Primeira, deve ser correlacionado com </w:t>
      </w:r>
      <m:oMath>
        <m:sSub>
          <m:sSubPr>
            <m:ctrlPr>
              <w:rPr>
                <w:rFonts w:ascii="Cambria Math" w:eastAsia="Times New Roman" w:hAnsi="Cambria Math" w:cs="Times New Roman"/>
                <w:sz w:val="24"/>
                <w:szCs w:val="24"/>
                <w:highlight w:val="yellow"/>
              </w:rPr>
            </m:ctrlPr>
          </m:sSubPr>
          <m:e>
            <m:r>
              <w:rPr>
                <w:rFonts w:ascii="Cambria Math" w:hAnsi="Cambria Math" w:cs="Times New Roman"/>
                <w:sz w:val="24"/>
                <w:szCs w:val="24"/>
                <w:highlight w:val="yellow"/>
              </w:rPr>
              <m:t>Δ</m:t>
            </m:r>
            <m:r>
              <w:rPr>
                <w:rFonts w:ascii="Cambria Math" w:eastAsia="Times New Roman" w:hAnsi="Cambria Math" w:cs="Times New Roman"/>
                <w:sz w:val="24"/>
                <w:szCs w:val="24"/>
                <w:highlight w:val="yellow"/>
              </w:rPr>
              <m:t>CP</m:t>
            </m:r>
          </m:e>
          <m:sub>
            <m:r>
              <w:rPr>
                <w:rFonts w:ascii="Cambria Math" w:eastAsia="Times New Roman" w:hAnsi="Cambria Math" w:cs="Times New Roman"/>
                <w:sz w:val="24"/>
                <w:szCs w:val="24"/>
                <w:highlight w:val="yellow"/>
              </w:rPr>
              <m:t>mt</m:t>
            </m:r>
          </m:sub>
        </m:sSub>
      </m:oMath>
      <w:r w:rsidRPr="00085EF5">
        <w:rPr>
          <w:rFonts w:ascii="Times New Roman" w:eastAsia="Times New Roman" w:hAnsi="Times New Roman" w:cs="Times New Roman"/>
          <w:sz w:val="24"/>
          <w:szCs w:val="24"/>
          <w:highlight w:val="yellow"/>
        </w:rPr>
        <w:t xml:space="preserve"> a partir de 2009</w:t>
      </w:r>
      <w:r w:rsidRPr="00085EF5">
        <w:rPr>
          <w:rStyle w:val="Refdenotaderodap"/>
          <w:rFonts w:ascii="Times New Roman" w:eastAsia="Times New Roman" w:hAnsi="Times New Roman" w:cs="Times New Roman"/>
          <w:sz w:val="24"/>
          <w:szCs w:val="24"/>
          <w:highlight w:val="yellow"/>
        </w:rPr>
        <w:footnoteReference w:id="1"/>
      </w:r>
      <w:r w:rsidRPr="00085EF5">
        <w:rPr>
          <w:rFonts w:ascii="Times New Roman" w:eastAsia="Times New Roman" w:hAnsi="Times New Roman" w:cs="Times New Roman"/>
          <w:sz w:val="24"/>
          <w:szCs w:val="24"/>
          <w:highlight w:val="yellow"/>
        </w:rPr>
        <w:t xml:space="preserve">. </w:t>
      </w:r>
      <w:proofErr w:type="gramStart"/>
      <w:r w:rsidRPr="00085EF5">
        <w:rPr>
          <w:rFonts w:ascii="Times New Roman" w:eastAsia="Times New Roman" w:hAnsi="Times New Roman" w:cs="Times New Roman"/>
          <w:sz w:val="24"/>
          <w:szCs w:val="24"/>
          <w:highlight w:val="yellow"/>
        </w:rPr>
        <w:t>Segundo, o</w:t>
      </w:r>
      <w:proofErr w:type="gramEnd"/>
      <w:r w:rsidRPr="00085EF5">
        <w:rPr>
          <w:rFonts w:ascii="Times New Roman" w:eastAsia="Times New Roman" w:hAnsi="Times New Roman" w:cs="Times New Roman"/>
          <w:sz w:val="24"/>
          <w:szCs w:val="24"/>
          <w:highlight w:val="yellow"/>
        </w:rPr>
        <w:t xml:space="preserve"> </w:t>
      </w:r>
      <m:oMath>
        <m:r>
          <w:rPr>
            <w:rFonts w:ascii="Cambria Math" w:eastAsia="Times New Roman" w:hAnsi="Cambria Math" w:cs="Times New Roman"/>
            <w:sz w:val="24"/>
            <w:szCs w:val="24"/>
            <w:highlight w:val="yellow"/>
          </w:rPr>
          <m:t>IQ</m:t>
        </m:r>
        <m:sSub>
          <m:sSubPr>
            <m:ctrlPr>
              <w:rPr>
                <w:rFonts w:ascii="Cambria Math" w:eastAsia="Times New Roman" w:hAnsi="Cambria Math" w:cs="Times New Roman"/>
                <w:sz w:val="24"/>
                <w:szCs w:val="24"/>
                <w:highlight w:val="yellow"/>
              </w:rPr>
            </m:ctrlPr>
          </m:sSubPr>
          <m:e>
            <m:r>
              <w:rPr>
                <w:rFonts w:ascii="Cambria Math" w:eastAsia="Times New Roman" w:hAnsi="Cambria Math" w:cs="Times New Roman"/>
                <w:sz w:val="24"/>
                <w:szCs w:val="24"/>
                <w:highlight w:val="yellow"/>
              </w:rPr>
              <m:t>E</m:t>
            </m:r>
          </m:e>
          <m:sub>
            <m:r>
              <w:rPr>
                <w:rFonts w:ascii="Cambria Math" w:eastAsia="Times New Roman" w:hAnsi="Cambria Math" w:cs="Times New Roman"/>
                <w:sz w:val="24"/>
                <w:szCs w:val="24"/>
                <w:highlight w:val="yellow"/>
              </w:rPr>
              <m:t>m2009</m:t>
            </m:r>
          </m:sub>
        </m:sSub>
      </m:oMath>
      <w:r w:rsidRPr="00085EF5">
        <w:rPr>
          <w:rFonts w:ascii="Times New Roman" w:eastAsia="Times New Roman" w:hAnsi="Times New Roman" w:cs="Times New Roman"/>
          <w:sz w:val="24"/>
          <w:szCs w:val="24"/>
          <w:highlight w:val="yellow"/>
        </w:rPr>
        <w:t xml:space="preserve"> não deve ser influenciado pelos municípios visando receber mais recursos quando a Lei da Cota Parte for implementada</w:t>
      </w:r>
      <w:r w:rsidRPr="00085EF5">
        <w:rPr>
          <w:rStyle w:val="Refdenotaderodap"/>
          <w:rFonts w:ascii="Times New Roman" w:eastAsia="Times New Roman" w:hAnsi="Times New Roman" w:cs="Times New Roman"/>
          <w:sz w:val="24"/>
          <w:szCs w:val="24"/>
          <w:highlight w:val="yellow"/>
        </w:rPr>
        <w:footnoteReference w:id="2"/>
      </w:r>
      <w:r w:rsidRPr="00085EF5">
        <w:rPr>
          <w:rFonts w:ascii="Times New Roman" w:eastAsia="Times New Roman" w:hAnsi="Times New Roman" w:cs="Times New Roman"/>
          <w:sz w:val="24"/>
          <w:szCs w:val="24"/>
          <w:highlight w:val="yellow"/>
        </w:rPr>
        <w:t xml:space="preserve">. Assumindo a validade de tais hipóteses, o </w:t>
      </w:r>
      <m:oMath>
        <m:r>
          <w:rPr>
            <w:rFonts w:ascii="Cambria Math" w:eastAsia="Times New Roman" w:hAnsi="Cambria Math" w:cs="Times New Roman"/>
            <w:sz w:val="24"/>
            <w:szCs w:val="24"/>
            <w:highlight w:val="yellow"/>
          </w:rPr>
          <m:t>IQ</m:t>
        </m:r>
        <m:sSub>
          <m:sSubPr>
            <m:ctrlPr>
              <w:rPr>
                <w:rFonts w:ascii="Cambria Math" w:eastAsia="Times New Roman" w:hAnsi="Cambria Math" w:cs="Times New Roman"/>
                <w:sz w:val="24"/>
                <w:szCs w:val="24"/>
                <w:highlight w:val="yellow"/>
              </w:rPr>
            </m:ctrlPr>
          </m:sSubPr>
          <m:e>
            <m:r>
              <w:rPr>
                <w:rFonts w:ascii="Cambria Math" w:eastAsia="Times New Roman" w:hAnsi="Cambria Math" w:cs="Times New Roman"/>
                <w:sz w:val="24"/>
                <w:szCs w:val="24"/>
                <w:highlight w:val="yellow"/>
              </w:rPr>
              <m:t>E</m:t>
            </m:r>
          </m:e>
          <m:sub>
            <m:r>
              <w:rPr>
                <w:rFonts w:ascii="Cambria Math" w:eastAsia="Times New Roman" w:hAnsi="Cambria Math" w:cs="Times New Roman"/>
                <w:sz w:val="24"/>
                <w:szCs w:val="24"/>
                <w:highlight w:val="yellow"/>
              </w:rPr>
              <m:t>m2009</m:t>
            </m:r>
          </m:sub>
        </m:sSub>
      </m:oMath>
      <w:r w:rsidRPr="00085EF5">
        <w:rPr>
          <w:rFonts w:ascii="Times New Roman" w:eastAsia="Times New Roman" w:hAnsi="Times New Roman" w:cs="Times New Roman"/>
          <w:sz w:val="24"/>
          <w:szCs w:val="24"/>
          <w:highlight w:val="yellow"/>
        </w:rPr>
        <w:t xml:space="preserve"> mensura o quanto cada </w:t>
      </w:r>
      <w:r w:rsidRPr="00085EF5">
        <w:rPr>
          <w:rFonts w:ascii="Times New Roman" w:eastAsia="Times New Roman" w:hAnsi="Times New Roman" w:cs="Times New Roman"/>
          <w:sz w:val="24"/>
          <w:szCs w:val="24"/>
          <w:highlight w:val="yellow"/>
        </w:rPr>
        <w:lastRenderedPageBreak/>
        <w:t>município irá receber a partir de 2009 e não está associado com mais ou menos gasto em educação no período anterior à promulgação da Lei da Cota Parte.</w:t>
      </w:r>
      <w:r w:rsidRPr="00B56B5C">
        <w:rPr>
          <w:rFonts w:ascii="Times New Roman" w:eastAsia="Times New Roman" w:hAnsi="Times New Roman" w:cs="Times New Roman"/>
          <w:sz w:val="24"/>
          <w:szCs w:val="24"/>
        </w:rPr>
        <w:t xml:space="preserve">  </w:t>
      </w:r>
    </w:p>
    <w:p w14:paraId="60FCB93C" w14:textId="6E310E39" w:rsidR="0023592F" w:rsidRDefault="0023592F" w:rsidP="009558E7">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β</m:t>
            </m:r>
          </m:e>
          <m:sub>
            <m:r>
              <w:rPr>
                <w:rFonts w:ascii="Cambria Math" w:eastAsia="Times New Roman" w:hAnsi="Cambria Math" w:cs="Times New Roman"/>
                <w:sz w:val="24"/>
                <w:szCs w:val="24"/>
              </w:rPr>
              <m:t>1t</m:t>
            </m:r>
          </m:sub>
        </m:sSub>
      </m:oMath>
      <w:r w:rsidRPr="00B56B5C">
        <w:rPr>
          <w:rFonts w:ascii="Times New Roman" w:eastAsia="Times New Roman" w:hAnsi="Times New Roman" w:cs="Times New Roman"/>
          <w:sz w:val="24"/>
          <w:szCs w:val="24"/>
        </w:rPr>
        <w:t xml:space="preserve"> que representam a diferença de gasto entre tratados e controle antes da Lei da Cota Parte. </w:t>
      </w:r>
      <w:r>
        <w:rPr>
          <w:rFonts w:ascii="Times New Roman" w:eastAsia="Times New Roman" w:hAnsi="Times New Roman" w:cs="Times New Roman"/>
          <w:sz w:val="24"/>
          <w:szCs w:val="24"/>
        </w:rPr>
        <w:t xml:space="preserve">O </w:t>
      </w:r>
      <w:r w:rsidRPr="00B56B5C">
        <w:rPr>
          <w:rFonts w:ascii="Times New Roman" w:eastAsia="Times New Roman" w:hAnsi="Times New Roman" w:cs="Times New Roman"/>
          <w:sz w:val="24"/>
          <w:szCs w:val="24"/>
        </w:rPr>
        <w:t xml:space="preserve">parâmetro de interesse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β</m:t>
            </m:r>
          </m:e>
          <m:sub>
            <m:r>
              <w:rPr>
                <w:rFonts w:ascii="Cambria Math" w:eastAsia="Times New Roman" w:hAnsi="Cambria Math" w:cs="Times New Roman"/>
                <w:sz w:val="24"/>
                <w:szCs w:val="24"/>
              </w:rPr>
              <m:t>2t</m:t>
            </m:r>
          </m:sub>
        </m:sSub>
      </m:oMath>
      <w:r w:rsidRPr="00B56B5C">
        <w:rPr>
          <w:rFonts w:ascii="Times New Roman" w:eastAsia="Times New Roman" w:hAnsi="Times New Roman" w:cs="Times New Roman"/>
          <w:sz w:val="24"/>
          <w:szCs w:val="24"/>
        </w:rPr>
        <w:t xml:space="preserve">  indica as diferenças de gasto entre os municípios tratados e controle após a implementação da Lei da Cota Parte.</w:t>
      </w:r>
    </w:p>
    <w:p w14:paraId="5A5B1B2C" w14:textId="77777777" w:rsidR="0023592F" w:rsidRPr="0093051B" w:rsidRDefault="0023592F" w:rsidP="0023592F">
      <w:pPr>
        <w:jc w:val="both"/>
        <w:rPr>
          <w:rFonts w:ascii="Times New Roman" w:eastAsia="Times New Roman" w:hAnsi="Times New Roman" w:cs="Times New Roman"/>
          <w:b/>
          <w:bCs/>
          <w:sz w:val="24"/>
          <w:szCs w:val="24"/>
        </w:rPr>
      </w:pPr>
      <w:r w:rsidRPr="0093051B">
        <w:rPr>
          <w:rFonts w:ascii="Times New Roman" w:eastAsia="Times New Roman" w:hAnsi="Times New Roman" w:cs="Times New Roman"/>
          <w:b/>
          <w:bCs/>
          <w:sz w:val="24"/>
          <w:szCs w:val="24"/>
        </w:rPr>
        <w:t>SLIDE 12 – ESTATRÉGIA 2</w:t>
      </w:r>
    </w:p>
    <w:p w14:paraId="4A019A32" w14:textId="7508D7F4" w:rsidR="0023592F" w:rsidRPr="00085EF5" w:rsidRDefault="00C361C3" w:rsidP="0023592F">
      <w:pPr>
        <w:spacing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Dividindo as escolas em cada município em 4 categorias a partir do SPECE – alfa de 2007 e u</w:t>
      </w:r>
      <w:r w:rsidR="0023592F">
        <w:rPr>
          <w:rFonts w:ascii="Times New Roman" w:eastAsia="Times New Roman" w:hAnsi="Times New Roman" w:cs="Times New Roman"/>
          <w:sz w:val="24"/>
          <w:szCs w:val="24"/>
        </w:rPr>
        <w:t xml:space="preserve">tilizando uma abordagem de </w:t>
      </w:r>
      <w:proofErr w:type="spellStart"/>
      <w:r w:rsidR="0023592F">
        <w:rPr>
          <w:rFonts w:ascii="Times New Roman" w:eastAsia="Times New Roman" w:hAnsi="Times New Roman" w:cs="Times New Roman"/>
          <w:sz w:val="24"/>
          <w:szCs w:val="24"/>
        </w:rPr>
        <w:t>dif</w:t>
      </w:r>
      <w:proofErr w:type="spellEnd"/>
      <w:r w:rsidR="0023592F">
        <w:rPr>
          <w:rFonts w:ascii="Times New Roman" w:eastAsia="Times New Roman" w:hAnsi="Times New Roman" w:cs="Times New Roman"/>
          <w:sz w:val="24"/>
          <w:szCs w:val="24"/>
        </w:rPr>
        <w:t xml:space="preserve"> in </w:t>
      </w:r>
      <w:proofErr w:type="spellStart"/>
      <w:r w:rsidR="0023592F">
        <w:rPr>
          <w:rFonts w:ascii="Times New Roman" w:eastAsia="Times New Roman" w:hAnsi="Times New Roman" w:cs="Times New Roman"/>
          <w:sz w:val="24"/>
          <w:szCs w:val="24"/>
        </w:rPr>
        <w:t>dif</w:t>
      </w:r>
      <w:proofErr w:type="spellEnd"/>
      <w:r w:rsidR="0023592F">
        <w:rPr>
          <w:rFonts w:ascii="Times New Roman" w:eastAsia="Times New Roman" w:hAnsi="Times New Roman" w:cs="Times New Roman"/>
          <w:sz w:val="24"/>
          <w:szCs w:val="24"/>
        </w:rPr>
        <w:t xml:space="preserve"> que explora </w:t>
      </w:r>
      <w:r w:rsidR="0023592F" w:rsidRPr="0023592F">
        <w:rPr>
          <w:rFonts w:ascii="Times New Roman" w:eastAsia="Times New Roman" w:hAnsi="Times New Roman" w:cs="Times New Roman"/>
          <w:sz w:val="24"/>
          <w:szCs w:val="24"/>
        </w:rPr>
        <w:t>a variabilidade na qualidade das escolas intermunicipalmente, mensurada antes da introdução da Lei</w:t>
      </w:r>
      <w:r w:rsidR="002359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Nosso</w:t>
      </w:r>
      <w:r w:rsidR="0023592F" w:rsidRPr="00B56B5C">
        <w:rPr>
          <w:rFonts w:ascii="Times New Roman" w:eastAsia="Times New Roman" w:hAnsi="Times New Roman" w:cs="Times New Roman"/>
          <w:sz w:val="24"/>
          <w:szCs w:val="24"/>
        </w:rPr>
        <w:t xml:space="preserve"> objetivo </w:t>
      </w:r>
      <w:r>
        <w:rPr>
          <w:rFonts w:ascii="Times New Roman" w:eastAsia="Times New Roman" w:hAnsi="Times New Roman" w:cs="Times New Roman"/>
          <w:sz w:val="24"/>
          <w:szCs w:val="24"/>
        </w:rPr>
        <w:t xml:space="preserve">será </w:t>
      </w:r>
      <w:r w:rsidR="0023592F" w:rsidRPr="00B56B5C">
        <w:rPr>
          <w:rFonts w:ascii="Times New Roman" w:eastAsia="Times New Roman" w:hAnsi="Times New Roman" w:cs="Times New Roman"/>
          <w:sz w:val="24"/>
          <w:szCs w:val="24"/>
        </w:rPr>
        <w:t xml:space="preserve">verificar se houve diferenças significativas entre as escolas de cada categoria que estão em municípios que em 2009 serão beneficiados ou não com a introdução da Lei da Cota Parte. Novamente, os municípios beneficiados foram obtidos pelo ranqueamento do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r>
          <w:rPr>
            <w:rFonts w:ascii="Cambria Math" w:eastAsia="Times New Roman" w:hAnsi="Cambria Math" w:cs="Times New Roman"/>
            <w:sz w:val="24"/>
            <w:szCs w:val="24"/>
          </w:rPr>
          <m:t>.</m:t>
        </m:r>
      </m:oMath>
      <w:r w:rsidR="0023592F" w:rsidRPr="00B56B5C">
        <w:rPr>
          <w:rFonts w:ascii="Times New Roman" w:eastAsia="Times New Roman" w:hAnsi="Times New Roman" w:cs="Times New Roman"/>
          <w:sz w:val="24"/>
          <w:szCs w:val="24"/>
        </w:rPr>
        <w:t xml:space="preserve"> Os municípios desta vez estão divididos em três grupos: Municípios que se beneficiaram</w:t>
      </w:r>
      <w:r>
        <w:rPr>
          <w:rFonts w:ascii="Times New Roman" w:eastAsia="Times New Roman" w:hAnsi="Times New Roman" w:cs="Times New Roman"/>
          <w:sz w:val="24"/>
          <w:szCs w:val="24"/>
        </w:rPr>
        <w:t xml:space="preserve">, </w:t>
      </w:r>
      <w:r w:rsidR="0023592F" w:rsidRPr="00B56B5C">
        <w:rPr>
          <w:rFonts w:ascii="Times New Roman" w:eastAsia="Times New Roman" w:hAnsi="Times New Roman" w:cs="Times New Roman"/>
          <w:sz w:val="24"/>
          <w:szCs w:val="24"/>
        </w:rPr>
        <w:t xml:space="preserve"> municípios neutros e municípios que apresentaram perdas em termos de recursos da cota parte com a nova forma de repartição. Essa separação levou em consideração os</w:t>
      </w:r>
      <w:r w:rsidR="0023592F">
        <w:rPr>
          <w:rFonts w:ascii="Times New Roman" w:eastAsia="Times New Roman" w:hAnsi="Times New Roman" w:cs="Times New Roman"/>
          <w:sz w:val="24"/>
          <w:szCs w:val="24"/>
        </w:rPr>
        <w:t xml:space="preserve"> tercis</w:t>
      </w:r>
      <w:r w:rsidR="0023592F" w:rsidRPr="00B56B5C">
        <w:rPr>
          <w:rFonts w:ascii="Times New Roman" w:eastAsia="Times New Roman" w:hAnsi="Times New Roman" w:cs="Times New Roman"/>
          <w:sz w:val="24"/>
          <w:szCs w:val="24"/>
        </w:rPr>
        <w:t xml:space="preserve"> em que os municípios se localizam de acordo com o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r>
          <w:rPr>
            <w:rFonts w:ascii="Cambria Math" w:eastAsia="Times New Roman" w:hAnsi="Cambria Math" w:cs="Times New Roman"/>
            <w:sz w:val="24"/>
            <w:szCs w:val="24"/>
          </w:rPr>
          <m:t>.</m:t>
        </m:r>
      </m:oMath>
      <w:r w:rsidR="0023592F" w:rsidRPr="00B56B5C">
        <w:rPr>
          <w:rFonts w:ascii="Times New Roman" w:eastAsia="Times New Roman" w:hAnsi="Times New Roman" w:cs="Times New Roman"/>
          <w:sz w:val="24"/>
          <w:szCs w:val="24"/>
        </w:rPr>
        <w:t xml:space="preserve"> Defin</w:t>
      </w:r>
      <w:r>
        <w:rPr>
          <w:rFonts w:ascii="Times New Roman" w:eastAsia="Times New Roman" w:hAnsi="Times New Roman" w:cs="Times New Roman"/>
          <w:sz w:val="24"/>
          <w:szCs w:val="24"/>
        </w:rPr>
        <w:t>indo</w:t>
      </w:r>
      <w:r w:rsidR="0023592F" w:rsidRPr="00B56B5C">
        <w:rPr>
          <w:rFonts w:ascii="Times New Roman" w:eastAsia="Times New Roman" w:hAnsi="Times New Roman" w:cs="Times New Roman"/>
          <w:sz w:val="24"/>
          <w:szCs w:val="24"/>
        </w:rPr>
        <w:t xml:space="preserve"> a variável indicadora </w:t>
      </w:r>
      <m:oMath>
        <m: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)=1</m:t>
        </m:r>
      </m:oMath>
      <w:r w:rsidR="0023592F" w:rsidRPr="00B56B5C">
        <w:rPr>
          <w:rFonts w:ascii="Times New Roman" w:eastAsia="Times New Roman" w:hAnsi="Times New Roman" w:cs="Times New Roman"/>
          <w:sz w:val="24"/>
          <w:szCs w:val="24"/>
        </w:rPr>
        <w:t xml:space="preserve"> se o município </w:t>
      </w:r>
      <m:oMath>
        <m:r>
          <w:rPr>
            <w:rFonts w:ascii="Cambria Math" w:eastAsia="Times New Roman" w:hAnsi="Cambria Math" w:cs="Times New Roman"/>
            <w:sz w:val="24"/>
            <w:szCs w:val="24"/>
          </w:rPr>
          <m:t>m</m:t>
        </m:r>
      </m:oMath>
      <w:r w:rsidR="0023592F" w:rsidRPr="00B56B5C">
        <w:rPr>
          <w:rFonts w:ascii="Times New Roman" w:eastAsia="Times New Roman" w:hAnsi="Times New Roman" w:cs="Times New Roman"/>
          <w:sz w:val="24"/>
          <w:szCs w:val="24"/>
        </w:rPr>
        <w:t xml:space="preserve"> está no grupo dos </w:t>
      </w:r>
      <w:r w:rsidR="0023592F">
        <w:rPr>
          <w:rFonts w:ascii="Times New Roman" w:eastAsia="Times New Roman" w:hAnsi="Times New Roman" w:cs="Times New Roman"/>
          <w:sz w:val="24"/>
          <w:szCs w:val="24"/>
        </w:rPr>
        <w:t>Beneficiados</w:t>
      </w:r>
      <w:r w:rsidR="0023592F" w:rsidRPr="00B56B5C">
        <w:rPr>
          <w:rFonts w:ascii="Times New Roman" w:eastAsia="Times New Roman" w:hAnsi="Times New Roman" w:cs="Times New Roman"/>
          <w:sz w:val="24"/>
          <w:szCs w:val="24"/>
        </w:rPr>
        <w:t xml:space="preserve"> e </w:t>
      </w:r>
      <m:oMath>
        <m: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)=0</m:t>
        </m:r>
      </m:oMath>
      <w:r w:rsidR="0023592F" w:rsidRPr="00B56B5C">
        <w:rPr>
          <w:rFonts w:ascii="Times New Roman" w:eastAsia="Times New Roman" w:hAnsi="Times New Roman" w:cs="Times New Roman"/>
          <w:sz w:val="24"/>
          <w:szCs w:val="24"/>
        </w:rPr>
        <w:t xml:space="preserve"> se o município </w:t>
      </w:r>
      <m:oMath>
        <m:r>
          <w:rPr>
            <w:rFonts w:ascii="Cambria Math" w:eastAsia="Times New Roman" w:hAnsi="Cambria Math" w:cs="Times New Roman"/>
            <w:sz w:val="24"/>
            <w:szCs w:val="24"/>
          </w:rPr>
          <m:t>m</m:t>
        </m:r>
      </m:oMath>
      <w:r w:rsidR="0023592F" w:rsidRPr="00B56B5C">
        <w:rPr>
          <w:rFonts w:ascii="Times New Roman" w:eastAsia="Times New Roman" w:hAnsi="Times New Roman" w:cs="Times New Roman"/>
          <w:sz w:val="24"/>
          <w:szCs w:val="24"/>
        </w:rPr>
        <w:t xml:space="preserve"> pertence ao grupo do</w:t>
      </w:r>
      <w:r w:rsidR="0023592F">
        <w:rPr>
          <w:rFonts w:ascii="Times New Roman" w:eastAsia="Times New Roman" w:hAnsi="Times New Roman" w:cs="Times New Roman"/>
          <w:sz w:val="24"/>
          <w:szCs w:val="24"/>
        </w:rPr>
        <w:t xml:space="preserve"> Prejudicados</w:t>
      </w:r>
    </w:p>
    <w:p w14:paraId="3A854A3B" w14:textId="2D0BE1D8" w:rsidR="0023592F" w:rsidRPr="00B56B5C" w:rsidRDefault="0023592F" w:rsidP="0023592F">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Consider</w:t>
      </w:r>
      <w:r w:rsidR="00C361C3">
        <w:rPr>
          <w:rFonts w:ascii="Times New Roman" w:eastAsia="Times New Roman" w:hAnsi="Times New Roman" w:cs="Times New Roman"/>
          <w:sz w:val="24"/>
          <w:szCs w:val="24"/>
        </w:rPr>
        <w:t>ando</w:t>
      </w:r>
      <w:r w:rsidRPr="00B56B5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qmt</m:t>
            </m:r>
          </m:sub>
        </m:sSub>
        <m:r>
          <w:rPr>
            <w:rFonts w:ascii="Cambria Math" w:eastAsia="Times New Roman" w:hAnsi="Cambria Math" w:cs="Times New Roman"/>
            <w:sz w:val="24"/>
            <w:szCs w:val="24"/>
          </w:rPr>
          <m:t xml:space="preserve"> </m:t>
        </m:r>
      </m:oMath>
      <w:r w:rsidRPr="00B56B5C">
        <w:rPr>
          <w:rFonts w:ascii="Times New Roman" w:eastAsia="Times New Roman" w:hAnsi="Times New Roman" w:cs="Times New Roman"/>
          <w:sz w:val="24"/>
          <w:szCs w:val="24"/>
        </w:rPr>
        <w:t xml:space="preserve">a performance média das escolas no SPAECE-Alfa do município </w:t>
      </w:r>
      <m:oMath>
        <m:r>
          <w:rPr>
            <w:rFonts w:ascii="Cambria Math" w:eastAsia="Times New Roman" w:hAnsi="Cambria Math" w:cs="Times New Roman"/>
            <w:sz w:val="24"/>
            <w:szCs w:val="24"/>
          </w:rPr>
          <m:t>m</m:t>
        </m:r>
      </m:oMath>
      <w:r w:rsidRPr="00B56B5C">
        <w:rPr>
          <w:rFonts w:ascii="Times New Roman" w:eastAsia="Times New Roman" w:hAnsi="Times New Roman" w:cs="Times New Roman"/>
          <w:sz w:val="24"/>
          <w:szCs w:val="24"/>
        </w:rPr>
        <w:t xml:space="preserve">, no tempo </w:t>
      </w:r>
      <m:oMath>
        <m:r>
          <w:rPr>
            <w:rFonts w:ascii="Cambria Math" w:eastAsia="Times New Roman" w:hAnsi="Cambria Math" w:cs="Times New Roman"/>
            <w:sz w:val="24"/>
            <w:szCs w:val="24"/>
          </w:rPr>
          <m:t>t</m:t>
        </m:r>
      </m:oMath>
      <w:r w:rsidRPr="00B56B5C">
        <w:rPr>
          <w:rFonts w:ascii="Times New Roman" w:eastAsia="Times New Roman" w:hAnsi="Times New Roman" w:cs="Times New Roman"/>
          <w:sz w:val="24"/>
          <w:szCs w:val="24"/>
        </w:rPr>
        <w:t xml:space="preserve"> e nas categorias </w:t>
      </w:r>
      <m:oMath>
        <m:r>
          <w:rPr>
            <w:rFonts w:ascii="Cambria Math" w:eastAsia="Times New Roman" w:hAnsi="Cambria Math" w:cs="Times New Roman"/>
            <w:sz w:val="24"/>
            <w:szCs w:val="24"/>
          </w:rPr>
          <m:t>Q=1, 2, 3, 4</m:t>
        </m:r>
      </m:oMath>
      <w:r w:rsidRPr="00B56B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 xml:space="preserve">O parâmetro de interesse é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β</m:t>
            </m:r>
          </m:e>
          <m:sub>
            <m:r>
              <w:rPr>
                <w:rFonts w:ascii="Cambria Math" w:eastAsia="Times New Roman" w:hAnsi="Cambria Math" w:cs="Times New Roman"/>
                <w:sz w:val="24"/>
                <w:szCs w:val="24"/>
              </w:rPr>
              <m:t>k</m:t>
            </m:r>
          </m:sub>
        </m:sSub>
      </m:oMath>
      <w:r w:rsidRPr="00B56B5C">
        <w:rPr>
          <w:rFonts w:ascii="Times New Roman" w:eastAsia="Times New Roman" w:hAnsi="Times New Roman" w:cs="Times New Roman"/>
          <w:sz w:val="24"/>
          <w:szCs w:val="24"/>
        </w:rPr>
        <w:t xml:space="preserve"> que mensura o efeito de dado município estar no grupo dos </w:t>
      </w:r>
      <w:r>
        <w:rPr>
          <w:rFonts w:ascii="Times New Roman" w:eastAsia="Times New Roman" w:hAnsi="Times New Roman" w:cs="Times New Roman"/>
          <w:sz w:val="24"/>
          <w:szCs w:val="24"/>
        </w:rPr>
        <w:t>Beneficiados</w:t>
      </w:r>
      <w:r w:rsidRPr="00B56B5C">
        <w:rPr>
          <w:rFonts w:ascii="Times New Roman" w:eastAsia="Times New Roman" w:hAnsi="Times New Roman" w:cs="Times New Roman"/>
          <w:sz w:val="24"/>
          <w:szCs w:val="24"/>
        </w:rPr>
        <w:t xml:space="preserve"> em comparação ao grupo dos </w:t>
      </w:r>
      <w:r>
        <w:rPr>
          <w:rFonts w:ascii="Times New Roman" w:eastAsia="Times New Roman" w:hAnsi="Times New Roman" w:cs="Times New Roman"/>
          <w:sz w:val="24"/>
          <w:szCs w:val="24"/>
        </w:rPr>
        <w:t>Prejudicado</w:t>
      </w:r>
      <w:r w:rsidRPr="00B56B5C">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oMath>
      <w:r w:rsidRPr="00B56B5C">
        <w:rPr>
          <w:rFonts w:ascii="Times New Roman" w:eastAsia="Times New Roman" w:hAnsi="Times New Roman" w:cs="Times New Roman"/>
          <w:sz w:val="24"/>
          <w:szCs w:val="24"/>
        </w:rPr>
        <w:t xml:space="preserve">) para cada categoria </w:t>
      </w:r>
      <m:oMath>
        <m:r>
          <w:rPr>
            <w:rFonts w:ascii="Cambria Math" w:eastAsia="Times New Roman" w:hAnsi="Cambria Math" w:cs="Times New Roman"/>
            <w:sz w:val="24"/>
            <w:szCs w:val="24"/>
          </w:rPr>
          <m:t>k</m:t>
        </m:r>
      </m:oMath>
      <w:r w:rsidRPr="00B56B5C">
        <w:rPr>
          <w:rFonts w:ascii="Times New Roman" w:eastAsia="Times New Roman" w:hAnsi="Times New Roman" w:cs="Times New Roman"/>
          <w:sz w:val="24"/>
          <w:szCs w:val="24"/>
        </w:rPr>
        <w:t xml:space="preserve"> das escolas.</w:t>
      </w:r>
      <w:r>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 xml:space="preserve">Assim, será comparado se existe efeito (positivo ou negativo) em ter alto ou baixo desempenho anterior </w:t>
      </w:r>
      <w:r>
        <w:rPr>
          <w:rFonts w:ascii="Times New Roman" w:eastAsia="Times New Roman" w:hAnsi="Times New Roman" w:cs="Times New Roman"/>
          <w:sz w:val="24"/>
          <w:szCs w:val="24"/>
        </w:rPr>
        <w:t>à</w:t>
      </w:r>
      <w:r w:rsidRPr="00B56B5C">
        <w:rPr>
          <w:rFonts w:ascii="Times New Roman" w:eastAsia="Times New Roman" w:hAnsi="Times New Roman" w:cs="Times New Roman"/>
          <w:sz w:val="24"/>
          <w:szCs w:val="24"/>
        </w:rPr>
        <w:t xml:space="preserve"> Lei da Cota Parte e estar em um município que foi Prejudicado ou Beneficiado pela Lei em termos de ganhos de recursos intragovernamentais.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τ</m:t>
            </m:r>
          </m:e>
          <m:sub>
            <m:r>
              <w:rPr>
                <w:rFonts w:ascii="Cambria Math" w:eastAsia="Times New Roman" w:hAnsi="Cambria Math" w:cs="Times New Roman"/>
                <w:sz w:val="24"/>
                <w:szCs w:val="24"/>
              </w:rPr>
              <m:t>t</m:t>
            </m:r>
          </m:sub>
        </m:sSub>
      </m:oMath>
      <w:r w:rsidRPr="00B56B5C">
        <w:rPr>
          <w:rFonts w:ascii="Times New Roman" w:eastAsia="Times New Roman" w:hAnsi="Times New Roman" w:cs="Times New Roman"/>
          <w:sz w:val="24"/>
          <w:szCs w:val="24"/>
        </w:rPr>
        <w:t xml:space="preserve"> representa efeitos fixos temporais 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θ</m:t>
            </m:r>
          </m:e>
          <m:sub>
            <m:r>
              <w:rPr>
                <w:rFonts w:ascii="Cambria Math" w:eastAsia="Times New Roman" w:hAnsi="Cambria Math" w:cs="Times New Roman"/>
                <w:sz w:val="24"/>
                <w:szCs w:val="24"/>
              </w:rPr>
              <m:t>mt</m:t>
            </m:r>
          </m:sub>
        </m:sSub>
      </m:oMath>
      <w:r w:rsidR="00C361C3">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os efeitos fixos municipais variantes no tempo.</w:t>
      </w:r>
      <w:r w:rsidRPr="00763D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Erros padrões foram estimados ao nível da escola.</w:t>
      </w:r>
    </w:p>
    <w:p w14:paraId="267D79A6" w14:textId="77777777" w:rsidR="0023592F" w:rsidRPr="00B56B5C" w:rsidRDefault="0023592F" w:rsidP="0023592F">
      <w:pPr>
        <w:spacing w:line="240" w:lineRule="auto"/>
        <w:jc w:val="both"/>
        <w:rPr>
          <w:rFonts w:ascii="Times New Roman" w:eastAsia="Times New Roman" w:hAnsi="Times New Roman" w:cs="Times New Roman"/>
          <w:sz w:val="24"/>
          <w:szCs w:val="24"/>
        </w:rPr>
      </w:pPr>
      <w:r w:rsidRPr="009558E7">
        <w:rPr>
          <w:rFonts w:ascii="Times New Roman" w:eastAsia="Times New Roman" w:hAnsi="Times New Roman" w:cs="Times New Roman"/>
          <w:sz w:val="24"/>
          <w:szCs w:val="24"/>
          <w:highlight w:val="yellow"/>
        </w:rPr>
        <w:t xml:space="preserve">A estimativa do parâmetro </w:t>
      </w:r>
      <m:oMath>
        <m:sSub>
          <m:sSubPr>
            <m:ctrlPr>
              <w:rPr>
                <w:rFonts w:ascii="Cambria Math" w:eastAsia="Times New Roman" w:hAnsi="Cambria Math" w:cs="Times New Roman"/>
                <w:sz w:val="24"/>
                <w:szCs w:val="24"/>
                <w:highlight w:val="yellow"/>
              </w:rPr>
            </m:ctrlPr>
          </m:sSubPr>
          <m:e>
            <m:r>
              <w:rPr>
                <w:rFonts w:ascii="Cambria Math" w:hAnsi="Cambria Math" w:cs="Times New Roman"/>
                <w:sz w:val="24"/>
                <w:szCs w:val="24"/>
                <w:highlight w:val="yellow"/>
              </w:rPr>
              <m:t>β</m:t>
            </m:r>
          </m:e>
          <m:sub>
            <m:r>
              <w:rPr>
                <w:rFonts w:ascii="Cambria Math" w:eastAsia="Times New Roman" w:hAnsi="Cambria Math" w:cs="Times New Roman"/>
                <w:sz w:val="24"/>
                <w:szCs w:val="24"/>
                <w:highlight w:val="yellow"/>
              </w:rPr>
              <m:t>k</m:t>
            </m:r>
          </m:sub>
        </m:sSub>
      </m:oMath>
      <w:r w:rsidRPr="009558E7">
        <w:rPr>
          <w:rFonts w:ascii="Times New Roman" w:eastAsia="Times New Roman" w:hAnsi="Times New Roman" w:cs="Times New Roman"/>
          <w:sz w:val="24"/>
          <w:szCs w:val="24"/>
          <w:highlight w:val="yellow"/>
        </w:rPr>
        <w:t xml:space="preserve"> pode ser considerada causal por dois motivos: Primeiro, a introdução da Lei da Cota Parte no final do ano de 2007 potencialmente não afetou a performance das escolas neste mesmo ano, pois o exame do SPAECE-Alfa foi realizado antes da promulgação da Lei da Cota Parte. </w:t>
      </w:r>
      <w:proofErr w:type="gramStart"/>
      <w:r w:rsidRPr="009558E7">
        <w:rPr>
          <w:rFonts w:ascii="Times New Roman" w:eastAsia="Times New Roman" w:hAnsi="Times New Roman" w:cs="Times New Roman"/>
          <w:sz w:val="24"/>
          <w:szCs w:val="24"/>
          <w:highlight w:val="yellow"/>
        </w:rPr>
        <w:t>Segundo, a</w:t>
      </w:r>
      <w:proofErr w:type="gramEnd"/>
      <w:r w:rsidRPr="009558E7">
        <w:rPr>
          <w:rFonts w:ascii="Times New Roman" w:eastAsia="Times New Roman" w:hAnsi="Times New Roman" w:cs="Times New Roman"/>
          <w:sz w:val="24"/>
          <w:szCs w:val="24"/>
          <w:highlight w:val="yellow"/>
        </w:rPr>
        <w:t xml:space="preserve"> introdução da Lei da Cota Parte pode ser considerada exógena temporalmente à performance educacional das escolas em cada município.</w:t>
      </w:r>
    </w:p>
    <w:p w14:paraId="36B0A255" w14:textId="49389AAE" w:rsidR="0023592F" w:rsidRDefault="0023592F" w:rsidP="0023592F">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Uma limitação desta abordagem</w:t>
      </w:r>
      <w:r>
        <w:rPr>
          <w:rFonts w:ascii="Times New Roman" w:eastAsia="Times New Roman" w:hAnsi="Times New Roman" w:cs="Times New Roman"/>
          <w:sz w:val="24"/>
          <w:szCs w:val="24"/>
        </w:rPr>
        <w:t xml:space="preserve"> é a </w:t>
      </w:r>
      <w:r w:rsidRPr="00B56B5C">
        <w:rPr>
          <w:rFonts w:ascii="Times New Roman" w:eastAsia="Times New Roman" w:hAnsi="Times New Roman" w:cs="Times New Roman"/>
          <w:sz w:val="24"/>
          <w:szCs w:val="24"/>
        </w:rPr>
        <w:t>possibilidade de as escolas entre as categorias não serem comparáveis entre si</w:t>
      </w:r>
      <w:r>
        <w:rPr>
          <w:rFonts w:ascii="Times New Roman" w:eastAsia="Times New Roman" w:hAnsi="Times New Roman" w:cs="Times New Roman"/>
          <w:sz w:val="24"/>
          <w:szCs w:val="24"/>
        </w:rPr>
        <w:t xml:space="preserve"> antes da introdução da LCP</w:t>
      </w:r>
      <w:r w:rsidRPr="00B56B5C">
        <w:rPr>
          <w:rFonts w:ascii="Times New Roman" w:eastAsia="Times New Roman" w:hAnsi="Times New Roman" w:cs="Times New Roman"/>
          <w:sz w:val="24"/>
          <w:szCs w:val="24"/>
        </w:rPr>
        <w:t>. Para contornar esse problema são adotadas duas estratégias. Primeiro, é acrescentado um grande conjunto de variáveis de controle pré-determinadas relativas ao ano de 200</w:t>
      </w:r>
      <w:r>
        <w:rPr>
          <w:rFonts w:ascii="Times New Roman" w:eastAsia="Times New Roman" w:hAnsi="Times New Roman" w:cs="Times New Roman"/>
          <w:sz w:val="24"/>
          <w:szCs w:val="24"/>
        </w:rPr>
        <w:t>8</w:t>
      </w:r>
      <w:r w:rsidRPr="00B56B5C">
        <w:rPr>
          <w:rFonts w:ascii="Times New Roman" w:eastAsia="Times New Roman" w:hAnsi="Times New Roman" w:cs="Times New Roman"/>
          <w:sz w:val="24"/>
          <w:szCs w:val="24"/>
        </w:rPr>
        <w:t>. Isso permite controlar para características observáveis entre as escolas mensuradas antes da introdução da LCP. Segundo, é realizado um pareamento por Entropia (Hainmueller, 2012) utilizando variáveis pré-determinadas para o ano de 200</w:t>
      </w:r>
      <w:r>
        <w:rPr>
          <w:rFonts w:ascii="Times New Roman" w:eastAsia="Times New Roman" w:hAnsi="Times New Roman" w:cs="Times New Roman"/>
          <w:sz w:val="24"/>
          <w:szCs w:val="24"/>
        </w:rPr>
        <w:t>8</w:t>
      </w:r>
      <w:r w:rsidRPr="00B56B5C">
        <w:rPr>
          <w:rFonts w:ascii="Times New Roman" w:eastAsia="Times New Roman" w:hAnsi="Times New Roman" w:cs="Times New Roman"/>
          <w:sz w:val="24"/>
          <w:szCs w:val="24"/>
        </w:rPr>
        <w:t xml:space="preserve"> ao nível da escola. Ambos os procedimentos têm o objetivo de permitir que tais escolas sejam comparáveis em cada categoria </w:t>
      </w:r>
      <m:oMath>
        <m:r>
          <w:rPr>
            <w:rFonts w:ascii="Cambria Math" w:eastAsia="Times New Roman" w:hAnsi="Cambria Math" w:cs="Times New Roman"/>
            <w:sz w:val="24"/>
            <w:szCs w:val="24"/>
          </w:rPr>
          <m:t>k</m:t>
        </m:r>
      </m:oMath>
      <w:r w:rsidRPr="00B56B5C">
        <w:rPr>
          <w:rFonts w:ascii="Times New Roman" w:eastAsia="Times New Roman" w:hAnsi="Times New Roman" w:cs="Times New Roman"/>
          <w:sz w:val="24"/>
          <w:szCs w:val="24"/>
        </w:rPr>
        <w:t xml:space="preserve">. </w:t>
      </w:r>
    </w:p>
    <w:p w14:paraId="3150663B" w14:textId="77777777" w:rsidR="0023592F" w:rsidRPr="008D7293" w:rsidRDefault="0023592F" w:rsidP="0023592F">
      <w:pPr>
        <w:spacing w:line="240" w:lineRule="auto"/>
        <w:jc w:val="both"/>
        <w:rPr>
          <w:rFonts w:ascii="Times New Roman" w:eastAsia="Times New Roman" w:hAnsi="Times New Roman" w:cs="Times New Roman"/>
          <w:b/>
          <w:bCs/>
          <w:sz w:val="24"/>
          <w:szCs w:val="24"/>
        </w:rPr>
      </w:pPr>
      <w:r w:rsidRPr="008D7293">
        <w:rPr>
          <w:rFonts w:ascii="Times New Roman" w:eastAsia="Times New Roman" w:hAnsi="Times New Roman" w:cs="Times New Roman"/>
          <w:b/>
          <w:bCs/>
          <w:sz w:val="24"/>
          <w:szCs w:val="24"/>
        </w:rPr>
        <w:t>SLIDE 15 – EFEITO SOBRE O GASTO TOTAL</w:t>
      </w:r>
    </w:p>
    <w:p w14:paraId="746EA69E" w14:textId="77777777" w:rsidR="0023592F" w:rsidRPr="00B56B5C" w:rsidRDefault="0023592F" w:rsidP="0023592F">
      <w:pPr>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Observe que as estimativas anteriores </w:t>
      </w:r>
      <w:r>
        <w:rPr>
          <w:rFonts w:ascii="Times New Roman" w:eastAsia="Times New Roman" w:hAnsi="Times New Roman" w:cs="Times New Roman"/>
          <w:sz w:val="24"/>
          <w:szCs w:val="24"/>
        </w:rPr>
        <w:t>à</w:t>
      </w:r>
      <w:r w:rsidRPr="00B56B5C">
        <w:rPr>
          <w:rFonts w:ascii="Times New Roman" w:eastAsia="Times New Roman" w:hAnsi="Times New Roman" w:cs="Times New Roman"/>
          <w:sz w:val="24"/>
          <w:szCs w:val="24"/>
        </w:rPr>
        <w:t xml:space="preserve"> implementação da Lei da Cota Parte (demarcada pela linha pontilhada em vermelho) são não significativas. Isso é uma evidência favorável </w:t>
      </w:r>
      <w:r>
        <w:rPr>
          <w:rFonts w:ascii="Times New Roman" w:eastAsia="Times New Roman" w:hAnsi="Times New Roman" w:cs="Times New Roman"/>
          <w:sz w:val="24"/>
          <w:szCs w:val="24"/>
        </w:rPr>
        <w:t>à</w:t>
      </w:r>
      <w:r w:rsidRPr="00B56B5C">
        <w:rPr>
          <w:rFonts w:ascii="Times New Roman" w:eastAsia="Times New Roman" w:hAnsi="Times New Roman" w:cs="Times New Roman"/>
          <w:sz w:val="24"/>
          <w:szCs w:val="24"/>
        </w:rPr>
        <w:t xml:space="preserve"> hipótese de tendências paralelas requerida para a validade da estratégia da diferença em diferença. As estimativas informam que não havia diferença entre os gastos totais do</w:t>
      </w:r>
      <w:r>
        <w:rPr>
          <w:rFonts w:ascii="Times New Roman" w:eastAsia="Times New Roman" w:hAnsi="Times New Roman" w:cs="Times New Roman"/>
          <w:sz w:val="24"/>
          <w:szCs w:val="24"/>
        </w:rPr>
        <w:t>s municípios</w:t>
      </w:r>
      <w:r w:rsidRPr="00B56B5C">
        <w:rPr>
          <w:rFonts w:ascii="Times New Roman" w:eastAsia="Times New Roman" w:hAnsi="Times New Roman" w:cs="Times New Roman"/>
          <w:sz w:val="24"/>
          <w:szCs w:val="24"/>
        </w:rPr>
        <w:t xml:space="preserve"> com elevada performance educacional em comparação aos demais municípios antes da introdução da LCP.</w:t>
      </w:r>
      <w:r>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 xml:space="preserve">Analisando as estimativas posteriores </w:t>
      </w:r>
      <w:r>
        <w:rPr>
          <w:rFonts w:ascii="Times New Roman" w:eastAsia="Times New Roman" w:hAnsi="Times New Roman" w:cs="Times New Roman"/>
          <w:sz w:val="24"/>
          <w:szCs w:val="24"/>
        </w:rPr>
        <w:t>à</w:t>
      </w:r>
      <w:r w:rsidRPr="00B56B5C">
        <w:rPr>
          <w:rFonts w:ascii="Times New Roman" w:eastAsia="Times New Roman" w:hAnsi="Times New Roman" w:cs="Times New Roman"/>
          <w:sz w:val="24"/>
          <w:szCs w:val="24"/>
        </w:rPr>
        <w:t xml:space="preserve"> implementação do programa, percebe-se que o gasto total municipal aumentou em aproximadamente R$1,96 centavos a cada real recebido pelo município decorrente</w:t>
      </w:r>
      <w:r>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 xml:space="preserve">da distribuição da cota parte do ICMS. Essa evidência sugere que a Lei produziu um aumento relevante dos gastos totais, maior do que a quantidade monetária recebida inicialmente. </w:t>
      </w:r>
    </w:p>
    <w:p w14:paraId="53FAFCA6" w14:textId="0180DD8C" w:rsidR="0023592F" w:rsidRDefault="0023592F" w:rsidP="0023592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Observa-se então a existência de um</w:t>
      </w:r>
      <w:r w:rsidRPr="00B56B5C">
        <w:rPr>
          <w:rFonts w:ascii="Times New Roman" w:eastAsia="Times New Roman" w:hAnsi="Times New Roman" w:cs="Times New Roman"/>
          <w:sz w:val="24"/>
          <w:szCs w:val="24"/>
        </w:rPr>
        <w:t xml:space="preserve"> </w:t>
      </w:r>
      <w:r w:rsidRPr="00763DBD">
        <w:rPr>
          <w:rFonts w:ascii="Times New Roman" w:eastAsia="Times New Roman" w:hAnsi="Times New Roman" w:cs="Times New Roman"/>
          <w:i/>
          <w:iCs/>
          <w:sz w:val="24"/>
          <w:szCs w:val="24"/>
        </w:rPr>
        <w:t xml:space="preserve">Efeito </w:t>
      </w:r>
      <w:proofErr w:type="spellStart"/>
      <w:r w:rsidRPr="00763DBD">
        <w:rPr>
          <w:rFonts w:ascii="Times New Roman" w:eastAsia="Times New Roman" w:hAnsi="Times New Roman" w:cs="Times New Roman"/>
          <w:i/>
          <w:iCs/>
          <w:sz w:val="24"/>
          <w:szCs w:val="24"/>
        </w:rPr>
        <w:t>Flypaper</w:t>
      </w:r>
      <w:proofErr w:type="spellEnd"/>
      <w:r>
        <w:rPr>
          <w:rFonts w:ascii="Times New Roman" w:eastAsia="Times New Roman" w:hAnsi="Times New Roman" w:cs="Times New Roman"/>
          <w:i/>
          <w:iCs/>
          <w:sz w:val="24"/>
          <w:szCs w:val="24"/>
        </w:rPr>
        <w:t xml:space="preserve">. </w:t>
      </w:r>
      <w:r w:rsidRPr="00B56B5C">
        <w:rPr>
          <w:rFonts w:ascii="Times New Roman" w:eastAsia="Times New Roman" w:hAnsi="Times New Roman" w:cs="Times New Roman"/>
          <w:sz w:val="24"/>
          <w:szCs w:val="24"/>
        </w:rPr>
        <w:t>No caso cearense, percebe-se que os municípios quase dobraram seus gastos totais frente a um aumento de recursos da LCP. Além disso, e talvez mais importante, tal elevação no gasto total é persistente no tempo</w:t>
      </w:r>
      <w:r>
        <w:rPr>
          <w:rFonts w:ascii="Times New Roman" w:eastAsia="Times New Roman" w:hAnsi="Times New Roman" w:cs="Times New Roman"/>
          <w:sz w:val="24"/>
          <w:szCs w:val="24"/>
        </w:rPr>
        <w:t>.</w:t>
      </w:r>
    </w:p>
    <w:p w14:paraId="5EBB52E1" w14:textId="77777777" w:rsidR="0023592F" w:rsidRPr="008D7293" w:rsidRDefault="0023592F" w:rsidP="0023592F">
      <w:pPr>
        <w:spacing w:line="240" w:lineRule="auto"/>
        <w:jc w:val="both"/>
        <w:rPr>
          <w:rFonts w:ascii="Times New Roman" w:eastAsia="Times New Roman" w:hAnsi="Times New Roman" w:cs="Times New Roman"/>
          <w:b/>
          <w:bCs/>
          <w:sz w:val="24"/>
          <w:szCs w:val="24"/>
        </w:rPr>
      </w:pPr>
      <w:r w:rsidRPr="008D7293">
        <w:rPr>
          <w:rFonts w:ascii="Times New Roman" w:eastAsia="Times New Roman" w:hAnsi="Times New Roman" w:cs="Times New Roman"/>
          <w:b/>
          <w:bCs/>
          <w:sz w:val="24"/>
          <w:szCs w:val="24"/>
        </w:rPr>
        <w:t>SLIDE 16 – EFEITO GASTO EM EDUCAÇÃO E NO ENSINO FUNDAMENTAL</w:t>
      </w:r>
    </w:p>
    <w:p w14:paraId="53677521" w14:textId="77777777" w:rsidR="0023592F" w:rsidRDefault="0023592F" w:rsidP="002359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painel A, temos o</w:t>
      </w:r>
      <w:r w:rsidRPr="00B56B5C">
        <w:rPr>
          <w:rFonts w:ascii="Times New Roman" w:eastAsia="Times New Roman" w:hAnsi="Times New Roman" w:cs="Times New Roman"/>
          <w:sz w:val="24"/>
          <w:szCs w:val="24"/>
        </w:rPr>
        <w:t xml:space="preserve"> gasto em educação</w:t>
      </w:r>
      <w:r>
        <w:rPr>
          <w:rFonts w:ascii="Times New Roman" w:eastAsia="Times New Roman" w:hAnsi="Times New Roman" w:cs="Times New Roman"/>
          <w:sz w:val="24"/>
          <w:szCs w:val="24"/>
        </w:rPr>
        <w:t>, que inclui</w:t>
      </w:r>
      <w:r w:rsidRPr="00B56B5C">
        <w:rPr>
          <w:rFonts w:ascii="Times New Roman" w:eastAsia="Times New Roman" w:hAnsi="Times New Roman" w:cs="Times New Roman"/>
          <w:sz w:val="24"/>
          <w:szCs w:val="24"/>
        </w:rPr>
        <w:t xml:space="preserve"> todos os tipos de oferta educacional que o município realiz</w:t>
      </w:r>
      <w:r>
        <w:rPr>
          <w:rFonts w:ascii="Times New Roman" w:eastAsia="Times New Roman" w:hAnsi="Times New Roman" w:cs="Times New Roman"/>
          <w:sz w:val="24"/>
          <w:szCs w:val="24"/>
        </w:rPr>
        <w:t>a.</w:t>
      </w:r>
      <w:r w:rsidRPr="00B56B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Percebe-se um </w:t>
      </w:r>
      <w:r w:rsidRPr="00B56B5C">
        <w:rPr>
          <w:rFonts w:ascii="Times New Roman" w:eastAsia="Times New Roman" w:hAnsi="Times New Roman" w:cs="Times New Roman"/>
          <w:sz w:val="24"/>
          <w:szCs w:val="24"/>
        </w:rPr>
        <w:t>aumento marginalmente em decorrência da Lei. A estimativa média é um aumento de R$0,46 centavos por cada real recebido pela cota parte no ano de 2009. No entanto, o gasto no ensino fundamental</w:t>
      </w:r>
      <w:r>
        <w:rPr>
          <w:rFonts w:ascii="Times New Roman" w:eastAsia="Times New Roman" w:hAnsi="Times New Roman" w:cs="Times New Roman"/>
          <w:sz w:val="24"/>
          <w:szCs w:val="24"/>
        </w:rPr>
        <w:t>, apresentado no Painel B</w:t>
      </w:r>
      <w:r w:rsidRPr="00B56B5C">
        <w:rPr>
          <w:rFonts w:ascii="Times New Roman" w:eastAsia="Times New Roman" w:hAnsi="Times New Roman" w:cs="Times New Roman"/>
          <w:sz w:val="24"/>
          <w:szCs w:val="24"/>
        </w:rPr>
        <w:t xml:space="preserve"> não apresentou estimativas significativas em quase todos os anos após a introdução da Lei. Em média o resultado para o ensino fundamental foi um aumento de R$ 0,23 centavos para cada real distribuído. </w:t>
      </w:r>
    </w:p>
    <w:p w14:paraId="3BCEC4CB" w14:textId="1359938D" w:rsidR="0023592F" w:rsidRDefault="0023592F" w:rsidP="002359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w:t>
      </w:r>
      <w:r w:rsidRPr="00B56B5C">
        <w:rPr>
          <w:rFonts w:ascii="Times New Roman" w:eastAsia="Times New Roman" w:hAnsi="Times New Roman" w:cs="Times New Roman"/>
          <w:sz w:val="24"/>
          <w:szCs w:val="24"/>
        </w:rPr>
        <w:t xml:space="preserve"> resultados apontam</w:t>
      </w:r>
      <w:r>
        <w:rPr>
          <w:rFonts w:ascii="Times New Roman" w:eastAsia="Times New Roman" w:hAnsi="Times New Roman" w:cs="Times New Roman"/>
          <w:sz w:val="24"/>
          <w:szCs w:val="24"/>
        </w:rPr>
        <w:t xml:space="preserve"> que </w:t>
      </w:r>
      <w:r w:rsidRPr="00B56B5C">
        <w:rPr>
          <w:rFonts w:ascii="Times New Roman" w:eastAsia="Times New Roman" w:hAnsi="Times New Roman" w:cs="Times New Roman"/>
          <w:sz w:val="24"/>
          <w:szCs w:val="24"/>
        </w:rPr>
        <w:t>a Lei</w:t>
      </w:r>
      <w:r>
        <w:rPr>
          <w:rFonts w:ascii="Times New Roman" w:eastAsia="Times New Roman" w:hAnsi="Times New Roman" w:cs="Times New Roman"/>
          <w:sz w:val="24"/>
          <w:szCs w:val="24"/>
        </w:rPr>
        <w:t>,</w:t>
      </w:r>
      <w:r w:rsidRPr="00B56B5C">
        <w:rPr>
          <w:rFonts w:ascii="Times New Roman" w:eastAsia="Times New Roman" w:hAnsi="Times New Roman" w:cs="Times New Roman"/>
          <w:sz w:val="24"/>
          <w:szCs w:val="24"/>
        </w:rPr>
        <w:t xml:space="preserve"> de fato</w:t>
      </w:r>
      <w:r>
        <w:rPr>
          <w:rFonts w:ascii="Times New Roman" w:eastAsia="Times New Roman" w:hAnsi="Times New Roman" w:cs="Times New Roman"/>
          <w:sz w:val="24"/>
          <w:szCs w:val="24"/>
        </w:rPr>
        <w:t>,</w:t>
      </w:r>
      <w:r w:rsidRPr="00B56B5C">
        <w:rPr>
          <w:rFonts w:ascii="Times New Roman" w:eastAsia="Times New Roman" w:hAnsi="Times New Roman" w:cs="Times New Roman"/>
          <w:sz w:val="24"/>
          <w:szCs w:val="24"/>
        </w:rPr>
        <w:t xml:space="preserve"> incentivou mais o gasto não educacional do que o gasto em educação para os municípios beneficiados com o programa</w:t>
      </w:r>
      <w:r>
        <w:rPr>
          <w:rFonts w:ascii="Times New Roman" w:eastAsia="Times New Roman" w:hAnsi="Times New Roman" w:cs="Times New Roman"/>
          <w:sz w:val="24"/>
          <w:szCs w:val="24"/>
        </w:rPr>
        <w:t xml:space="preserve">. </w:t>
      </w:r>
      <w:r w:rsidRPr="00A06E82">
        <w:rPr>
          <w:rFonts w:ascii="Times New Roman" w:eastAsia="Times New Roman" w:hAnsi="Times New Roman" w:cs="Times New Roman"/>
          <w:sz w:val="24"/>
          <w:szCs w:val="24"/>
        </w:rPr>
        <w:t>É realizado um exercício de robustez para os resultados para os gastos públicos. Contudo por uma questão de tempo, nós decidimos omitir essa seção na apresentação</w:t>
      </w:r>
      <w:r>
        <w:rPr>
          <w:rFonts w:ascii="Times New Roman" w:eastAsia="Times New Roman" w:hAnsi="Times New Roman" w:cs="Times New Roman"/>
          <w:sz w:val="24"/>
          <w:szCs w:val="24"/>
        </w:rPr>
        <w:t>.</w:t>
      </w:r>
    </w:p>
    <w:p w14:paraId="06607AA3" w14:textId="77777777" w:rsidR="0023592F" w:rsidRDefault="0023592F" w:rsidP="0023592F">
      <w:pPr>
        <w:autoSpaceDE w:val="0"/>
        <w:autoSpaceDN w:val="0"/>
        <w:adjustRightInd w:val="0"/>
        <w:spacing w:after="0" w:line="240" w:lineRule="auto"/>
        <w:jc w:val="both"/>
        <w:rPr>
          <w:rFonts w:ascii="Times New Roman" w:eastAsia="Times New Roman" w:hAnsi="Times New Roman" w:cs="Times New Roman"/>
          <w:sz w:val="24"/>
          <w:szCs w:val="24"/>
        </w:rPr>
      </w:pPr>
    </w:p>
    <w:p w14:paraId="3E4D7F5B" w14:textId="77777777" w:rsidR="0023592F" w:rsidRDefault="0023592F" w:rsidP="0023592F">
      <w:pPr>
        <w:autoSpaceDE w:val="0"/>
        <w:autoSpaceDN w:val="0"/>
        <w:adjustRightInd w:val="0"/>
        <w:spacing w:after="0" w:line="240" w:lineRule="auto"/>
        <w:jc w:val="both"/>
        <w:rPr>
          <w:rFonts w:ascii="Times New Roman" w:eastAsia="Times New Roman" w:hAnsi="Times New Roman" w:cs="Times New Roman"/>
          <w:sz w:val="24"/>
          <w:szCs w:val="24"/>
        </w:rPr>
      </w:pPr>
    </w:p>
    <w:p w14:paraId="3E1B8C1E" w14:textId="77777777" w:rsidR="0023592F" w:rsidRPr="00633C42" w:rsidRDefault="0023592F" w:rsidP="0023592F">
      <w:pPr>
        <w:spacing w:line="240" w:lineRule="auto"/>
        <w:jc w:val="both"/>
        <w:rPr>
          <w:rFonts w:ascii="Times New Roman" w:eastAsia="Times New Roman" w:hAnsi="Times New Roman" w:cs="Times New Roman"/>
          <w:b/>
          <w:bCs/>
          <w:sz w:val="24"/>
          <w:szCs w:val="24"/>
        </w:rPr>
      </w:pPr>
      <w:r w:rsidRPr="00633C42">
        <w:rPr>
          <w:rFonts w:ascii="Times New Roman" w:eastAsia="Times New Roman" w:hAnsi="Times New Roman" w:cs="Times New Roman"/>
          <w:b/>
          <w:bCs/>
          <w:sz w:val="24"/>
          <w:szCs w:val="24"/>
        </w:rPr>
        <w:t>SLIDE 19 – RESULTADOS EDUCACIONAIS</w:t>
      </w:r>
    </w:p>
    <w:p w14:paraId="41DB2E5E" w14:textId="77777777" w:rsidR="0023592F" w:rsidRDefault="0023592F" w:rsidP="0023592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resultados </w:t>
      </w:r>
      <w:r w:rsidRPr="00B56B5C">
        <w:rPr>
          <w:rFonts w:ascii="Times New Roman" w:eastAsia="Times New Roman" w:hAnsi="Times New Roman" w:cs="Times New Roman"/>
          <w:sz w:val="24"/>
          <w:szCs w:val="24"/>
        </w:rPr>
        <w:t>analisa</w:t>
      </w:r>
      <w:r>
        <w:rPr>
          <w:rFonts w:ascii="Times New Roman" w:eastAsia="Times New Roman" w:hAnsi="Times New Roman" w:cs="Times New Roman"/>
          <w:sz w:val="24"/>
          <w:szCs w:val="24"/>
        </w:rPr>
        <w:t>m o</w:t>
      </w:r>
      <w:r w:rsidRPr="00B56B5C">
        <w:rPr>
          <w:rFonts w:ascii="Times New Roman" w:eastAsia="Times New Roman" w:hAnsi="Times New Roman" w:cs="Times New Roman"/>
          <w:sz w:val="24"/>
          <w:szCs w:val="24"/>
        </w:rPr>
        <w:t xml:space="preserve"> impacto da interação entre proficiência prévia das escolas e o repasse da cota parte. Contudo </w:t>
      </w:r>
      <w:r>
        <w:rPr>
          <w:rFonts w:ascii="Times New Roman" w:eastAsia="Times New Roman" w:hAnsi="Times New Roman" w:cs="Times New Roman"/>
          <w:sz w:val="24"/>
          <w:szCs w:val="24"/>
        </w:rPr>
        <w:t>n</w:t>
      </w:r>
      <w:r w:rsidRPr="00B56B5C">
        <w:rPr>
          <w:rFonts w:ascii="Times New Roman" w:eastAsia="Times New Roman" w:hAnsi="Times New Roman" w:cs="Times New Roman"/>
          <w:sz w:val="24"/>
          <w:szCs w:val="24"/>
        </w:rPr>
        <w:t>o</w:t>
      </w:r>
      <w:r>
        <w:rPr>
          <w:rFonts w:ascii="Times New Roman" w:eastAsia="Times New Roman" w:hAnsi="Times New Roman" w:cs="Times New Roman"/>
          <w:sz w:val="24"/>
          <w:szCs w:val="24"/>
        </w:rPr>
        <w:t>sso</w:t>
      </w:r>
      <w:r w:rsidRPr="00B56B5C">
        <w:rPr>
          <w:rFonts w:ascii="Times New Roman" w:eastAsia="Times New Roman" w:hAnsi="Times New Roman" w:cs="Times New Roman"/>
          <w:sz w:val="24"/>
          <w:szCs w:val="24"/>
        </w:rPr>
        <w:t xml:space="preserve"> enfoque será </w:t>
      </w:r>
      <w:r>
        <w:rPr>
          <w:rFonts w:ascii="Times New Roman" w:eastAsia="Times New Roman" w:hAnsi="Times New Roman" w:cs="Times New Roman"/>
          <w:sz w:val="24"/>
          <w:szCs w:val="24"/>
        </w:rPr>
        <w:t>nos</w:t>
      </w:r>
      <w:r w:rsidRPr="00B56B5C">
        <w:rPr>
          <w:rFonts w:ascii="Times New Roman" w:eastAsia="Times New Roman" w:hAnsi="Times New Roman" w:cs="Times New Roman"/>
          <w:sz w:val="24"/>
          <w:szCs w:val="24"/>
        </w:rPr>
        <w:t xml:space="preserve"> municípios que foram beneficiados em relação aos municípios que foram prejudicados com a introdução da LCP. Esta diferença será comparada em grupos de escolas com níveis semelhantes de proficiência prévia no 2º ano do Ensino Fundamental.</w:t>
      </w:r>
    </w:p>
    <w:p w14:paraId="108EB354" w14:textId="77777777" w:rsidR="0023592F" w:rsidRDefault="0023592F" w:rsidP="0023592F">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Cada coluna compara as escolas em cada uma das categorias de desempenho incorporado a sua classificação na cota parte em relação aos mais beneficiados</w:t>
      </w:r>
      <w:r>
        <w:rPr>
          <w:rFonts w:ascii="Times New Roman" w:eastAsia="Times New Roman" w:hAnsi="Times New Roman" w:cs="Times New Roman"/>
          <w:sz w:val="24"/>
          <w:szCs w:val="24"/>
        </w:rPr>
        <w:t xml:space="preserve"> em</w:t>
      </w:r>
      <w:r w:rsidRPr="00B56B5C">
        <w:rPr>
          <w:rFonts w:ascii="Times New Roman" w:eastAsia="Times New Roman" w:hAnsi="Times New Roman" w:cs="Times New Roman"/>
          <w:sz w:val="24"/>
          <w:szCs w:val="24"/>
        </w:rPr>
        <w:t xml:space="preserve"> 2009. Os resultados estão apresentados em termos de desvios</w:t>
      </w:r>
      <w:r>
        <w:rPr>
          <w:rFonts w:ascii="Times New Roman" w:eastAsia="Times New Roman" w:hAnsi="Times New Roman" w:cs="Times New Roman"/>
          <w:sz w:val="24"/>
          <w:szCs w:val="24"/>
        </w:rPr>
        <w:t>-</w:t>
      </w:r>
      <w:r w:rsidRPr="00B56B5C">
        <w:rPr>
          <w:rFonts w:ascii="Times New Roman" w:eastAsia="Times New Roman" w:hAnsi="Times New Roman" w:cs="Times New Roman"/>
          <w:sz w:val="24"/>
          <w:szCs w:val="24"/>
        </w:rPr>
        <w:t>padrão e são controlados por meio de efeito fixo municipal variante no tempo e efeito fixo temporal.</w:t>
      </w:r>
      <w:r>
        <w:rPr>
          <w:rFonts w:ascii="Times New Roman" w:eastAsia="Times New Roman" w:hAnsi="Times New Roman" w:cs="Times New Roman"/>
          <w:sz w:val="24"/>
          <w:szCs w:val="24"/>
        </w:rPr>
        <w:t xml:space="preserve"> </w:t>
      </w:r>
    </w:p>
    <w:p w14:paraId="1C194A0F" w14:textId="34B2B96D" w:rsidR="0023592F" w:rsidRDefault="0023592F" w:rsidP="0023592F">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Os</w:t>
      </w:r>
      <w:r>
        <w:rPr>
          <w:rFonts w:ascii="Times New Roman" w:eastAsia="Times New Roman" w:hAnsi="Times New Roman" w:cs="Times New Roman"/>
          <w:sz w:val="24"/>
          <w:szCs w:val="24"/>
        </w:rPr>
        <w:t xml:space="preserve"> resultados</w:t>
      </w:r>
      <w:r w:rsidRPr="00B56B5C">
        <w:rPr>
          <w:rFonts w:ascii="Times New Roman" w:eastAsia="Times New Roman" w:hAnsi="Times New Roman" w:cs="Times New Roman"/>
          <w:sz w:val="24"/>
          <w:szCs w:val="24"/>
        </w:rPr>
        <w:t xml:space="preserve"> sugerem que escolas com baixa performance em 2007</w:t>
      </w:r>
      <w:r w:rsidR="004A4CA5">
        <w:rPr>
          <w:rFonts w:ascii="Times New Roman" w:eastAsia="Times New Roman" w:hAnsi="Times New Roman" w:cs="Times New Roman"/>
          <w:sz w:val="24"/>
          <w:szCs w:val="24"/>
        </w:rPr>
        <w:t xml:space="preserve"> (coluna 1 e 2)</w:t>
      </w:r>
      <w:r w:rsidRPr="00B56B5C">
        <w:rPr>
          <w:rFonts w:ascii="Times New Roman" w:eastAsia="Times New Roman" w:hAnsi="Times New Roman" w:cs="Times New Roman"/>
          <w:sz w:val="24"/>
          <w:szCs w:val="24"/>
        </w:rPr>
        <w:t xml:space="preserve"> não aumentaram seus resultados educacionais em relação aos municípios que se beneficiaram com </w:t>
      </w:r>
      <w:r>
        <w:rPr>
          <w:rFonts w:ascii="Times New Roman" w:eastAsia="Times New Roman" w:hAnsi="Times New Roman" w:cs="Times New Roman"/>
          <w:sz w:val="24"/>
          <w:szCs w:val="24"/>
        </w:rPr>
        <w:t>a L</w:t>
      </w:r>
      <w:r w:rsidRPr="00B56B5C">
        <w:rPr>
          <w:rFonts w:ascii="Times New Roman" w:eastAsia="Times New Roman" w:hAnsi="Times New Roman" w:cs="Times New Roman"/>
          <w:sz w:val="24"/>
          <w:szCs w:val="24"/>
        </w:rPr>
        <w:t>ei d</w:t>
      </w:r>
      <w:r>
        <w:rPr>
          <w:rFonts w:ascii="Times New Roman" w:eastAsia="Times New Roman" w:hAnsi="Times New Roman" w:cs="Times New Roman"/>
          <w:sz w:val="24"/>
          <w:szCs w:val="24"/>
        </w:rPr>
        <w:t>e</w:t>
      </w:r>
      <w:r w:rsidRPr="00B56B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B56B5C">
        <w:rPr>
          <w:rFonts w:ascii="Times New Roman" w:eastAsia="Times New Roman" w:hAnsi="Times New Roman" w:cs="Times New Roman"/>
          <w:sz w:val="24"/>
          <w:szCs w:val="24"/>
        </w:rPr>
        <w:t xml:space="preserve">ota </w:t>
      </w:r>
      <w:r>
        <w:rPr>
          <w:rFonts w:ascii="Times New Roman" w:eastAsia="Times New Roman" w:hAnsi="Times New Roman" w:cs="Times New Roman"/>
          <w:sz w:val="24"/>
          <w:szCs w:val="24"/>
        </w:rPr>
        <w:t>P</w:t>
      </w:r>
      <w:r w:rsidRPr="00B56B5C">
        <w:rPr>
          <w:rFonts w:ascii="Times New Roman" w:eastAsia="Times New Roman" w:hAnsi="Times New Roman" w:cs="Times New Roman"/>
          <w:sz w:val="24"/>
          <w:szCs w:val="24"/>
        </w:rPr>
        <w:t>arte. Todavia, estar em um município beneficiado com a LCP afeta significativamente o desempenho das melhores escolas</w:t>
      </w:r>
      <w:r w:rsidR="004A4CA5">
        <w:rPr>
          <w:rFonts w:ascii="Times New Roman" w:eastAsia="Times New Roman" w:hAnsi="Times New Roman" w:cs="Times New Roman"/>
          <w:sz w:val="24"/>
          <w:szCs w:val="24"/>
        </w:rPr>
        <w:t xml:space="preserve"> (coluna 3 e 4)</w:t>
      </w:r>
      <w:r w:rsidRPr="00B56B5C">
        <w:rPr>
          <w:rFonts w:ascii="Times New Roman" w:eastAsia="Times New Roman" w:hAnsi="Times New Roman" w:cs="Times New Roman"/>
          <w:sz w:val="24"/>
          <w:szCs w:val="24"/>
        </w:rPr>
        <w:t xml:space="preserve">. Importante salientar que apesar da Lei da Cota Parte conter mecanismos de controle e penalização para municípios que aumentam a desigualdade entre as escolas ou tentem reduzir a taxa de adesão ao exame, esses mecanismos não estão relacionados a diferenças de performance entre grupos comparáveis de escolas. </w:t>
      </w:r>
    </w:p>
    <w:p w14:paraId="113AE5A3" w14:textId="77777777" w:rsidR="0023592F" w:rsidRPr="008D7293" w:rsidRDefault="0023592F" w:rsidP="0023592F">
      <w:pPr>
        <w:pBdr>
          <w:top w:val="nil"/>
          <w:left w:val="nil"/>
          <w:bottom w:val="nil"/>
          <w:right w:val="nil"/>
          <w:between w:val="nil"/>
        </w:pBdr>
        <w:spacing w:line="240" w:lineRule="auto"/>
        <w:jc w:val="both"/>
        <w:rPr>
          <w:rFonts w:ascii="Times New Roman" w:eastAsia="Times New Roman" w:hAnsi="Times New Roman" w:cs="Times New Roman"/>
          <w:b/>
          <w:bCs/>
          <w:sz w:val="24"/>
          <w:szCs w:val="24"/>
        </w:rPr>
      </w:pPr>
      <w:r w:rsidRPr="008D7293">
        <w:rPr>
          <w:rFonts w:ascii="Times New Roman" w:eastAsia="Times New Roman" w:hAnsi="Times New Roman" w:cs="Times New Roman"/>
          <w:b/>
          <w:bCs/>
          <w:sz w:val="24"/>
          <w:szCs w:val="24"/>
        </w:rPr>
        <w:t>SLIDE 20 - ROBUSTEZ</w:t>
      </w:r>
    </w:p>
    <w:p w14:paraId="1B885CEF" w14:textId="77777777" w:rsidR="0023592F" w:rsidRPr="00B56B5C" w:rsidRDefault="0023592F" w:rsidP="0023592F">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Uma questão importante associada às estimativas </w:t>
      </w:r>
      <w:r>
        <w:rPr>
          <w:rFonts w:ascii="Times New Roman" w:eastAsia="Times New Roman" w:hAnsi="Times New Roman" w:cs="Times New Roman"/>
          <w:sz w:val="24"/>
          <w:szCs w:val="24"/>
        </w:rPr>
        <w:t>anteriores</w:t>
      </w:r>
      <w:r w:rsidRPr="00B56B5C">
        <w:rPr>
          <w:rFonts w:ascii="Times New Roman" w:eastAsia="Times New Roman" w:hAnsi="Times New Roman" w:cs="Times New Roman"/>
          <w:sz w:val="24"/>
          <w:szCs w:val="24"/>
        </w:rPr>
        <w:t xml:space="preserve"> é a possibilidade de as escolas em diferentes municípios não serem comparáveis entre si em cada um dos quartis. Isto é, escolas com baixa (ou alta) performance em 2007 em municípios que serão beneficiados podem não ser diretamente comparáveis a escolas com baixa (ou alta) performance em municípios que serão prejudicados com a LCP. Para tanto, são realizados dois exercícios de robustez buscando reduzir a possibilidade de incomparabilidade entre as escolas.</w:t>
      </w:r>
    </w:p>
    <w:p w14:paraId="5961F193" w14:textId="77B104E4" w:rsidR="0023592F" w:rsidRPr="00B56B5C" w:rsidRDefault="0023592F" w:rsidP="0023592F">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O primeiro exercício utiliza</w:t>
      </w:r>
      <w:r w:rsidRPr="00B56B5C">
        <w:rPr>
          <w:rFonts w:ascii="Times New Roman" w:eastAsia="Times New Roman" w:hAnsi="Times New Roman" w:cs="Times New Roman"/>
          <w:color w:val="FF0000"/>
          <w:sz w:val="24"/>
          <w:szCs w:val="24"/>
        </w:rPr>
        <w:t xml:space="preserve"> </w:t>
      </w:r>
      <w:r w:rsidRPr="00B56B5C">
        <w:rPr>
          <w:rFonts w:ascii="Times New Roman" w:eastAsia="Times New Roman" w:hAnsi="Times New Roman" w:cs="Times New Roman"/>
          <w:sz w:val="24"/>
          <w:szCs w:val="24"/>
        </w:rPr>
        <w:t>uma série de variáveis de controle que possam estar associadas ao desempenho futuro das escolas.</w:t>
      </w:r>
      <w:r w:rsidR="004A4CA5">
        <w:rPr>
          <w:rFonts w:ascii="Times New Roman" w:eastAsia="Times New Roman" w:hAnsi="Times New Roman" w:cs="Times New Roman"/>
          <w:sz w:val="24"/>
          <w:szCs w:val="24"/>
        </w:rPr>
        <w:t xml:space="preserve"> T</w:t>
      </w:r>
      <w:r w:rsidRPr="00B56B5C">
        <w:rPr>
          <w:rFonts w:ascii="Times New Roman" w:eastAsia="Times New Roman" w:hAnsi="Times New Roman" w:cs="Times New Roman"/>
          <w:sz w:val="24"/>
          <w:szCs w:val="24"/>
        </w:rPr>
        <w:t>odas essas covariadas são mensuradas no ano de 2007, antes da introdução da LCP.</w:t>
      </w:r>
    </w:p>
    <w:p w14:paraId="1D7D6973" w14:textId="0575CEDF" w:rsidR="0023592F" w:rsidRDefault="0023592F" w:rsidP="0023592F">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O segundo exercício aplica pareamento por entropia</w:t>
      </w:r>
      <w:r w:rsidR="004A4C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possibilitando uma comparação mais adequada entre controle e tratados,</w:t>
      </w:r>
      <w:r w:rsidRPr="00B56B5C">
        <w:rPr>
          <w:rFonts w:ascii="Times New Roman" w:eastAsia="Times New Roman" w:hAnsi="Times New Roman" w:cs="Times New Roman"/>
          <w:sz w:val="24"/>
          <w:szCs w:val="24"/>
        </w:rPr>
        <w:t xml:space="preserve"> considerando as mesmas variáveis pré-determinadas utilizadas no exercício anterior</w:t>
      </w:r>
      <w:r w:rsidR="004A4CA5">
        <w:rPr>
          <w:rFonts w:ascii="Times New Roman" w:eastAsia="Times New Roman" w:hAnsi="Times New Roman" w:cs="Times New Roman"/>
          <w:sz w:val="24"/>
          <w:szCs w:val="24"/>
        </w:rPr>
        <w:t>.</w:t>
      </w:r>
      <w:r w:rsidRPr="00B56B5C">
        <w:rPr>
          <w:rFonts w:ascii="Times New Roman" w:eastAsia="Times New Roman" w:hAnsi="Times New Roman" w:cs="Times New Roman"/>
          <w:sz w:val="24"/>
          <w:szCs w:val="24"/>
        </w:rPr>
        <w:t xml:space="preserve"> Ambos os procedimentos têm o objetivo de permitir que tais escolas sejam comparáveis em cada categoria </w:t>
      </w:r>
      <m:oMath>
        <m:r>
          <w:rPr>
            <w:rFonts w:ascii="Cambria Math" w:eastAsia="Times New Roman" w:hAnsi="Cambria Math" w:cs="Times New Roman"/>
            <w:sz w:val="24"/>
            <w:szCs w:val="24"/>
          </w:rPr>
          <m:t>k</m:t>
        </m:r>
      </m:oMath>
      <w:r w:rsidRPr="00B56B5C">
        <w:rPr>
          <w:rFonts w:ascii="Times New Roman" w:eastAsia="Times New Roman" w:hAnsi="Times New Roman" w:cs="Times New Roman"/>
          <w:sz w:val="24"/>
          <w:szCs w:val="24"/>
        </w:rPr>
        <w:t>. Os resultados sugerem que as estimações não são potencialmente digeridas por fatores observados que podem enviesar os resultados.</w:t>
      </w:r>
      <w:r>
        <w:rPr>
          <w:rFonts w:ascii="Times New Roman" w:eastAsia="Times New Roman" w:hAnsi="Times New Roman" w:cs="Times New Roman"/>
          <w:sz w:val="24"/>
          <w:szCs w:val="24"/>
        </w:rPr>
        <w:t xml:space="preserve"> </w:t>
      </w:r>
    </w:p>
    <w:p w14:paraId="6F431A78" w14:textId="77777777" w:rsidR="0023592F" w:rsidRPr="008D7293" w:rsidRDefault="0023592F" w:rsidP="0023592F">
      <w:pPr>
        <w:spacing w:line="240" w:lineRule="auto"/>
        <w:jc w:val="both"/>
        <w:rPr>
          <w:rFonts w:ascii="Times New Roman" w:eastAsia="Times New Roman" w:hAnsi="Times New Roman" w:cs="Times New Roman"/>
          <w:b/>
          <w:bCs/>
          <w:sz w:val="24"/>
          <w:szCs w:val="24"/>
        </w:rPr>
      </w:pPr>
      <w:r w:rsidRPr="008D7293">
        <w:rPr>
          <w:rFonts w:ascii="Times New Roman" w:eastAsia="Times New Roman" w:hAnsi="Times New Roman" w:cs="Times New Roman"/>
          <w:b/>
          <w:bCs/>
          <w:sz w:val="24"/>
          <w:szCs w:val="24"/>
        </w:rPr>
        <w:t>SLIDE 22 - MECANISMOS</w:t>
      </w:r>
    </w:p>
    <w:p w14:paraId="7C5B688C" w14:textId="138E00EE" w:rsidR="0023592F" w:rsidRDefault="0023592F" w:rsidP="0023592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forma de explorar e dar uma maior evidência aos resultados já encontrados, é feito mais um exercício, dessa vez, mudando a variável de resultado, para variáveis relacionadas a maiores gastos em educação. </w:t>
      </w:r>
      <w:r w:rsidRPr="00B56B5C">
        <w:rPr>
          <w:rFonts w:ascii="Times New Roman" w:eastAsia="Times New Roman" w:hAnsi="Times New Roman" w:cs="Times New Roman"/>
          <w:sz w:val="24"/>
          <w:szCs w:val="24"/>
        </w:rPr>
        <w:t xml:space="preserve">Uma possível explicação para os resultados anteriores é a hipótese de que os prefeitos estão alocando seus recursos </w:t>
      </w:r>
      <w:r w:rsidRPr="00B56B5C">
        <w:rPr>
          <w:rFonts w:ascii="Times New Roman" w:eastAsia="Times New Roman" w:hAnsi="Times New Roman" w:cs="Times New Roman"/>
          <w:sz w:val="24"/>
          <w:szCs w:val="24"/>
        </w:rPr>
        <w:lastRenderedPageBreak/>
        <w:t>de forma diferenciada nas escolas com diferentes categorias. Como forma de verificar esta hipótese de alocação diferenciada de recursos, estimou-se um modelo tal como a equação (2) tendo como variáveis de resultado a quantidade de Horas Aula Média por Dia e a Média de Alunos por Turma. Ambas as variáveis estão associadas a oferta e a qualidade da educação pública, bem como maiores gastos em educação.</w:t>
      </w:r>
      <w:r>
        <w:rPr>
          <w:rFonts w:ascii="Times New Roman" w:eastAsia="Times New Roman" w:hAnsi="Times New Roman" w:cs="Times New Roman"/>
          <w:sz w:val="24"/>
          <w:szCs w:val="24"/>
        </w:rPr>
        <w:t xml:space="preserve"> </w:t>
      </w:r>
    </w:p>
    <w:p w14:paraId="59C6C5E8" w14:textId="77777777" w:rsidR="0023592F" w:rsidRDefault="0023592F" w:rsidP="0023592F">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P</w:t>
      </w:r>
      <w:r w:rsidRPr="00B56B5C">
        <w:rPr>
          <w:rFonts w:ascii="Times New Roman" w:eastAsia="Times New Roman" w:hAnsi="Times New Roman" w:cs="Times New Roman"/>
          <w:sz w:val="24"/>
          <w:szCs w:val="24"/>
        </w:rPr>
        <w:t>ainel A refere-se ao modelo em que a variável de resultado é horas diárias de aulas. Utiliza-se a mesma técnica de pareamento por entropia para evitar a incomparabilidade entre as escolas. Os resultados mostram que não há diferenças significativas entre as escolas, porém, as melhores escolas têm estimativa pontual de 1.5 horas diárias adicionais que as escolas em municípios prejudicados com a LCP.</w:t>
      </w:r>
    </w:p>
    <w:p w14:paraId="39A349A5" w14:textId="77777777" w:rsidR="0023592F" w:rsidRDefault="0023592F" w:rsidP="0023592F">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Já no Painel B, a variável de resultado é o tamanho médio das turmas, também controlando pelo pareamento por entropia. As estimativas são não significativas para as especificações em (1), (2), (3). Entretanto, a estimativas para as melhores escolas </w:t>
      </w:r>
      <w:r>
        <w:rPr>
          <w:rFonts w:ascii="Times New Roman" w:eastAsia="Times New Roman" w:hAnsi="Times New Roman" w:cs="Times New Roman"/>
          <w:sz w:val="24"/>
          <w:szCs w:val="24"/>
        </w:rPr>
        <w:t>indica</w:t>
      </w:r>
      <w:r w:rsidRPr="00B56B5C">
        <w:rPr>
          <w:rFonts w:ascii="Times New Roman" w:eastAsia="Times New Roman" w:hAnsi="Times New Roman" w:cs="Times New Roman"/>
          <w:sz w:val="24"/>
          <w:szCs w:val="24"/>
        </w:rPr>
        <w:t xml:space="preserve"> que tais escolas possuem em média 7.6 alunos a menos que escolas comparáveis em municípios prejudicados com a LCP. Estes resultados complementares aos anteriores </w:t>
      </w:r>
      <w:r>
        <w:rPr>
          <w:rFonts w:ascii="Times New Roman" w:eastAsia="Times New Roman" w:hAnsi="Times New Roman" w:cs="Times New Roman"/>
          <w:sz w:val="24"/>
          <w:szCs w:val="24"/>
        </w:rPr>
        <w:t>sugerem</w:t>
      </w:r>
      <w:r w:rsidRPr="00B56B5C">
        <w:rPr>
          <w:rFonts w:ascii="Times New Roman" w:eastAsia="Times New Roman" w:hAnsi="Times New Roman" w:cs="Times New Roman"/>
          <w:sz w:val="24"/>
          <w:szCs w:val="24"/>
        </w:rPr>
        <w:t xml:space="preserve"> que houve uma alocação diferenciada dos recursos disponíveis nos municípios em escolas com melhor desempenho prévio.</w:t>
      </w:r>
    </w:p>
    <w:p w14:paraId="484D1C27" w14:textId="77777777" w:rsidR="0023592F" w:rsidRDefault="0023592F" w:rsidP="0023592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resultados, apesar de preliminares e nem terem todos os Q estimados, são intrigantes e nos leva a investigar quais outros canais foram chaves para melhorar o desempenho educacional cearense, bem como, qual a significância da LCP no conjunto de mecanismos educacionais existentes no Ceará.</w:t>
      </w:r>
    </w:p>
    <w:p w14:paraId="513DDC82" w14:textId="77777777" w:rsidR="0023592F" w:rsidRPr="009567E3" w:rsidRDefault="0023592F" w:rsidP="0023592F">
      <w:pPr>
        <w:spacing w:line="240" w:lineRule="auto"/>
        <w:jc w:val="both"/>
        <w:rPr>
          <w:rFonts w:ascii="Times New Roman" w:eastAsia="Times New Roman" w:hAnsi="Times New Roman" w:cs="Times New Roman"/>
          <w:b/>
          <w:bCs/>
          <w:sz w:val="24"/>
          <w:szCs w:val="24"/>
        </w:rPr>
      </w:pPr>
      <w:r w:rsidRPr="009567E3">
        <w:rPr>
          <w:rFonts w:ascii="Times New Roman" w:eastAsia="Times New Roman" w:hAnsi="Times New Roman" w:cs="Times New Roman"/>
          <w:b/>
          <w:bCs/>
          <w:sz w:val="24"/>
          <w:szCs w:val="24"/>
        </w:rPr>
        <w:t>SLIDE 23 - CONCLUSÕES</w:t>
      </w:r>
    </w:p>
    <w:p w14:paraId="4D4146FC" w14:textId="29FB48AE" w:rsidR="0023592F" w:rsidRDefault="0023592F" w:rsidP="0023592F">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Os resultados mostram que os municípios beneficiados com LCP destinaram maiores recursos para gastos não educacionais. Os gastos educacionais totais aumentaram menos que o valor recebido com a cota parte e, especificamente, o gasto no ensino fundamental não foi afetado. Tal resultado sugere que a LCP não induziu os municípios aumentarem seus gastos em educação.</w:t>
      </w:r>
      <w:r>
        <w:rPr>
          <w:rFonts w:ascii="Times New Roman" w:eastAsia="Times New Roman" w:hAnsi="Times New Roman" w:cs="Times New Roman"/>
          <w:sz w:val="24"/>
          <w:szCs w:val="24"/>
        </w:rPr>
        <w:t xml:space="preserve"> </w:t>
      </w:r>
      <w:r w:rsidRPr="00633C42">
        <w:rPr>
          <w:rFonts w:ascii="Times New Roman" w:eastAsia="Times New Roman" w:hAnsi="Times New Roman" w:cs="Times New Roman"/>
          <w:sz w:val="24"/>
          <w:szCs w:val="24"/>
        </w:rPr>
        <w:t>Percebe-se</w:t>
      </w:r>
      <w:r w:rsidR="00C361C3">
        <w:rPr>
          <w:rFonts w:ascii="Times New Roman" w:eastAsia="Times New Roman" w:hAnsi="Times New Roman" w:cs="Times New Roman"/>
          <w:sz w:val="24"/>
          <w:szCs w:val="24"/>
        </w:rPr>
        <w:t xml:space="preserve"> também a existência de um efeito </w:t>
      </w:r>
      <w:proofErr w:type="spellStart"/>
      <w:r w:rsidR="00C361C3">
        <w:rPr>
          <w:rFonts w:ascii="Times New Roman" w:eastAsia="Times New Roman" w:hAnsi="Times New Roman" w:cs="Times New Roman"/>
          <w:sz w:val="24"/>
          <w:szCs w:val="24"/>
        </w:rPr>
        <w:t>flypaper</w:t>
      </w:r>
      <w:proofErr w:type="spellEnd"/>
      <w:r w:rsidRPr="00633C42">
        <w:rPr>
          <w:rFonts w:ascii="Times New Roman" w:eastAsia="Times New Roman" w:hAnsi="Times New Roman" w:cs="Times New Roman"/>
          <w:sz w:val="24"/>
          <w:szCs w:val="24"/>
        </w:rPr>
        <w:t>. Além disso, tal elevação no gasto total é persistente no tempo, sugerindo que a LCP produziu modificações de longo prazo na quantidade de recursos totais despendidos pelo município.</w:t>
      </w:r>
    </w:p>
    <w:p w14:paraId="5C4D10A1" w14:textId="706D158F" w:rsidR="0023592F" w:rsidRDefault="0023592F" w:rsidP="0023592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Verificamos também</w:t>
      </w:r>
      <w:r w:rsidRPr="00B56B5C">
        <w:rPr>
          <w:rFonts w:ascii="Times New Roman" w:eastAsia="Times New Roman" w:hAnsi="Times New Roman" w:cs="Times New Roman"/>
          <w:sz w:val="24"/>
          <w:szCs w:val="24"/>
        </w:rPr>
        <w:t xml:space="preserve"> se o impacto educacional da LCP foi diferenciado entre as escolas com diferentes performances prévias a introdução do programa. Os resultados mostram que apenas as escolas com melhores desempenhos prévios melhoram seus resultados quando estavam em municípios beneficiados pela LCP.</w:t>
      </w:r>
      <w:r>
        <w:rPr>
          <w:rFonts w:ascii="Times New Roman" w:eastAsia="Times New Roman" w:hAnsi="Times New Roman" w:cs="Times New Roman"/>
          <w:sz w:val="24"/>
          <w:szCs w:val="24"/>
        </w:rPr>
        <w:t xml:space="preserve"> </w:t>
      </w:r>
      <w:r w:rsidR="00C361C3">
        <w:rPr>
          <w:rFonts w:ascii="Times New Roman" w:eastAsia="Times New Roman" w:hAnsi="Times New Roman" w:cs="Times New Roman"/>
          <w:sz w:val="24"/>
          <w:szCs w:val="24"/>
        </w:rPr>
        <w:t>O</w:t>
      </w:r>
      <w:r w:rsidRPr="00633C42">
        <w:rPr>
          <w:rFonts w:ascii="Times New Roman" w:eastAsia="Times New Roman" w:hAnsi="Times New Roman" w:cs="Times New Roman"/>
          <w:sz w:val="24"/>
          <w:szCs w:val="24"/>
        </w:rPr>
        <w:t>s resultados mostram que as escolas com baixa performance em 2007 não aumentaram seus resultados educacionais em relação aos municípios que se beneficiaram com a LCP. A principal explicação é a presença de uma alocação de recursos intramunicipalmente direcionada para as escolas que têm maior potencial de gerar bons resultados nos testes padronizados.</w:t>
      </w:r>
    </w:p>
    <w:p w14:paraId="1383DD96" w14:textId="77777777" w:rsidR="0023592F" w:rsidRPr="00633C42" w:rsidRDefault="0023592F" w:rsidP="0023592F">
      <w:pPr>
        <w:spacing w:line="240" w:lineRule="auto"/>
        <w:jc w:val="both"/>
        <w:rPr>
          <w:rFonts w:ascii="Times New Roman" w:eastAsia="Times New Roman" w:hAnsi="Times New Roman" w:cs="Times New Roman"/>
          <w:sz w:val="24"/>
          <w:szCs w:val="24"/>
        </w:rPr>
      </w:pPr>
      <w:r w:rsidRPr="00633C42">
        <w:rPr>
          <w:rFonts w:ascii="Times New Roman" w:eastAsia="Times New Roman" w:hAnsi="Times New Roman" w:cs="Times New Roman"/>
          <w:sz w:val="24"/>
          <w:szCs w:val="24"/>
        </w:rPr>
        <w:t xml:space="preserve">Tomados em conjunto, </w:t>
      </w:r>
      <w:r>
        <w:rPr>
          <w:rFonts w:ascii="Times New Roman" w:eastAsia="Times New Roman" w:hAnsi="Times New Roman" w:cs="Times New Roman"/>
          <w:sz w:val="24"/>
          <w:szCs w:val="24"/>
        </w:rPr>
        <w:t xml:space="preserve">percebemos que </w:t>
      </w:r>
      <w:r w:rsidRPr="00633C42">
        <w:rPr>
          <w:rFonts w:ascii="Times New Roman" w:eastAsia="Times New Roman" w:hAnsi="Times New Roman" w:cs="Times New Roman"/>
          <w:sz w:val="24"/>
          <w:szCs w:val="24"/>
        </w:rPr>
        <w:t xml:space="preserve">o gasto nos municípios que se beneficiaram com a Lei foi mais relevante para as melhores escolas. </w:t>
      </w:r>
    </w:p>
    <w:p w14:paraId="44D888F3" w14:textId="77777777" w:rsidR="0023592F" w:rsidRPr="00A06E82" w:rsidRDefault="0023592F" w:rsidP="0023592F">
      <w:pPr>
        <w:spacing w:line="240" w:lineRule="auto"/>
        <w:ind w:left="90"/>
        <w:jc w:val="both"/>
        <w:rPr>
          <w:rFonts w:ascii="Times New Roman" w:eastAsia="Times New Roman" w:hAnsi="Times New Roman" w:cs="Times New Roman"/>
          <w:sz w:val="24"/>
          <w:szCs w:val="24"/>
        </w:rPr>
      </w:pPr>
    </w:p>
    <w:p w14:paraId="7AB9C73F" w14:textId="4010FAC8" w:rsidR="009558E7" w:rsidRPr="006C5789" w:rsidRDefault="009558E7" w:rsidP="006C5789">
      <w:pPr>
        <w:spacing w:line="240" w:lineRule="auto"/>
        <w:jc w:val="both"/>
        <w:rPr>
          <w:rFonts w:ascii="Times New Roman" w:eastAsia="Times New Roman" w:hAnsi="Times New Roman" w:cs="Times New Roman"/>
          <w:sz w:val="24"/>
          <w:szCs w:val="24"/>
        </w:rPr>
      </w:pPr>
      <w:r w:rsidRPr="006C5789">
        <w:rPr>
          <w:rFonts w:ascii="Times New Roman" w:eastAsia="Times New Roman" w:hAnsi="Times New Roman" w:cs="Times New Roman"/>
          <w:sz w:val="24"/>
          <w:szCs w:val="24"/>
          <w:highlight w:val="yellow"/>
        </w:rPr>
        <w:t xml:space="preserve">LCP não induziu os municípios aumentarem seus gastos em educação; Existência de uma alocação diferenciada de recursos nos municípios beneficiados; O gasto </w:t>
      </w:r>
      <w:proofErr w:type="gramStart"/>
      <w:r w:rsidRPr="006C5789">
        <w:rPr>
          <w:rFonts w:ascii="Times New Roman" w:eastAsia="Times New Roman" w:hAnsi="Times New Roman" w:cs="Times New Roman"/>
          <w:sz w:val="24"/>
          <w:szCs w:val="24"/>
          <w:highlight w:val="yellow"/>
        </w:rPr>
        <w:t>no municípios</w:t>
      </w:r>
      <w:proofErr w:type="gramEnd"/>
      <w:r w:rsidRPr="006C5789">
        <w:rPr>
          <w:rFonts w:ascii="Times New Roman" w:eastAsia="Times New Roman" w:hAnsi="Times New Roman" w:cs="Times New Roman"/>
          <w:sz w:val="24"/>
          <w:szCs w:val="24"/>
          <w:highlight w:val="yellow"/>
        </w:rPr>
        <w:t xml:space="preserve"> que se beneficiaram com a Lei da Cota Parte foi mais relevante para as melhores escolas</w:t>
      </w:r>
    </w:p>
    <w:p w14:paraId="6E47B35B" w14:textId="441DA35D" w:rsidR="00BD572B" w:rsidRDefault="00BD572B"/>
    <w:sectPr w:rsidR="00BD572B" w:rsidSect="009567E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F343E" w14:textId="77777777" w:rsidR="0023592F" w:rsidRDefault="0023592F" w:rsidP="0023592F">
      <w:pPr>
        <w:spacing w:after="0" w:line="240" w:lineRule="auto"/>
      </w:pPr>
      <w:r>
        <w:separator/>
      </w:r>
    </w:p>
  </w:endnote>
  <w:endnote w:type="continuationSeparator" w:id="0">
    <w:p w14:paraId="423AB34A" w14:textId="77777777" w:rsidR="0023592F" w:rsidRDefault="0023592F" w:rsidP="00235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BB5AA" w14:textId="77777777" w:rsidR="0023592F" w:rsidRDefault="0023592F" w:rsidP="0023592F">
      <w:pPr>
        <w:spacing w:after="0" w:line="240" w:lineRule="auto"/>
      </w:pPr>
      <w:r>
        <w:separator/>
      </w:r>
    </w:p>
  </w:footnote>
  <w:footnote w:type="continuationSeparator" w:id="0">
    <w:p w14:paraId="28346767" w14:textId="77777777" w:rsidR="0023592F" w:rsidRDefault="0023592F" w:rsidP="0023592F">
      <w:pPr>
        <w:spacing w:after="0" w:line="240" w:lineRule="auto"/>
      </w:pPr>
      <w:r>
        <w:continuationSeparator/>
      </w:r>
    </w:p>
  </w:footnote>
  <w:footnote w:id="1">
    <w:p w14:paraId="30AA535A" w14:textId="77777777" w:rsidR="0023592F" w:rsidRPr="00CB4A1D" w:rsidRDefault="0023592F" w:rsidP="0023592F">
      <w:pPr>
        <w:pStyle w:val="Textodenotaderodap"/>
      </w:pPr>
      <w:r w:rsidRPr="00CB4A1D">
        <w:rPr>
          <w:rStyle w:val="Refdenotaderodap"/>
        </w:rPr>
        <w:footnoteRef/>
      </w:r>
      <w:r w:rsidRPr="00CB4A1D">
        <w:t xml:space="preserve"> </w:t>
      </w:r>
      <w:r w:rsidRPr="00CB4A1D">
        <w:rPr>
          <w:rFonts w:ascii="Times New Roman" w:eastAsia="Times New Roman" w:hAnsi="Times New Roman" w:cs="Times New Roman"/>
          <w:i/>
          <w:iCs/>
        </w:rPr>
        <w:t xml:space="preserve">(Essa condição é plausível, pois o </w:t>
      </w:r>
      <m:oMath>
        <m:r>
          <w:rPr>
            <w:rFonts w:ascii="Cambria Math" w:eastAsia="Times New Roman" w:hAnsi="Cambria Math" w:cs="Times New Roman"/>
          </w:rPr>
          <m:t>IQ</m:t>
        </m:r>
        <m:sSub>
          <m:sSubPr>
            <m:ctrlPr>
              <w:rPr>
                <w:rFonts w:ascii="Cambria Math" w:eastAsia="Times New Roman" w:hAnsi="Cambria Math" w:cs="Times New Roman"/>
                <w:i/>
                <w:iCs/>
              </w:rPr>
            </m:ctrlPr>
          </m:sSubPr>
          <m:e>
            <m:r>
              <w:rPr>
                <w:rFonts w:ascii="Cambria Math" w:eastAsia="Times New Roman" w:hAnsi="Cambria Math" w:cs="Times New Roman"/>
              </w:rPr>
              <m:t>E</m:t>
            </m:r>
          </m:e>
          <m:sub>
            <m:r>
              <w:rPr>
                <w:rFonts w:ascii="Cambria Math" w:eastAsia="Times New Roman" w:hAnsi="Cambria Math" w:cs="Times New Roman"/>
              </w:rPr>
              <m:t>m2009</m:t>
            </m:r>
          </m:sub>
        </m:sSub>
      </m:oMath>
      <w:r w:rsidRPr="00CB4A1D">
        <w:rPr>
          <w:rFonts w:ascii="Times New Roman" w:eastAsia="Times New Roman" w:hAnsi="Times New Roman" w:cs="Times New Roman"/>
          <w:i/>
          <w:iCs/>
        </w:rPr>
        <w:t xml:space="preserve"> mensura a performance da educação municipal para os anos de 2007 e 2008 e com base neste indicador os municípios passaram a receber mais ou menos recursos da cota parte)</w:t>
      </w:r>
      <w:r w:rsidRPr="00CB4A1D">
        <w:rPr>
          <w:rFonts w:ascii="Times New Roman" w:eastAsia="Times New Roman" w:hAnsi="Times New Roman" w:cs="Times New Roman"/>
        </w:rPr>
        <w:t>.</w:t>
      </w:r>
    </w:p>
  </w:footnote>
  <w:footnote w:id="2">
    <w:p w14:paraId="114C7F1C" w14:textId="77777777" w:rsidR="0023592F" w:rsidRDefault="0023592F" w:rsidP="0023592F">
      <w:pPr>
        <w:pStyle w:val="Textodenotaderodap"/>
      </w:pPr>
      <w:r w:rsidRPr="00CB4A1D">
        <w:rPr>
          <w:rStyle w:val="Refdenotaderodap"/>
        </w:rPr>
        <w:footnoteRef/>
      </w:r>
      <w:r w:rsidRPr="00CB4A1D">
        <w:t xml:space="preserve"> </w:t>
      </w:r>
      <w:r w:rsidRPr="00CB4A1D">
        <w:rPr>
          <w:rFonts w:ascii="Times New Roman" w:eastAsia="Times New Roman" w:hAnsi="Times New Roman" w:cs="Times New Roman"/>
          <w:i/>
          <w:iCs/>
        </w:rPr>
        <w:t xml:space="preserve">(Acredita-se que tal hipótese também seja plausível por dois motivos: </w:t>
      </w:r>
      <w:r w:rsidRPr="00CB4A1D">
        <w:rPr>
          <w:rFonts w:ascii="Times New Roman" w:eastAsia="Times New Roman" w:hAnsi="Times New Roman" w:cs="Times New Roman"/>
          <w:b/>
          <w:bCs/>
          <w:i/>
          <w:iCs/>
        </w:rPr>
        <w:t>1.</w:t>
      </w:r>
      <w:r w:rsidRPr="00CB4A1D">
        <w:rPr>
          <w:rFonts w:ascii="Times New Roman" w:eastAsia="Times New Roman" w:hAnsi="Times New Roman" w:cs="Times New Roman"/>
          <w:i/>
          <w:iCs/>
        </w:rPr>
        <w:t xml:space="preserve"> A lei que estabelece a nova repartição da cota parte foi publicada no final do ano de 2007, com isso, o gasto em educação em 2007 não foi afetado pela LCP; </w:t>
      </w:r>
      <w:r w:rsidRPr="00CB4A1D">
        <w:rPr>
          <w:rFonts w:ascii="Times New Roman" w:eastAsia="Times New Roman" w:hAnsi="Times New Roman" w:cs="Times New Roman"/>
          <w:b/>
          <w:bCs/>
          <w:i/>
          <w:iCs/>
        </w:rPr>
        <w:t>2.</w:t>
      </w:r>
      <w:r w:rsidRPr="00CB4A1D">
        <w:rPr>
          <w:rFonts w:ascii="Times New Roman" w:eastAsia="Times New Roman" w:hAnsi="Times New Roman" w:cs="Times New Roman"/>
          <w:i/>
          <w:iCs/>
        </w:rPr>
        <w:t xml:space="preserve"> Municípios podem ter aumentado o gasto em 2008 para obter mais recursos decorrentes da Lei da Cota Parte no ano seguinte, porém, acredita-se que um ano não é suficiente para que modificações substanciais ocorram na performance educacional municipal).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8431A"/>
    <w:multiLevelType w:val="hybridMultilevel"/>
    <w:tmpl w:val="16BEBEAE"/>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2F"/>
    <w:rsid w:val="00183883"/>
    <w:rsid w:val="0023592F"/>
    <w:rsid w:val="004A4CA5"/>
    <w:rsid w:val="006C5789"/>
    <w:rsid w:val="009558E7"/>
    <w:rsid w:val="00BD572B"/>
    <w:rsid w:val="00C361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D822"/>
  <w15:chartTrackingRefBased/>
  <w15:docId w15:val="{439826D3-220A-49B6-8BEB-FC242FF4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92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23592F"/>
    <w:pPr>
      <w:spacing w:after="0" w:line="240" w:lineRule="auto"/>
    </w:pPr>
    <w:rPr>
      <w:rFonts w:ascii="Arial" w:eastAsia="Arial" w:hAnsi="Arial" w:cs="Arial"/>
      <w:sz w:val="20"/>
      <w:szCs w:val="20"/>
      <w:lang w:eastAsia="pt-BR"/>
    </w:rPr>
  </w:style>
  <w:style w:type="character" w:customStyle="1" w:styleId="TextodenotaderodapChar">
    <w:name w:val="Texto de nota de rodapé Char"/>
    <w:basedOn w:val="Fontepargpadro"/>
    <w:link w:val="Textodenotaderodap"/>
    <w:uiPriority w:val="99"/>
    <w:semiHidden/>
    <w:rsid w:val="0023592F"/>
    <w:rPr>
      <w:rFonts w:ascii="Arial" w:eastAsia="Arial" w:hAnsi="Arial" w:cs="Arial"/>
      <w:sz w:val="20"/>
      <w:szCs w:val="20"/>
      <w:lang w:eastAsia="pt-BR"/>
    </w:rPr>
  </w:style>
  <w:style w:type="paragraph" w:styleId="PargrafodaLista">
    <w:name w:val="List Paragraph"/>
    <w:basedOn w:val="Normal"/>
    <w:uiPriority w:val="34"/>
    <w:qFormat/>
    <w:rsid w:val="0023592F"/>
    <w:pPr>
      <w:ind w:left="720"/>
      <w:contextualSpacing/>
    </w:pPr>
  </w:style>
  <w:style w:type="character" w:styleId="Refdenotaderodap">
    <w:name w:val="footnote reference"/>
    <w:basedOn w:val="Fontepargpadro"/>
    <w:uiPriority w:val="99"/>
    <w:semiHidden/>
    <w:unhideWhenUsed/>
    <w:rsid w:val="0023592F"/>
    <w:rPr>
      <w:vertAlign w:val="superscript"/>
    </w:rPr>
  </w:style>
  <w:style w:type="paragraph" w:styleId="NormalWeb">
    <w:name w:val="Normal (Web)"/>
    <w:basedOn w:val="Normal"/>
    <w:uiPriority w:val="99"/>
    <w:semiHidden/>
    <w:unhideWhenUsed/>
    <w:rsid w:val="009558E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106013">
      <w:bodyDiv w:val="1"/>
      <w:marLeft w:val="0"/>
      <w:marRight w:val="0"/>
      <w:marTop w:val="0"/>
      <w:marBottom w:val="0"/>
      <w:divBdr>
        <w:top w:val="none" w:sz="0" w:space="0" w:color="auto"/>
        <w:left w:val="none" w:sz="0" w:space="0" w:color="auto"/>
        <w:bottom w:val="none" w:sz="0" w:space="0" w:color="auto"/>
        <w:right w:val="none" w:sz="0" w:space="0" w:color="auto"/>
      </w:divBdr>
    </w:div>
    <w:div w:id="137641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2932</Words>
  <Characters>15837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Veloso</dc:creator>
  <cp:keywords/>
  <dc:description/>
  <cp:lastModifiedBy>Pedro Veloso</cp:lastModifiedBy>
  <cp:revision>3</cp:revision>
  <dcterms:created xsi:type="dcterms:W3CDTF">2020-12-03T16:21:00Z</dcterms:created>
  <dcterms:modified xsi:type="dcterms:W3CDTF">2020-12-03T19:37:00Z</dcterms:modified>
</cp:coreProperties>
</file>