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E6C6C4F" w14:textId="77777777" w:rsidR="001C0CEA" w:rsidRDefault="00000000">
      <w:pPr>
        <w:spacing w:before="2400"/>
        <w:jc w:val="center"/>
      </w:pPr>
      <w:r>
        <w:rPr>
          <w:b/>
          <w:bCs/>
          <w:color w:val="2E75B6"/>
          <w:sz w:val="28"/>
          <w:szCs w:val="28"/>
        </w:rPr>
        <w:t>SERVICIO ANDALUZ DE SALUD</w:t>
      </w:r>
    </w:p>
    <w:p w14:paraId="1083DCF5" w14:textId="77777777" w:rsidR="001C0CEA" w:rsidRDefault="00000000">
      <w:pPr>
        <w:spacing w:after="600"/>
        <w:jc w:val="center"/>
      </w:pPr>
      <w:r>
        <w:rPr>
          <w:color w:val="595959"/>
          <w:sz w:val="24"/>
          <w:szCs w:val="24"/>
        </w:rPr>
        <w:t>Técnico/a en Función Administrativa – Opción Sistemas de Información</w:t>
      </w:r>
    </w:p>
    <w:p w14:paraId="2DC056B5" w14:textId="77777777" w:rsidR="001C0CEA" w:rsidRDefault="00000000">
      <w:pPr>
        <w:pBdr>
          <w:top w:val="single" w:sz="12" w:space="12" w:color="1F3864"/>
          <w:bottom w:val="single" w:sz="12" w:space="12" w:color="1F3864"/>
        </w:pBdr>
        <w:spacing w:after="200"/>
        <w:jc w:val="center"/>
      </w:pPr>
      <w:r>
        <w:rPr>
          <w:b/>
          <w:bCs/>
          <w:color w:val="1F3864"/>
          <w:sz w:val="56"/>
          <w:szCs w:val="56"/>
        </w:rPr>
        <w:t>TEMA 56</w:t>
      </w:r>
    </w:p>
    <w:p w14:paraId="46CB1DF8" w14:textId="77777777" w:rsidR="001C0CEA" w:rsidRDefault="00000000">
      <w:pPr>
        <w:spacing w:before="300" w:after="120"/>
        <w:jc w:val="center"/>
      </w:pPr>
      <w:r>
        <w:rPr>
          <w:b/>
          <w:bCs/>
          <w:sz w:val="30"/>
          <w:szCs w:val="30"/>
        </w:rPr>
        <w:t>Planificación e instalación de un centro de proceso de datos.</w:t>
      </w:r>
    </w:p>
    <w:p w14:paraId="7949801E" w14:textId="77777777" w:rsidR="001C0CEA" w:rsidRDefault="00000000">
      <w:pPr>
        <w:spacing w:after="120"/>
        <w:jc w:val="center"/>
      </w:pPr>
      <w:r>
        <w:rPr>
          <w:b/>
          <w:bCs/>
          <w:sz w:val="30"/>
          <w:szCs w:val="30"/>
        </w:rPr>
        <w:t>Planificación y ejecución de tareas de producción y sistemas.</w:t>
      </w:r>
    </w:p>
    <w:p w14:paraId="13C4F49D" w14:textId="77777777" w:rsidR="001C0CEA" w:rsidRDefault="00000000">
      <w:pPr>
        <w:spacing w:after="1200"/>
        <w:jc w:val="center"/>
      </w:pPr>
      <w:r>
        <w:rPr>
          <w:b/>
          <w:bCs/>
          <w:sz w:val="30"/>
          <w:szCs w:val="30"/>
        </w:rPr>
        <w:t>Organización de centros de proceso de datos del Servicio Andaluz de Salud.</w:t>
      </w:r>
    </w:p>
    <w:p w14:paraId="05E8EC4D" w14:textId="77777777" w:rsidR="001C0CEA" w:rsidRDefault="00000000">
      <w:pPr>
        <w:jc w:val="center"/>
      </w:pPr>
      <w:r>
        <w:rPr>
          <w:i/>
          <w:iCs/>
        </w:rPr>
        <w:t>Material de estudio para la oposición</w:t>
      </w:r>
    </w:p>
    <w:p w14:paraId="53BE0177" w14:textId="77777777" w:rsidR="001C0CEA" w:rsidRDefault="00000000">
      <w:pPr>
        <w:jc w:val="center"/>
      </w:pPr>
      <w:r>
        <w:rPr>
          <w:i/>
          <w:iCs/>
        </w:rPr>
        <w:t>Información normativa y organizativa actualizada a 26 de septiembre de 2026</w:t>
      </w:r>
    </w:p>
    <w:p w14:paraId="3B4B149D" w14:textId="77777777" w:rsidR="001C0CEA" w:rsidRDefault="00000000">
      <w:pPr>
        <w:spacing w:before="200"/>
        <w:jc w:val="center"/>
      </w:pPr>
      <w:r>
        <w:rPr>
          <w:color w:val="595959"/>
          <w:sz w:val="20"/>
          <w:szCs w:val="20"/>
        </w:rPr>
        <w:t>Incluye cobertura del banco de preguntas del Tema 56 (6 preguntas)</w:t>
      </w:r>
    </w:p>
    <w:p w14:paraId="4A629178" w14:textId="77777777" w:rsidR="001C0CEA" w:rsidRDefault="00000000">
      <w:pPr>
        <w:pageBreakBefore/>
        <w:spacing w:after="200"/>
      </w:pPr>
      <w:r>
        <w:rPr>
          <w:b/>
          <w:bCs/>
          <w:color w:val="1F3864"/>
          <w:sz w:val="32"/>
          <w:szCs w:val="32"/>
        </w:rPr>
        <w:lastRenderedPageBreak/>
        <w:t>Índice</w:t>
      </w:r>
    </w:p>
    <w:sdt>
      <w:sdtPr>
        <w:alias w:val="Índice"/>
        <w:id w:val="933713734"/>
      </w:sdtPr>
      <w:sdtContent>
        <w:p w14:paraId="4273788B" w14:textId="271A885B" w:rsidR="004476A0" w:rsidRDefault="00000000">
          <w:pPr>
            <w:pStyle w:val="TDC1"/>
            <w:tabs>
              <w:tab w:val="right" w:leader="dot" w:pos="9016"/>
            </w:tabs>
            <w:rPr>
              <w:noProof/>
            </w:rPr>
          </w:pPr>
          <w:r>
            <w:fldChar w:fldCharType="begin"/>
          </w:r>
          <w:r>
            <w:instrText>TOC \h \o "1-2"</w:instrText>
          </w:r>
          <w:r>
            <w:fldChar w:fldCharType="separate"/>
          </w:r>
          <w:hyperlink w:anchor="_Toc241337881" w:history="1">
            <w:r w:rsidR="004476A0" w:rsidRPr="00C24552">
              <w:rPr>
                <w:rStyle w:val="Hipervnculo"/>
                <w:noProof/>
              </w:rPr>
              <w:t>1. Orientación del tema y análisis de las preguntas de examen</w:t>
            </w:r>
            <w:r w:rsidR="004476A0">
              <w:rPr>
                <w:noProof/>
              </w:rPr>
              <w:tab/>
            </w:r>
            <w:r w:rsidR="004476A0">
              <w:rPr>
                <w:noProof/>
              </w:rPr>
              <w:fldChar w:fldCharType="begin"/>
            </w:r>
            <w:r w:rsidR="004476A0">
              <w:rPr>
                <w:noProof/>
              </w:rPr>
              <w:instrText xml:space="preserve"> PAGEREF _Toc241337881 \h </w:instrText>
            </w:r>
            <w:r w:rsidR="004476A0">
              <w:rPr>
                <w:noProof/>
              </w:rPr>
            </w:r>
            <w:r w:rsidR="004476A0">
              <w:rPr>
                <w:noProof/>
              </w:rPr>
              <w:fldChar w:fldCharType="separate"/>
            </w:r>
            <w:r w:rsidR="00DA4AE7">
              <w:rPr>
                <w:noProof/>
              </w:rPr>
              <w:t>6</w:t>
            </w:r>
            <w:r w:rsidR="004476A0">
              <w:rPr>
                <w:noProof/>
              </w:rPr>
              <w:fldChar w:fldCharType="end"/>
            </w:r>
          </w:hyperlink>
        </w:p>
        <w:p w14:paraId="62E43F11" w14:textId="671B956F" w:rsidR="004476A0" w:rsidRDefault="00000000">
          <w:pPr>
            <w:pStyle w:val="TDC2"/>
            <w:tabs>
              <w:tab w:val="right" w:leader="dot" w:pos="9016"/>
            </w:tabs>
            <w:rPr>
              <w:noProof/>
            </w:rPr>
          </w:pPr>
          <w:hyperlink w:anchor="_Toc241337882" w:history="1">
            <w:r w:rsidR="004476A0" w:rsidRPr="00C24552">
              <w:rPr>
                <w:rStyle w:val="Hipervnculo"/>
                <w:noProof/>
              </w:rPr>
              <w:t>1.1. Enunciado y estructura del tema</w:t>
            </w:r>
            <w:r w:rsidR="004476A0">
              <w:rPr>
                <w:noProof/>
              </w:rPr>
              <w:tab/>
            </w:r>
            <w:r w:rsidR="004476A0">
              <w:rPr>
                <w:noProof/>
              </w:rPr>
              <w:fldChar w:fldCharType="begin"/>
            </w:r>
            <w:r w:rsidR="004476A0">
              <w:rPr>
                <w:noProof/>
              </w:rPr>
              <w:instrText xml:space="preserve"> PAGEREF _Toc241337882 \h </w:instrText>
            </w:r>
            <w:r w:rsidR="004476A0">
              <w:rPr>
                <w:noProof/>
              </w:rPr>
            </w:r>
            <w:r w:rsidR="004476A0">
              <w:rPr>
                <w:noProof/>
              </w:rPr>
              <w:fldChar w:fldCharType="separate"/>
            </w:r>
            <w:r w:rsidR="00DA4AE7">
              <w:rPr>
                <w:noProof/>
              </w:rPr>
              <w:t>6</w:t>
            </w:r>
            <w:r w:rsidR="004476A0">
              <w:rPr>
                <w:noProof/>
              </w:rPr>
              <w:fldChar w:fldCharType="end"/>
            </w:r>
          </w:hyperlink>
        </w:p>
        <w:p w14:paraId="69544F75" w14:textId="579703D8" w:rsidR="004476A0" w:rsidRDefault="00000000">
          <w:pPr>
            <w:pStyle w:val="TDC2"/>
            <w:tabs>
              <w:tab w:val="right" w:leader="dot" w:pos="9016"/>
            </w:tabs>
            <w:rPr>
              <w:noProof/>
            </w:rPr>
          </w:pPr>
          <w:hyperlink w:anchor="_Toc241337883" w:history="1">
            <w:r w:rsidR="004476A0" w:rsidRPr="00C24552">
              <w:rPr>
                <w:rStyle w:val="Hipervnculo"/>
                <w:noProof/>
              </w:rPr>
              <w:t>1.2. Análisis del banco de preguntas facilitado</w:t>
            </w:r>
            <w:r w:rsidR="004476A0">
              <w:rPr>
                <w:noProof/>
              </w:rPr>
              <w:tab/>
            </w:r>
            <w:r w:rsidR="004476A0">
              <w:rPr>
                <w:noProof/>
              </w:rPr>
              <w:fldChar w:fldCharType="begin"/>
            </w:r>
            <w:r w:rsidR="004476A0">
              <w:rPr>
                <w:noProof/>
              </w:rPr>
              <w:instrText xml:space="preserve"> PAGEREF _Toc241337883 \h </w:instrText>
            </w:r>
            <w:r w:rsidR="004476A0">
              <w:rPr>
                <w:noProof/>
              </w:rPr>
            </w:r>
            <w:r w:rsidR="004476A0">
              <w:rPr>
                <w:noProof/>
              </w:rPr>
              <w:fldChar w:fldCharType="separate"/>
            </w:r>
            <w:r w:rsidR="00DA4AE7">
              <w:rPr>
                <w:noProof/>
              </w:rPr>
              <w:t>6</w:t>
            </w:r>
            <w:r w:rsidR="004476A0">
              <w:rPr>
                <w:noProof/>
              </w:rPr>
              <w:fldChar w:fldCharType="end"/>
            </w:r>
          </w:hyperlink>
        </w:p>
        <w:p w14:paraId="62792500" w14:textId="312B3509" w:rsidR="004476A0" w:rsidRDefault="00000000">
          <w:pPr>
            <w:pStyle w:val="TDC1"/>
            <w:tabs>
              <w:tab w:val="right" w:leader="dot" w:pos="9016"/>
            </w:tabs>
            <w:rPr>
              <w:noProof/>
            </w:rPr>
          </w:pPr>
          <w:hyperlink w:anchor="_Toc241337884" w:history="1">
            <w:r w:rsidR="004476A0" w:rsidRPr="00C24552">
              <w:rPr>
                <w:rStyle w:val="Hipervnculo"/>
                <w:noProof/>
              </w:rPr>
              <w:t>2. Concepto, finalidad y tipologías de centro de proceso de datos</w:t>
            </w:r>
            <w:r w:rsidR="004476A0">
              <w:rPr>
                <w:noProof/>
              </w:rPr>
              <w:tab/>
            </w:r>
            <w:r w:rsidR="004476A0">
              <w:rPr>
                <w:noProof/>
              </w:rPr>
              <w:fldChar w:fldCharType="begin"/>
            </w:r>
            <w:r w:rsidR="004476A0">
              <w:rPr>
                <w:noProof/>
              </w:rPr>
              <w:instrText xml:space="preserve"> PAGEREF _Toc241337884 \h </w:instrText>
            </w:r>
            <w:r w:rsidR="004476A0">
              <w:rPr>
                <w:noProof/>
              </w:rPr>
            </w:r>
            <w:r w:rsidR="004476A0">
              <w:rPr>
                <w:noProof/>
              </w:rPr>
              <w:fldChar w:fldCharType="separate"/>
            </w:r>
            <w:r w:rsidR="00DA4AE7">
              <w:rPr>
                <w:noProof/>
              </w:rPr>
              <w:t>7</w:t>
            </w:r>
            <w:r w:rsidR="004476A0">
              <w:rPr>
                <w:noProof/>
              </w:rPr>
              <w:fldChar w:fldCharType="end"/>
            </w:r>
          </w:hyperlink>
        </w:p>
        <w:p w14:paraId="5C8D679C" w14:textId="1543DA15" w:rsidR="004476A0" w:rsidRDefault="00000000">
          <w:pPr>
            <w:pStyle w:val="TDC2"/>
            <w:tabs>
              <w:tab w:val="right" w:leader="dot" w:pos="9016"/>
            </w:tabs>
            <w:rPr>
              <w:noProof/>
            </w:rPr>
          </w:pPr>
          <w:hyperlink w:anchor="_Toc241337885" w:history="1">
            <w:r w:rsidR="004476A0" w:rsidRPr="00C24552">
              <w:rPr>
                <w:rStyle w:val="Hipervnculo"/>
                <w:noProof/>
              </w:rPr>
              <w:t>2.1. Concepto</w:t>
            </w:r>
            <w:r w:rsidR="004476A0">
              <w:rPr>
                <w:noProof/>
              </w:rPr>
              <w:tab/>
            </w:r>
            <w:r w:rsidR="004476A0">
              <w:rPr>
                <w:noProof/>
              </w:rPr>
              <w:fldChar w:fldCharType="begin"/>
            </w:r>
            <w:r w:rsidR="004476A0">
              <w:rPr>
                <w:noProof/>
              </w:rPr>
              <w:instrText xml:space="preserve"> PAGEREF _Toc241337885 \h </w:instrText>
            </w:r>
            <w:r w:rsidR="004476A0">
              <w:rPr>
                <w:noProof/>
              </w:rPr>
            </w:r>
            <w:r w:rsidR="004476A0">
              <w:rPr>
                <w:noProof/>
              </w:rPr>
              <w:fldChar w:fldCharType="separate"/>
            </w:r>
            <w:r w:rsidR="00DA4AE7">
              <w:rPr>
                <w:noProof/>
              </w:rPr>
              <w:t>7</w:t>
            </w:r>
            <w:r w:rsidR="004476A0">
              <w:rPr>
                <w:noProof/>
              </w:rPr>
              <w:fldChar w:fldCharType="end"/>
            </w:r>
          </w:hyperlink>
        </w:p>
        <w:p w14:paraId="37CCBA1E" w14:textId="3B07338F" w:rsidR="004476A0" w:rsidRDefault="00000000">
          <w:pPr>
            <w:pStyle w:val="TDC2"/>
            <w:tabs>
              <w:tab w:val="right" w:leader="dot" w:pos="9016"/>
            </w:tabs>
            <w:rPr>
              <w:noProof/>
            </w:rPr>
          </w:pPr>
          <w:hyperlink w:anchor="_Toc241337886" w:history="1">
            <w:r w:rsidR="004476A0" w:rsidRPr="00C24552">
              <w:rPr>
                <w:rStyle w:val="Hipervnculo"/>
                <w:noProof/>
              </w:rPr>
              <w:t>2.2. Componentes de un CPD</w:t>
            </w:r>
            <w:r w:rsidR="004476A0">
              <w:rPr>
                <w:noProof/>
              </w:rPr>
              <w:tab/>
            </w:r>
            <w:r w:rsidR="004476A0">
              <w:rPr>
                <w:noProof/>
              </w:rPr>
              <w:fldChar w:fldCharType="begin"/>
            </w:r>
            <w:r w:rsidR="004476A0">
              <w:rPr>
                <w:noProof/>
              </w:rPr>
              <w:instrText xml:space="preserve"> PAGEREF _Toc241337886 \h </w:instrText>
            </w:r>
            <w:r w:rsidR="004476A0">
              <w:rPr>
                <w:noProof/>
              </w:rPr>
            </w:r>
            <w:r w:rsidR="004476A0">
              <w:rPr>
                <w:noProof/>
              </w:rPr>
              <w:fldChar w:fldCharType="separate"/>
            </w:r>
            <w:r w:rsidR="00DA4AE7">
              <w:rPr>
                <w:noProof/>
              </w:rPr>
              <w:t>7</w:t>
            </w:r>
            <w:r w:rsidR="004476A0">
              <w:rPr>
                <w:noProof/>
              </w:rPr>
              <w:fldChar w:fldCharType="end"/>
            </w:r>
          </w:hyperlink>
        </w:p>
        <w:p w14:paraId="440CE0B2" w14:textId="4107291E" w:rsidR="004476A0" w:rsidRDefault="00000000">
          <w:pPr>
            <w:pStyle w:val="TDC2"/>
            <w:tabs>
              <w:tab w:val="right" w:leader="dot" w:pos="9016"/>
            </w:tabs>
            <w:rPr>
              <w:noProof/>
            </w:rPr>
          </w:pPr>
          <w:hyperlink w:anchor="_Toc241337887" w:history="1">
            <w:r w:rsidR="004476A0" w:rsidRPr="00C24552">
              <w:rPr>
                <w:rStyle w:val="Hipervnculo"/>
                <w:noProof/>
              </w:rPr>
              <w:t>2.3. Tipologías</w:t>
            </w:r>
            <w:r w:rsidR="004476A0">
              <w:rPr>
                <w:noProof/>
              </w:rPr>
              <w:tab/>
            </w:r>
            <w:r w:rsidR="004476A0">
              <w:rPr>
                <w:noProof/>
              </w:rPr>
              <w:fldChar w:fldCharType="begin"/>
            </w:r>
            <w:r w:rsidR="004476A0">
              <w:rPr>
                <w:noProof/>
              </w:rPr>
              <w:instrText xml:space="preserve"> PAGEREF _Toc241337887 \h </w:instrText>
            </w:r>
            <w:r w:rsidR="004476A0">
              <w:rPr>
                <w:noProof/>
              </w:rPr>
            </w:r>
            <w:r w:rsidR="004476A0">
              <w:rPr>
                <w:noProof/>
              </w:rPr>
              <w:fldChar w:fldCharType="separate"/>
            </w:r>
            <w:r w:rsidR="00DA4AE7">
              <w:rPr>
                <w:noProof/>
              </w:rPr>
              <w:t>7</w:t>
            </w:r>
            <w:r w:rsidR="004476A0">
              <w:rPr>
                <w:noProof/>
              </w:rPr>
              <w:fldChar w:fldCharType="end"/>
            </w:r>
          </w:hyperlink>
        </w:p>
        <w:p w14:paraId="3D14F7AA" w14:textId="7422198B" w:rsidR="004476A0" w:rsidRDefault="00000000">
          <w:pPr>
            <w:pStyle w:val="TDC2"/>
            <w:tabs>
              <w:tab w:val="right" w:leader="dot" w:pos="9016"/>
            </w:tabs>
            <w:rPr>
              <w:noProof/>
            </w:rPr>
          </w:pPr>
          <w:hyperlink w:anchor="_Toc241337888" w:history="1">
            <w:r w:rsidR="004476A0" w:rsidRPr="00C24552">
              <w:rPr>
                <w:rStyle w:val="Hipervnculo"/>
                <w:noProof/>
              </w:rPr>
              <w:t>2.4. CPD físico, virtual y nube</w:t>
            </w:r>
            <w:r w:rsidR="004476A0">
              <w:rPr>
                <w:noProof/>
              </w:rPr>
              <w:tab/>
            </w:r>
            <w:r w:rsidR="004476A0">
              <w:rPr>
                <w:noProof/>
              </w:rPr>
              <w:fldChar w:fldCharType="begin"/>
            </w:r>
            <w:r w:rsidR="004476A0">
              <w:rPr>
                <w:noProof/>
              </w:rPr>
              <w:instrText xml:space="preserve"> PAGEREF _Toc241337888 \h </w:instrText>
            </w:r>
            <w:r w:rsidR="004476A0">
              <w:rPr>
                <w:noProof/>
              </w:rPr>
            </w:r>
            <w:r w:rsidR="004476A0">
              <w:rPr>
                <w:noProof/>
              </w:rPr>
              <w:fldChar w:fldCharType="separate"/>
            </w:r>
            <w:r w:rsidR="00DA4AE7">
              <w:rPr>
                <w:noProof/>
              </w:rPr>
              <w:t>7</w:t>
            </w:r>
            <w:r w:rsidR="004476A0">
              <w:rPr>
                <w:noProof/>
              </w:rPr>
              <w:fldChar w:fldCharType="end"/>
            </w:r>
          </w:hyperlink>
        </w:p>
        <w:p w14:paraId="686DF6EB" w14:textId="7B920776" w:rsidR="004476A0" w:rsidRDefault="00000000">
          <w:pPr>
            <w:pStyle w:val="TDC1"/>
            <w:tabs>
              <w:tab w:val="right" w:leader="dot" w:pos="9016"/>
            </w:tabs>
            <w:rPr>
              <w:noProof/>
            </w:rPr>
          </w:pPr>
          <w:hyperlink w:anchor="_Toc241337889" w:history="1">
            <w:r w:rsidR="004476A0" w:rsidRPr="00C24552">
              <w:rPr>
                <w:rStyle w:val="Hipervnculo"/>
                <w:noProof/>
              </w:rPr>
              <w:t>3. Planificación de un centro de proceso de datos</w:t>
            </w:r>
            <w:r w:rsidR="004476A0">
              <w:rPr>
                <w:noProof/>
              </w:rPr>
              <w:tab/>
            </w:r>
            <w:r w:rsidR="004476A0">
              <w:rPr>
                <w:noProof/>
              </w:rPr>
              <w:fldChar w:fldCharType="begin"/>
            </w:r>
            <w:r w:rsidR="004476A0">
              <w:rPr>
                <w:noProof/>
              </w:rPr>
              <w:instrText xml:space="preserve"> PAGEREF _Toc241337889 \h </w:instrText>
            </w:r>
            <w:r w:rsidR="004476A0">
              <w:rPr>
                <w:noProof/>
              </w:rPr>
            </w:r>
            <w:r w:rsidR="004476A0">
              <w:rPr>
                <w:noProof/>
              </w:rPr>
              <w:fldChar w:fldCharType="separate"/>
            </w:r>
            <w:r w:rsidR="00DA4AE7">
              <w:rPr>
                <w:noProof/>
              </w:rPr>
              <w:t>9</w:t>
            </w:r>
            <w:r w:rsidR="004476A0">
              <w:rPr>
                <w:noProof/>
              </w:rPr>
              <w:fldChar w:fldCharType="end"/>
            </w:r>
          </w:hyperlink>
        </w:p>
        <w:p w14:paraId="5DA67E1F" w14:textId="10B9B999" w:rsidR="004476A0" w:rsidRDefault="00000000">
          <w:pPr>
            <w:pStyle w:val="TDC2"/>
            <w:tabs>
              <w:tab w:val="right" w:leader="dot" w:pos="9016"/>
            </w:tabs>
            <w:rPr>
              <w:noProof/>
            </w:rPr>
          </w:pPr>
          <w:hyperlink w:anchor="_Toc241337890" w:history="1">
            <w:r w:rsidR="004476A0" w:rsidRPr="00C24552">
              <w:rPr>
                <w:rStyle w:val="Hipervnculo"/>
                <w:noProof/>
              </w:rPr>
              <w:t>3.1. Análisis de necesidades</w:t>
            </w:r>
            <w:r w:rsidR="004476A0">
              <w:rPr>
                <w:noProof/>
              </w:rPr>
              <w:tab/>
            </w:r>
            <w:r w:rsidR="004476A0">
              <w:rPr>
                <w:noProof/>
              </w:rPr>
              <w:fldChar w:fldCharType="begin"/>
            </w:r>
            <w:r w:rsidR="004476A0">
              <w:rPr>
                <w:noProof/>
              </w:rPr>
              <w:instrText xml:space="preserve"> PAGEREF _Toc241337890 \h </w:instrText>
            </w:r>
            <w:r w:rsidR="004476A0">
              <w:rPr>
                <w:noProof/>
              </w:rPr>
            </w:r>
            <w:r w:rsidR="004476A0">
              <w:rPr>
                <w:noProof/>
              </w:rPr>
              <w:fldChar w:fldCharType="separate"/>
            </w:r>
            <w:r w:rsidR="00DA4AE7">
              <w:rPr>
                <w:noProof/>
              </w:rPr>
              <w:t>9</w:t>
            </w:r>
            <w:r w:rsidR="004476A0">
              <w:rPr>
                <w:noProof/>
              </w:rPr>
              <w:fldChar w:fldCharType="end"/>
            </w:r>
          </w:hyperlink>
        </w:p>
        <w:p w14:paraId="5741428D" w14:textId="07846CAB" w:rsidR="004476A0" w:rsidRDefault="00000000">
          <w:pPr>
            <w:pStyle w:val="TDC2"/>
            <w:tabs>
              <w:tab w:val="right" w:leader="dot" w:pos="9016"/>
            </w:tabs>
            <w:rPr>
              <w:noProof/>
            </w:rPr>
          </w:pPr>
          <w:hyperlink w:anchor="_Toc241337891" w:history="1">
            <w:r w:rsidR="004476A0" w:rsidRPr="00C24552">
              <w:rPr>
                <w:rStyle w:val="Hipervnculo"/>
                <w:noProof/>
              </w:rPr>
              <w:t>3.2. Dimensionamiento</w:t>
            </w:r>
            <w:r w:rsidR="004476A0">
              <w:rPr>
                <w:noProof/>
              </w:rPr>
              <w:tab/>
            </w:r>
            <w:r w:rsidR="004476A0">
              <w:rPr>
                <w:noProof/>
              </w:rPr>
              <w:fldChar w:fldCharType="begin"/>
            </w:r>
            <w:r w:rsidR="004476A0">
              <w:rPr>
                <w:noProof/>
              </w:rPr>
              <w:instrText xml:space="preserve"> PAGEREF _Toc241337891 \h </w:instrText>
            </w:r>
            <w:r w:rsidR="004476A0">
              <w:rPr>
                <w:noProof/>
              </w:rPr>
            </w:r>
            <w:r w:rsidR="004476A0">
              <w:rPr>
                <w:noProof/>
              </w:rPr>
              <w:fldChar w:fldCharType="separate"/>
            </w:r>
            <w:r w:rsidR="00DA4AE7">
              <w:rPr>
                <w:noProof/>
              </w:rPr>
              <w:t>9</w:t>
            </w:r>
            <w:r w:rsidR="004476A0">
              <w:rPr>
                <w:noProof/>
              </w:rPr>
              <w:fldChar w:fldCharType="end"/>
            </w:r>
          </w:hyperlink>
        </w:p>
        <w:p w14:paraId="7DA30C83" w14:textId="66C915BE" w:rsidR="004476A0" w:rsidRDefault="00000000">
          <w:pPr>
            <w:pStyle w:val="TDC2"/>
            <w:tabs>
              <w:tab w:val="right" w:leader="dot" w:pos="9016"/>
            </w:tabs>
            <w:rPr>
              <w:noProof/>
            </w:rPr>
          </w:pPr>
          <w:hyperlink w:anchor="_Toc241337892" w:history="1">
            <w:r w:rsidR="004476A0" w:rsidRPr="00C24552">
              <w:rPr>
                <w:rStyle w:val="Hipervnculo"/>
                <w:noProof/>
              </w:rPr>
              <w:t>3.3. Ubicación</w:t>
            </w:r>
            <w:r w:rsidR="004476A0">
              <w:rPr>
                <w:noProof/>
              </w:rPr>
              <w:tab/>
            </w:r>
            <w:r w:rsidR="004476A0">
              <w:rPr>
                <w:noProof/>
              </w:rPr>
              <w:fldChar w:fldCharType="begin"/>
            </w:r>
            <w:r w:rsidR="004476A0">
              <w:rPr>
                <w:noProof/>
              </w:rPr>
              <w:instrText xml:space="preserve"> PAGEREF _Toc241337892 \h </w:instrText>
            </w:r>
            <w:r w:rsidR="004476A0">
              <w:rPr>
                <w:noProof/>
              </w:rPr>
            </w:r>
            <w:r w:rsidR="004476A0">
              <w:rPr>
                <w:noProof/>
              </w:rPr>
              <w:fldChar w:fldCharType="separate"/>
            </w:r>
            <w:r w:rsidR="00DA4AE7">
              <w:rPr>
                <w:noProof/>
              </w:rPr>
              <w:t>10</w:t>
            </w:r>
            <w:r w:rsidR="004476A0">
              <w:rPr>
                <w:noProof/>
              </w:rPr>
              <w:fldChar w:fldCharType="end"/>
            </w:r>
          </w:hyperlink>
        </w:p>
        <w:p w14:paraId="7323F001" w14:textId="73DDFBFB" w:rsidR="004476A0" w:rsidRDefault="00000000">
          <w:pPr>
            <w:pStyle w:val="TDC2"/>
            <w:tabs>
              <w:tab w:val="right" w:leader="dot" w:pos="9016"/>
            </w:tabs>
            <w:rPr>
              <w:noProof/>
            </w:rPr>
          </w:pPr>
          <w:hyperlink w:anchor="_Toc241337893" w:history="1">
            <w:r w:rsidR="004476A0" w:rsidRPr="00C24552">
              <w:rPr>
                <w:rStyle w:val="Hipervnculo"/>
                <w:noProof/>
              </w:rPr>
              <w:t>3.4. Diseño</w:t>
            </w:r>
            <w:r w:rsidR="004476A0">
              <w:rPr>
                <w:noProof/>
              </w:rPr>
              <w:tab/>
            </w:r>
            <w:r w:rsidR="004476A0">
              <w:rPr>
                <w:noProof/>
              </w:rPr>
              <w:fldChar w:fldCharType="begin"/>
            </w:r>
            <w:r w:rsidR="004476A0">
              <w:rPr>
                <w:noProof/>
              </w:rPr>
              <w:instrText xml:space="preserve"> PAGEREF _Toc241337893 \h </w:instrText>
            </w:r>
            <w:r w:rsidR="004476A0">
              <w:rPr>
                <w:noProof/>
              </w:rPr>
            </w:r>
            <w:r w:rsidR="004476A0">
              <w:rPr>
                <w:noProof/>
              </w:rPr>
              <w:fldChar w:fldCharType="separate"/>
            </w:r>
            <w:r w:rsidR="00DA4AE7">
              <w:rPr>
                <w:noProof/>
              </w:rPr>
              <w:t>10</w:t>
            </w:r>
            <w:r w:rsidR="004476A0">
              <w:rPr>
                <w:noProof/>
              </w:rPr>
              <w:fldChar w:fldCharType="end"/>
            </w:r>
          </w:hyperlink>
        </w:p>
        <w:p w14:paraId="44BB3E4A" w14:textId="206B8375" w:rsidR="004476A0" w:rsidRDefault="00000000">
          <w:pPr>
            <w:pStyle w:val="TDC1"/>
            <w:tabs>
              <w:tab w:val="right" w:leader="dot" w:pos="9016"/>
            </w:tabs>
            <w:rPr>
              <w:noProof/>
            </w:rPr>
          </w:pPr>
          <w:hyperlink w:anchor="_Toc241337894" w:history="1">
            <w:r w:rsidR="004476A0" w:rsidRPr="00C24552">
              <w:rPr>
                <w:rStyle w:val="Hipervnculo"/>
                <w:noProof/>
              </w:rPr>
              <w:t>4. Infraestructura física: espacio, estructura y cableado</w:t>
            </w:r>
            <w:r w:rsidR="004476A0">
              <w:rPr>
                <w:noProof/>
              </w:rPr>
              <w:tab/>
            </w:r>
            <w:r w:rsidR="004476A0">
              <w:rPr>
                <w:noProof/>
              </w:rPr>
              <w:fldChar w:fldCharType="begin"/>
            </w:r>
            <w:r w:rsidR="004476A0">
              <w:rPr>
                <w:noProof/>
              </w:rPr>
              <w:instrText xml:space="preserve"> PAGEREF _Toc241337894 \h </w:instrText>
            </w:r>
            <w:r w:rsidR="004476A0">
              <w:rPr>
                <w:noProof/>
              </w:rPr>
            </w:r>
            <w:r w:rsidR="004476A0">
              <w:rPr>
                <w:noProof/>
              </w:rPr>
              <w:fldChar w:fldCharType="separate"/>
            </w:r>
            <w:r w:rsidR="00DA4AE7">
              <w:rPr>
                <w:noProof/>
              </w:rPr>
              <w:t>12</w:t>
            </w:r>
            <w:r w:rsidR="004476A0">
              <w:rPr>
                <w:noProof/>
              </w:rPr>
              <w:fldChar w:fldCharType="end"/>
            </w:r>
          </w:hyperlink>
        </w:p>
        <w:p w14:paraId="5E517453" w14:textId="02CE9BD6" w:rsidR="004476A0" w:rsidRDefault="00000000">
          <w:pPr>
            <w:pStyle w:val="TDC2"/>
            <w:tabs>
              <w:tab w:val="right" w:leader="dot" w:pos="9016"/>
            </w:tabs>
            <w:rPr>
              <w:noProof/>
            </w:rPr>
          </w:pPr>
          <w:hyperlink w:anchor="_Toc241337895" w:history="1">
            <w:r w:rsidR="004476A0" w:rsidRPr="00C24552">
              <w:rPr>
                <w:rStyle w:val="Hipervnculo"/>
                <w:noProof/>
              </w:rPr>
              <w:t>4.1. Sala de equipos y distribución</w:t>
            </w:r>
            <w:r w:rsidR="004476A0">
              <w:rPr>
                <w:noProof/>
              </w:rPr>
              <w:tab/>
            </w:r>
            <w:r w:rsidR="004476A0">
              <w:rPr>
                <w:noProof/>
              </w:rPr>
              <w:fldChar w:fldCharType="begin"/>
            </w:r>
            <w:r w:rsidR="004476A0">
              <w:rPr>
                <w:noProof/>
              </w:rPr>
              <w:instrText xml:space="preserve"> PAGEREF _Toc241337895 \h </w:instrText>
            </w:r>
            <w:r w:rsidR="004476A0">
              <w:rPr>
                <w:noProof/>
              </w:rPr>
            </w:r>
            <w:r w:rsidR="004476A0">
              <w:rPr>
                <w:noProof/>
              </w:rPr>
              <w:fldChar w:fldCharType="separate"/>
            </w:r>
            <w:r w:rsidR="00DA4AE7">
              <w:rPr>
                <w:noProof/>
              </w:rPr>
              <w:t>12</w:t>
            </w:r>
            <w:r w:rsidR="004476A0">
              <w:rPr>
                <w:noProof/>
              </w:rPr>
              <w:fldChar w:fldCharType="end"/>
            </w:r>
          </w:hyperlink>
        </w:p>
        <w:p w14:paraId="75E86D04" w14:textId="7E213DD6" w:rsidR="004476A0" w:rsidRDefault="00000000">
          <w:pPr>
            <w:pStyle w:val="TDC2"/>
            <w:tabs>
              <w:tab w:val="right" w:leader="dot" w:pos="9016"/>
            </w:tabs>
            <w:rPr>
              <w:noProof/>
            </w:rPr>
          </w:pPr>
          <w:hyperlink w:anchor="_Toc241337896" w:history="1">
            <w:r w:rsidR="004476A0" w:rsidRPr="00C24552">
              <w:rPr>
                <w:rStyle w:val="Hipervnculo"/>
                <w:noProof/>
              </w:rPr>
              <w:t>4.2. Racks y armarios</w:t>
            </w:r>
            <w:r w:rsidR="004476A0">
              <w:rPr>
                <w:noProof/>
              </w:rPr>
              <w:tab/>
            </w:r>
            <w:r w:rsidR="004476A0">
              <w:rPr>
                <w:noProof/>
              </w:rPr>
              <w:fldChar w:fldCharType="begin"/>
            </w:r>
            <w:r w:rsidR="004476A0">
              <w:rPr>
                <w:noProof/>
              </w:rPr>
              <w:instrText xml:space="preserve"> PAGEREF _Toc241337896 \h </w:instrText>
            </w:r>
            <w:r w:rsidR="004476A0">
              <w:rPr>
                <w:noProof/>
              </w:rPr>
            </w:r>
            <w:r w:rsidR="004476A0">
              <w:rPr>
                <w:noProof/>
              </w:rPr>
              <w:fldChar w:fldCharType="separate"/>
            </w:r>
            <w:r w:rsidR="00DA4AE7">
              <w:rPr>
                <w:noProof/>
              </w:rPr>
              <w:t>12</w:t>
            </w:r>
            <w:r w:rsidR="004476A0">
              <w:rPr>
                <w:noProof/>
              </w:rPr>
              <w:fldChar w:fldCharType="end"/>
            </w:r>
          </w:hyperlink>
        </w:p>
        <w:p w14:paraId="70AB1CA0" w14:textId="423210E6" w:rsidR="004476A0" w:rsidRDefault="00000000">
          <w:pPr>
            <w:pStyle w:val="TDC2"/>
            <w:tabs>
              <w:tab w:val="right" w:leader="dot" w:pos="9016"/>
            </w:tabs>
            <w:rPr>
              <w:noProof/>
            </w:rPr>
          </w:pPr>
          <w:hyperlink w:anchor="_Toc241337897" w:history="1">
            <w:r w:rsidR="004476A0" w:rsidRPr="00C24552">
              <w:rPr>
                <w:rStyle w:val="Hipervnculo"/>
                <w:noProof/>
              </w:rPr>
              <w:t>4.3. Suelo técnico, techo técnico y carga estructural</w:t>
            </w:r>
            <w:r w:rsidR="004476A0">
              <w:rPr>
                <w:noProof/>
              </w:rPr>
              <w:tab/>
            </w:r>
            <w:r w:rsidR="004476A0">
              <w:rPr>
                <w:noProof/>
              </w:rPr>
              <w:fldChar w:fldCharType="begin"/>
            </w:r>
            <w:r w:rsidR="004476A0">
              <w:rPr>
                <w:noProof/>
              </w:rPr>
              <w:instrText xml:space="preserve"> PAGEREF _Toc241337897 \h </w:instrText>
            </w:r>
            <w:r w:rsidR="004476A0">
              <w:rPr>
                <w:noProof/>
              </w:rPr>
            </w:r>
            <w:r w:rsidR="004476A0">
              <w:rPr>
                <w:noProof/>
              </w:rPr>
              <w:fldChar w:fldCharType="separate"/>
            </w:r>
            <w:r w:rsidR="00DA4AE7">
              <w:rPr>
                <w:noProof/>
              </w:rPr>
              <w:t>12</w:t>
            </w:r>
            <w:r w:rsidR="004476A0">
              <w:rPr>
                <w:noProof/>
              </w:rPr>
              <w:fldChar w:fldCharType="end"/>
            </w:r>
          </w:hyperlink>
        </w:p>
        <w:p w14:paraId="6F760ECC" w14:textId="61F4FFE7" w:rsidR="004476A0" w:rsidRDefault="00000000">
          <w:pPr>
            <w:pStyle w:val="TDC2"/>
            <w:tabs>
              <w:tab w:val="right" w:leader="dot" w:pos="9016"/>
            </w:tabs>
            <w:rPr>
              <w:noProof/>
            </w:rPr>
          </w:pPr>
          <w:hyperlink w:anchor="_Toc241337898" w:history="1">
            <w:r w:rsidR="004476A0" w:rsidRPr="00C24552">
              <w:rPr>
                <w:rStyle w:val="Hipervnculo"/>
                <w:noProof/>
              </w:rPr>
              <w:t>4.4. Cableado estructurado</w:t>
            </w:r>
            <w:r w:rsidR="004476A0">
              <w:rPr>
                <w:noProof/>
              </w:rPr>
              <w:tab/>
            </w:r>
            <w:r w:rsidR="004476A0">
              <w:rPr>
                <w:noProof/>
              </w:rPr>
              <w:fldChar w:fldCharType="begin"/>
            </w:r>
            <w:r w:rsidR="004476A0">
              <w:rPr>
                <w:noProof/>
              </w:rPr>
              <w:instrText xml:space="preserve"> PAGEREF _Toc241337898 \h </w:instrText>
            </w:r>
            <w:r w:rsidR="004476A0">
              <w:rPr>
                <w:noProof/>
              </w:rPr>
            </w:r>
            <w:r w:rsidR="004476A0">
              <w:rPr>
                <w:noProof/>
              </w:rPr>
              <w:fldChar w:fldCharType="separate"/>
            </w:r>
            <w:r w:rsidR="00DA4AE7">
              <w:rPr>
                <w:noProof/>
              </w:rPr>
              <w:t>12</w:t>
            </w:r>
            <w:r w:rsidR="004476A0">
              <w:rPr>
                <w:noProof/>
              </w:rPr>
              <w:fldChar w:fldCharType="end"/>
            </w:r>
          </w:hyperlink>
        </w:p>
        <w:p w14:paraId="1F229EE0" w14:textId="147D15F3" w:rsidR="004476A0" w:rsidRDefault="00000000">
          <w:pPr>
            <w:pStyle w:val="TDC1"/>
            <w:tabs>
              <w:tab w:val="right" w:leader="dot" w:pos="9016"/>
            </w:tabs>
            <w:rPr>
              <w:noProof/>
            </w:rPr>
          </w:pPr>
          <w:hyperlink w:anchor="_Toc241337899" w:history="1">
            <w:r w:rsidR="004476A0" w:rsidRPr="00C24552">
              <w:rPr>
                <w:rStyle w:val="Hipervnculo"/>
                <w:noProof/>
              </w:rPr>
              <w:t>5. Alimentación eléctrica</w:t>
            </w:r>
            <w:r w:rsidR="004476A0">
              <w:rPr>
                <w:noProof/>
              </w:rPr>
              <w:tab/>
            </w:r>
            <w:r w:rsidR="004476A0">
              <w:rPr>
                <w:noProof/>
              </w:rPr>
              <w:fldChar w:fldCharType="begin"/>
            </w:r>
            <w:r w:rsidR="004476A0">
              <w:rPr>
                <w:noProof/>
              </w:rPr>
              <w:instrText xml:space="preserve"> PAGEREF _Toc241337899 \h </w:instrText>
            </w:r>
            <w:r w:rsidR="004476A0">
              <w:rPr>
                <w:noProof/>
              </w:rPr>
            </w:r>
            <w:r w:rsidR="004476A0">
              <w:rPr>
                <w:noProof/>
              </w:rPr>
              <w:fldChar w:fldCharType="separate"/>
            </w:r>
            <w:r w:rsidR="00DA4AE7">
              <w:rPr>
                <w:noProof/>
              </w:rPr>
              <w:t>13</w:t>
            </w:r>
            <w:r w:rsidR="004476A0">
              <w:rPr>
                <w:noProof/>
              </w:rPr>
              <w:fldChar w:fldCharType="end"/>
            </w:r>
          </w:hyperlink>
        </w:p>
        <w:p w14:paraId="0E35A71C" w14:textId="616753E0" w:rsidR="004476A0" w:rsidRDefault="00000000">
          <w:pPr>
            <w:pStyle w:val="TDC2"/>
            <w:tabs>
              <w:tab w:val="right" w:leader="dot" w:pos="9016"/>
            </w:tabs>
            <w:rPr>
              <w:noProof/>
            </w:rPr>
          </w:pPr>
          <w:hyperlink w:anchor="_Toc241337900" w:history="1">
            <w:r w:rsidR="004476A0" w:rsidRPr="00C24552">
              <w:rPr>
                <w:rStyle w:val="Hipervnculo"/>
                <w:noProof/>
              </w:rPr>
              <w:t>5.1. Suministro y distribución</w:t>
            </w:r>
            <w:r w:rsidR="004476A0">
              <w:rPr>
                <w:noProof/>
              </w:rPr>
              <w:tab/>
            </w:r>
            <w:r w:rsidR="004476A0">
              <w:rPr>
                <w:noProof/>
              </w:rPr>
              <w:fldChar w:fldCharType="begin"/>
            </w:r>
            <w:r w:rsidR="004476A0">
              <w:rPr>
                <w:noProof/>
              </w:rPr>
              <w:instrText xml:space="preserve"> PAGEREF _Toc241337900 \h </w:instrText>
            </w:r>
            <w:r w:rsidR="004476A0">
              <w:rPr>
                <w:noProof/>
              </w:rPr>
            </w:r>
            <w:r w:rsidR="004476A0">
              <w:rPr>
                <w:noProof/>
              </w:rPr>
              <w:fldChar w:fldCharType="separate"/>
            </w:r>
            <w:r w:rsidR="00DA4AE7">
              <w:rPr>
                <w:noProof/>
              </w:rPr>
              <w:t>13</w:t>
            </w:r>
            <w:r w:rsidR="004476A0">
              <w:rPr>
                <w:noProof/>
              </w:rPr>
              <w:fldChar w:fldCharType="end"/>
            </w:r>
          </w:hyperlink>
        </w:p>
        <w:p w14:paraId="3B588556" w14:textId="12B04650" w:rsidR="004476A0" w:rsidRDefault="00000000">
          <w:pPr>
            <w:pStyle w:val="TDC2"/>
            <w:tabs>
              <w:tab w:val="right" w:leader="dot" w:pos="9016"/>
            </w:tabs>
            <w:rPr>
              <w:noProof/>
            </w:rPr>
          </w:pPr>
          <w:hyperlink w:anchor="_Toc241337901" w:history="1">
            <w:r w:rsidR="004476A0" w:rsidRPr="00C24552">
              <w:rPr>
                <w:rStyle w:val="Hipervnculo"/>
                <w:noProof/>
              </w:rPr>
              <w:t>5.2. Calidad de la energía y protecciones</w:t>
            </w:r>
            <w:r w:rsidR="004476A0">
              <w:rPr>
                <w:noProof/>
              </w:rPr>
              <w:tab/>
            </w:r>
            <w:r w:rsidR="004476A0">
              <w:rPr>
                <w:noProof/>
              </w:rPr>
              <w:fldChar w:fldCharType="begin"/>
            </w:r>
            <w:r w:rsidR="004476A0">
              <w:rPr>
                <w:noProof/>
              </w:rPr>
              <w:instrText xml:space="preserve"> PAGEREF _Toc241337901 \h </w:instrText>
            </w:r>
            <w:r w:rsidR="004476A0">
              <w:rPr>
                <w:noProof/>
              </w:rPr>
            </w:r>
            <w:r w:rsidR="004476A0">
              <w:rPr>
                <w:noProof/>
              </w:rPr>
              <w:fldChar w:fldCharType="separate"/>
            </w:r>
            <w:r w:rsidR="00DA4AE7">
              <w:rPr>
                <w:noProof/>
              </w:rPr>
              <w:t>13</w:t>
            </w:r>
            <w:r w:rsidR="004476A0">
              <w:rPr>
                <w:noProof/>
              </w:rPr>
              <w:fldChar w:fldCharType="end"/>
            </w:r>
          </w:hyperlink>
        </w:p>
        <w:p w14:paraId="4DFFF581" w14:textId="29456F2D" w:rsidR="004476A0" w:rsidRDefault="00000000">
          <w:pPr>
            <w:pStyle w:val="TDC2"/>
            <w:tabs>
              <w:tab w:val="right" w:leader="dot" w:pos="9016"/>
            </w:tabs>
            <w:rPr>
              <w:noProof/>
            </w:rPr>
          </w:pPr>
          <w:hyperlink w:anchor="_Toc241337902" w:history="1">
            <w:r w:rsidR="004476A0" w:rsidRPr="00C24552">
              <w:rPr>
                <w:rStyle w:val="Hipervnculo"/>
                <w:noProof/>
              </w:rPr>
              <w:t>5.3. Sistemas de Alimentación Ininterrumpida (SAI / UPS)</w:t>
            </w:r>
            <w:r w:rsidR="004476A0">
              <w:rPr>
                <w:noProof/>
              </w:rPr>
              <w:tab/>
            </w:r>
            <w:r w:rsidR="004476A0">
              <w:rPr>
                <w:noProof/>
              </w:rPr>
              <w:fldChar w:fldCharType="begin"/>
            </w:r>
            <w:r w:rsidR="004476A0">
              <w:rPr>
                <w:noProof/>
              </w:rPr>
              <w:instrText xml:space="preserve"> PAGEREF _Toc241337902 \h </w:instrText>
            </w:r>
            <w:r w:rsidR="004476A0">
              <w:rPr>
                <w:noProof/>
              </w:rPr>
            </w:r>
            <w:r w:rsidR="004476A0">
              <w:rPr>
                <w:noProof/>
              </w:rPr>
              <w:fldChar w:fldCharType="separate"/>
            </w:r>
            <w:r w:rsidR="00DA4AE7">
              <w:rPr>
                <w:noProof/>
              </w:rPr>
              <w:t>13</w:t>
            </w:r>
            <w:r w:rsidR="004476A0">
              <w:rPr>
                <w:noProof/>
              </w:rPr>
              <w:fldChar w:fldCharType="end"/>
            </w:r>
          </w:hyperlink>
        </w:p>
        <w:p w14:paraId="6F7A37B8" w14:textId="509077C7" w:rsidR="004476A0" w:rsidRDefault="00000000">
          <w:pPr>
            <w:pStyle w:val="TDC2"/>
            <w:tabs>
              <w:tab w:val="right" w:leader="dot" w:pos="9016"/>
            </w:tabs>
            <w:rPr>
              <w:noProof/>
            </w:rPr>
          </w:pPr>
          <w:hyperlink w:anchor="_Toc241337903" w:history="1">
            <w:r w:rsidR="004476A0" w:rsidRPr="00C24552">
              <w:rPr>
                <w:rStyle w:val="Hipervnculo"/>
                <w:noProof/>
              </w:rPr>
              <w:t>5.4. Grupos electrógenos</w:t>
            </w:r>
            <w:r w:rsidR="004476A0">
              <w:rPr>
                <w:noProof/>
              </w:rPr>
              <w:tab/>
            </w:r>
            <w:r w:rsidR="004476A0">
              <w:rPr>
                <w:noProof/>
              </w:rPr>
              <w:fldChar w:fldCharType="begin"/>
            </w:r>
            <w:r w:rsidR="004476A0">
              <w:rPr>
                <w:noProof/>
              </w:rPr>
              <w:instrText xml:space="preserve"> PAGEREF _Toc241337903 \h </w:instrText>
            </w:r>
            <w:r w:rsidR="004476A0">
              <w:rPr>
                <w:noProof/>
              </w:rPr>
            </w:r>
            <w:r w:rsidR="004476A0">
              <w:rPr>
                <w:noProof/>
              </w:rPr>
              <w:fldChar w:fldCharType="separate"/>
            </w:r>
            <w:r w:rsidR="00DA4AE7">
              <w:rPr>
                <w:noProof/>
              </w:rPr>
              <w:t>14</w:t>
            </w:r>
            <w:r w:rsidR="004476A0">
              <w:rPr>
                <w:noProof/>
              </w:rPr>
              <w:fldChar w:fldCharType="end"/>
            </w:r>
          </w:hyperlink>
        </w:p>
        <w:p w14:paraId="3EB8703A" w14:textId="04A74F65" w:rsidR="004476A0" w:rsidRDefault="00000000">
          <w:pPr>
            <w:pStyle w:val="TDC1"/>
            <w:tabs>
              <w:tab w:val="right" w:leader="dot" w:pos="9016"/>
            </w:tabs>
            <w:rPr>
              <w:noProof/>
            </w:rPr>
          </w:pPr>
          <w:hyperlink w:anchor="_Toc241337904" w:history="1">
            <w:r w:rsidR="004476A0" w:rsidRPr="00C24552">
              <w:rPr>
                <w:rStyle w:val="Hipervnculo"/>
                <w:noProof/>
              </w:rPr>
              <w:t>6. Climatización</w:t>
            </w:r>
            <w:r w:rsidR="004476A0">
              <w:rPr>
                <w:noProof/>
              </w:rPr>
              <w:tab/>
            </w:r>
            <w:r w:rsidR="004476A0">
              <w:rPr>
                <w:noProof/>
              </w:rPr>
              <w:fldChar w:fldCharType="begin"/>
            </w:r>
            <w:r w:rsidR="004476A0">
              <w:rPr>
                <w:noProof/>
              </w:rPr>
              <w:instrText xml:space="preserve"> PAGEREF _Toc241337904 \h </w:instrText>
            </w:r>
            <w:r w:rsidR="004476A0">
              <w:rPr>
                <w:noProof/>
              </w:rPr>
            </w:r>
            <w:r w:rsidR="004476A0">
              <w:rPr>
                <w:noProof/>
              </w:rPr>
              <w:fldChar w:fldCharType="separate"/>
            </w:r>
            <w:r w:rsidR="00DA4AE7">
              <w:rPr>
                <w:noProof/>
              </w:rPr>
              <w:t>16</w:t>
            </w:r>
            <w:r w:rsidR="004476A0">
              <w:rPr>
                <w:noProof/>
              </w:rPr>
              <w:fldChar w:fldCharType="end"/>
            </w:r>
          </w:hyperlink>
        </w:p>
        <w:p w14:paraId="44B62794" w14:textId="32147A45" w:rsidR="004476A0" w:rsidRDefault="00000000">
          <w:pPr>
            <w:pStyle w:val="TDC2"/>
            <w:tabs>
              <w:tab w:val="right" w:leader="dot" w:pos="9016"/>
            </w:tabs>
            <w:rPr>
              <w:noProof/>
            </w:rPr>
          </w:pPr>
          <w:hyperlink w:anchor="_Toc241337905" w:history="1">
            <w:r w:rsidR="004476A0" w:rsidRPr="00C24552">
              <w:rPr>
                <w:rStyle w:val="Hipervnculo"/>
                <w:noProof/>
              </w:rPr>
              <w:t>6.1. Temperatura y humedad</w:t>
            </w:r>
            <w:r w:rsidR="004476A0">
              <w:rPr>
                <w:noProof/>
              </w:rPr>
              <w:tab/>
            </w:r>
            <w:r w:rsidR="004476A0">
              <w:rPr>
                <w:noProof/>
              </w:rPr>
              <w:fldChar w:fldCharType="begin"/>
            </w:r>
            <w:r w:rsidR="004476A0">
              <w:rPr>
                <w:noProof/>
              </w:rPr>
              <w:instrText xml:space="preserve"> PAGEREF _Toc241337905 \h </w:instrText>
            </w:r>
            <w:r w:rsidR="004476A0">
              <w:rPr>
                <w:noProof/>
              </w:rPr>
            </w:r>
            <w:r w:rsidR="004476A0">
              <w:rPr>
                <w:noProof/>
              </w:rPr>
              <w:fldChar w:fldCharType="separate"/>
            </w:r>
            <w:r w:rsidR="00DA4AE7">
              <w:rPr>
                <w:noProof/>
              </w:rPr>
              <w:t>16</w:t>
            </w:r>
            <w:r w:rsidR="004476A0">
              <w:rPr>
                <w:noProof/>
              </w:rPr>
              <w:fldChar w:fldCharType="end"/>
            </w:r>
          </w:hyperlink>
        </w:p>
        <w:p w14:paraId="1B192FAF" w14:textId="596BF541" w:rsidR="004476A0" w:rsidRDefault="00000000">
          <w:pPr>
            <w:pStyle w:val="TDC2"/>
            <w:tabs>
              <w:tab w:val="right" w:leader="dot" w:pos="9016"/>
            </w:tabs>
            <w:rPr>
              <w:noProof/>
            </w:rPr>
          </w:pPr>
          <w:hyperlink w:anchor="_Toc241337906" w:history="1">
            <w:r w:rsidR="004476A0" w:rsidRPr="00C24552">
              <w:rPr>
                <w:rStyle w:val="Hipervnculo"/>
                <w:noProof/>
              </w:rPr>
              <w:t>6.2. Sistemas de refrigeración</w:t>
            </w:r>
            <w:r w:rsidR="004476A0">
              <w:rPr>
                <w:noProof/>
              </w:rPr>
              <w:tab/>
            </w:r>
            <w:r w:rsidR="004476A0">
              <w:rPr>
                <w:noProof/>
              </w:rPr>
              <w:fldChar w:fldCharType="begin"/>
            </w:r>
            <w:r w:rsidR="004476A0">
              <w:rPr>
                <w:noProof/>
              </w:rPr>
              <w:instrText xml:space="preserve"> PAGEREF _Toc241337906 \h </w:instrText>
            </w:r>
            <w:r w:rsidR="004476A0">
              <w:rPr>
                <w:noProof/>
              </w:rPr>
            </w:r>
            <w:r w:rsidR="004476A0">
              <w:rPr>
                <w:noProof/>
              </w:rPr>
              <w:fldChar w:fldCharType="separate"/>
            </w:r>
            <w:r w:rsidR="00DA4AE7">
              <w:rPr>
                <w:noProof/>
              </w:rPr>
              <w:t>16</w:t>
            </w:r>
            <w:r w:rsidR="004476A0">
              <w:rPr>
                <w:noProof/>
              </w:rPr>
              <w:fldChar w:fldCharType="end"/>
            </w:r>
          </w:hyperlink>
        </w:p>
        <w:p w14:paraId="30471B07" w14:textId="03A331D2" w:rsidR="004476A0" w:rsidRDefault="00000000">
          <w:pPr>
            <w:pStyle w:val="TDC2"/>
            <w:tabs>
              <w:tab w:val="right" w:leader="dot" w:pos="9016"/>
            </w:tabs>
            <w:rPr>
              <w:noProof/>
            </w:rPr>
          </w:pPr>
          <w:hyperlink w:anchor="_Toc241337907" w:history="1">
            <w:r w:rsidR="004476A0" w:rsidRPr="00C24552">
              <w:rPr>
                <w:rStyle w:val="Hipervnculo"/>
                <w:noProof/>
              </w:rPr>
              <w:t>6.3. Densidad</w:t>
            </w:r>
            <w:r w:rsidR="004476A0">
              <w:rPr>
                <w:noProof/>
              </w:rPr>
              <w:tab/>
            </w:r>
            <w:r w:rsidR="004476A0">
              <w:rPr>
                <w:noProof/>
              </w:rPr>
              <w:fldChar w:fldCharType="begin"/>
            </w:r>
            <w:r w:rsidR="004476A0">
              <w:rPr>
                <w:noProof/>
              </w:rPr>
              <w:instrText xml:space="preserve"> PAGEREF _Toc241337907 \h </w:instrText>
            </w:r>
            <w:r w:rsidR="004476A0">
              <w:rPr>
                <w:noProof/>
              </w:rPr>
            </w:r>
            <w:r w:rsidR="004476A0">
              <w:rPr>
                <w:noProof/>
              </w:rPr>
              <w:fldChar w:fldCharType="separate"/>
            </w:r>
            <w:r w:rsidR="00DA4AE7">
              <w:rPr>
                <w:noProof/>
              </w:rPr>
              <w:t>16</w:t>
            </w:r>
            <w:r w:rsidR="004476A0">
              <w:rPr>
                <w:noProof/>
              </w:rPr>
              <w:fldChar w:fldCharType="end"/>
            </w:r>
          </w:hyperlink>
        </w:p>
        <w:p w14:paraId="32E495D7" w14:textId="702DCE9F" w:rsidR="004476A0" w:rsidRDefault="00000000">
          <w:pPr>
            <w:pStyle w:val="TDC2"/>
            <w:tabs>
              <w:tab w:val="right" w:leader="dot" w:pos="9016"/>
            </w:tabs>
            <w:rPr>
              <w:noProof/>
            </w:rPr>
          </w:pPr>
          <w:hyperlink w:anchor="_Toc241337908" w:history="1">
            <w:r w:rsidR="004476A0" w:rsidRPr="00C24552">
              <w:rPr>
                <w:rStyle w:val="Hipervnculo"/>
                <w:noProof/>
              </w:rPr>
              <w:t>6.4. Pasillo frío / pasillo caliente y contención</w:t>
            </w:r>
            <w:r w:rsidR="004476A0">
              <w:rPr>
                <w:noProof/>
              </w:rPr>
              <w:tab/>
            </w:r>
            <w:r w:rsidR="004476A0">
              <w:rPr>
                <w:noProof/>
              </w:rPr>
              <w:fldChar w:fldCharType="begin"/>
            </w:r>
            <w:r w:rsidR="004476A0">
              <w:rPr>
                <w:noProof/>
              </w:rPr>
              <w:instrText xml:space="preserve"> PAGEREF _Toc241337908 \h </w:instrText>
            </w:r>
            <w:r w:rsidR="004476A0">
              <w:rPr>
                <w:noProof/>
              </w:rPr>
            </w:r>
            <w:r w:rsidR="004476A0">
              <w:rPr>
                <w:noProof/>
              </w:rPr>
              <w:fldChar w:fldCharType="separate"/>
            </w:r>
            <w:r w:rsidR="00DA4AE7">
              <w:rPr>
                <w:noProof/>
              </w:rPr>
              <w:t>16</w:t>
            </w:r>
            <w:r w:rsidR="004476A0">
              <w:rPr>
                <w:noProof/>
              </w:rPr>
              <w:fldChar w:fldCharType="end"/>
            </w:r>
          </w:hyperlink>
        </w:p>
        <w:p w14:paraId="065518B9" w14:textId="013CD098" w:rsidR="004476A0" w:rsidRDefault="00000000">
          <w:pPr>
            <w:pStyle w:val="TDC2"/>
            <w:tabs>
              <w:tab w:val="right" w:leader="dot" w:pos="9016"/>
            </w:tabs>
            <w:rPr>
              <w:noProof/>
            </w:rPr>
          </w:pPr>
          <w:hyperlink w:anchor="_Toc241337909" w:history="1">
            <w:r w:rsidR="004476A0" w:rsidRPr="00C24552">
              <w:rPr>
                <w:rStyle w:val="Hipervnculo"/>
                <w:noProof/>
              </w:rPr>
              <w:t>6.5. Eficiencia: free cooling y Green CPD</w:t>
            </w:r>
            <w:r w:rsidR="004476A0">
              <w:rPr>
                <w:noProof/>
              </w:rPr>
              <w:tab/>
            </w:r>
            <w:r w:rsidR="004476A0">
              <w:rPr>
                <w:noProof/>
              </w:rPr>
              <w:fldChar w:fldCharType="begin"/>
            </w:r>
            <w:r w:rsidR="004476A0">
              <w:rPr>
                <w:noProof/>
              </w:rPr>
              <w:instrText xml:space="preserve"> PAGEREF _Toc241337909 \h </w:instrText>
            </w:r>
            <w:r w:rsidR="004476A0">
              <w:rPr>
                <w:noProof/>
              </w:rPr>
            </w:r>
            <w:r w:rsidR="004476A0">
              <w:rPr>
                <w:noProof/>
              </w:rPr>
              <w:fldChar w:fldCharType="separate"/>
            </w:r>
            <w:r w:rsidR="00DA4AE7">
              <w:rPr>
                <w:noProof/>
              </w:rPr>
              <w:t>17</w:t>
            </w:r>
            <w:r w:rsidR="004476A0">
              <w:rPr>
                <w:noProof/>
              </w:rPr>
              <w:fldChar w:fldCharType="end"/>
            </w:r>
          </w:hyperlink>
        </w:p>
        <w:p w14:paraId="09A22CDB" w14:textId="49734077" w:rsidR="004476A0" w:rsidRDefault="00000000">
          <w:pPr>
            <w:pStyle w:val="TDC2"/>
            <w:tabs>
              <w:tab w:val="right" w:leader="dot" w:pos="9016"/>
            </w:tabs>
            <w:rPr>
              <w:noProof/>
            </w:rPr>
          </w:pPr>
          <w:hyperlink w:anchor="_Toc241337910" w:history="1">
            <w:r w:rsidR="004476A0" w:rsidRPr="00C24552">
              <w:rPr>
                <w:rStyle w:val="Hipervnculo"/>
                <w:noProof/>
              </w:rPr>
              <w:t>6.6. Monitorización ambiental</w:t>
            </w:r>
            <w:r w:rsidR="004476A0">
              <w:rPr>
                <w:noProof/>
              </w:rPr>
              <w:tab/>
            </w:r>
            <w:r w:rsidR="004476A0">
              <w:rPr>
                <w:noProof/>
              </w:rPr>
              <w:fldChar w:fldCharType="begin"/>
            </w:r>
            <w:r w:rsidR="004476A0">
              <w:rPr>
                <w:noProof/>
              </w:rPr>
              <w:instrText xml:space="preserve"> PAGEREF _Toc241337910 \h </w:instrText>
            </w:r>
            <w:r w:rsidR="004476A0">
              <w:rPr>
                <w:noProof/>
              </w:rPr>
            </w:r>
            <w:r w:rsidR="004476A0">
              <w:rPr>
                <w:noProof/>
              </w:rPr>
              <w:fldChar w:fldCharType="separate"/>
            </w:r>
            <w:r w:rsidR="00DA4AE7">
              <w:rPr>
                <w:noProof/>
              </w:rPr>
              <w:t>17</w:t>
            </w:r>
            <w:r w:rsidR="004476A0">
              <w:rPr>
                <w:noProof/>
              </w:rPr>
              <w:fldChar w:fldCharType="end"/>
            </w:r>
          </w:hyperlink>
        </w:p>
        <w:p w14:paraId="2D9F7127" w14:textId="07326CFD" w:rsidR="004476A0" w:rsidRDefault="00000000">
          <w:pPr>
            <w:pStyle w:val="TDC1"/>
            <w:tabs>
              <w:tab w:val="right" w:leader="dot" w:pos="9016"/>
            </w:tabs>
            <w:rPr>
              <w:noProof/>
            </w:rPr>
          </w:pPr>
          <w:hyperlink w:anchor="_Toc241337911" w:history="1">
            <w:r w:rsidR="004476A0" w:rsidRPr="00C24552">
              <w:rPr>
                <w:rStyle w:val="Hipervnculo"/>
                <w:noProof/>
              </w:rPr>
              <w:t>7. Protección contra incendios</w:t>
            </w:r>
            <w:r w:rsidR="004476A0">
              <w:rPr>
                <w:noProof/>
              </w:rPr>
              <w:tab/>
            </w:r>
            <w:r w:rsidR="004476A0">
              <w:rPr>
                <w:noProof/>
              </w:rPr>
              <w:fldChar w:fldCharType="begin"/>
            </w:r>
            <w:r w:rsidR="004476A0">
              <w:rPr>
                <w:noProof/>
              </w:rPr>
              <w:instrText xml:space="preserve"> PAGEREF _Toc241337911 \h </w:instrText>
            </w:r>
            <w:r w:rsidR="004476A0">
              <w:rPr>
                <w:noProof/>
              </w:rPr>
            </w:r>
            <w:r w:rsidR="004476A0">
              <w:rPr>
                <w:noProof/>
              </w:rPr>
              <w:fldChar w:fldCharType="separate"/>
            </w:r>
            <w:r w:rsidR="00DA4AE7">
              <w:rPr>
                <w:noProof/>
              </w:rPr>
              <w:t>19</w:t>
            </w:r>
            <w:r w:rsidR="004476A0">
              <w:rPr>
                <w:noProof/>
              </w:rPr>
              <w:fldChar w:fldCharType="end"/>
            </w:r>
          </w:hyperlink>
        </w:p>
        <w:p w14:paraId="58C4A35B" w14:textId="74F43310" w:rsidR="004476A0" w:rsidRDefault="00000000">
          <w:pPr>
            <w:pStyle w:val="TDC2"/>
            <w:tabs>
              <w:tab w:val="right" w:leader="dot" w:pos="9016"/>
            </w:tabs>
            <w:rPr>
              <w:noProof/>
            </w:rPr>
          </w:pPr>
          <w:hyperlink w:anchor="_Toc241337912" w:history="1">
            <w:r w:rsidR="004476A0" w:rsidRPr="00C24552">
              <w:rPr>
                <w:rStyle w:val="Hipervnculo"/>
                <w:noProof/>
              </w:rPr>
              <w:t>7.1. Normativa aplicable en España</w:t>
            </w:r>
            <w:r w:rsidR="004476A0">
              <w:rPr>
                <w:noProof/>
              </w:rPr>
              <w:tab/>
            </w:r>
            <w:r w:rsidR="004476A0">
              <w:rPr>
                <w:noProof/>
              </w:rPr>
              <w:fldChar w:fldCharType="begin"/>
            </w:r>
            <w:r w:rsidR="004476A0">
              <w:rPr>
                <w:noProof/>
              </w:rPr>
              <w:instrText xml:space="preserve"> PAGEREF _Toc241337912 \h </w:instrText>
            </w:r>
            <w:r w:rsidR="004476A0">
              <w:rPr>
                <w:noProof/>
              </w:rPr>
            </w:r>
            <w:r w:rsidR="004476A0">
              <w:rPr>
                <w:noProof/>
              </w:rPr>
              <w:fldChar w:fldCharType="separate"/>
            </w:r>
            <w:r w:rsidR="00DA4AE7">
              <w:rPr>
                <w:noProof/>
              </w:rPr>
              <w:t>19</w:t>
            </w:r>
            <w:r w:rsidR="004476A0">
              <w:rPr>
                <w:noProof/>
              </w:rPr>
              <w:fldChar w:fldCharType="end"/>
            </w:r>
          </w:hyperlink>
        </w:p>
        <w:p w14:paraId="0ABBD120" w14:textId="6366019D" w:rsidR="004476A0" w:rsidRDefault="00000000">
          <w:pPr>
            <w:pStyle w:val="TDC2"/>
            <w:tabs>
              <w:tab w:val="right" w:leader="dot" w:pos="9016"/>
            </w:tabs>
            <w:rPr>
              <w:noProof/>
            </w:rPr>
          </w:pPr>
          <w:hyperlink w:anchor="_Toc241337913" w:history="1">
            <w:r w:rsidR="004476A0" w:rsidRPr="00C24552">
              <w:rPr>
                <w:rStyle w:val="Hipervnculo"/>
                <w:noProof/>
              </w:rPr>
              <w:t>7.2. Detección y alarma</w:t>
            </w:r>
            <w:r w:rsidR="004476A0">
              <w:rPr>
                <w:noProof/>
              </w:rPr>
              <w:tab/>
            </w:r>
            <w:r w:rsidR="004476A0">
              <w:rPr>
                <w:noProof/>
              </w:rPr>
              <w:fldChar w:fldCharType="begin"/>
            </w:r>
            <w:r w:rsidR="004476A0">
              <w:rPr>
                <w:noProof/>
              </w:rPr>
              <w:instrText xml:space="preserve"> PAGEREF _Toc241337913 \h </w:instrText>
            </w:r>
            <w:r w:rsidR="004476A0">
              <w:rPr>
                <w:noProof/>
              </w:rPr>
            </w:r>
            <w:r w:rsidR="004476A0">
              <w:rPr>
                <w:noProof/>
              </w:rPr>
              <w:fldChar w:fldCharType="separate"/>
            </w:r>
            <w:r w:rsidR="00DA4AE7">
              <w:rPr>
                <w:noProof/>
              </w:rPr>
              <w:t>19</w:t>
            </w:r>
            <w:r w:rsidR="004476A0">
              <w:rPr>
                <w:noProof/>
              </w:rPr>
              <w:fldChar w:fldCharType="end"/>
            </w:r>
          </w:hyperlink>
        </w:p>
        <w:p w14:paraId="62525DCA" w14:textId="7698AA9F" w:rsidR="004476A0" w:rsidRDefault="00000000">
          <w:pPr>
            <w:pStyle w:val="TDC2"/>
            <w:tabs>
              <w:tab w:val="right" w:leader="dot" w:pos="9016"/>
            </w:tabs>
            <w:rPr>
              <w:noProof/>
            </w:rPr>
          </w:pPr>
          <w:hyperlink w:anchor="_Toc241337914" w:history="1">
            <w:r w:rsidR="004476A0" w:rsidRPr="00C24552">
              <w:rPr>
                <w:rStyle w:val="Hipervnculo"/>
                <w:noProof/>
              </w:rPr>
              <w:t>7.3. Extinción adecuada para equipamiento tecnológico</w:t>
            </w:r>
            <w:r w:rsidR="004476A0">
              <w:rPr>
                <w:noProof/>
              </w:rPr>
              <w:tab/>
            </w:r>
            <w:r w:rsidR="004476A0">
              <w:rPr>
                <w:noProof/>
              </w:rPr>
              <w:fldChar w:fldCharType="begin"/>
            </w:r>
            <w:r w:rsidR="004476A0">
              <w:rPr>
                <w:noProof/>
              </w:rPr>
              <w:instrText xml:space="preserve"> PAGEREF _Toc241337914 \h </w:instrText>
            </w:r>
            <w:r w:rsidR="004476A0">
              <w:rPr>
                <w:noProof/>
              </w:rPr>
            </w:r>
            <w:r w:rsidR="004476A0">
              <w:rPr>
                <w:noProof/>
              </w:rPr>
              <w:fldChar w:fldCharType="separate"/>
            </w:r>
            <w:r w:rsidR="00DA4AE7">
              <w:rPr>
                <w:noProof/>
              </w:rPr>
              <w:t>19</w:t>
            </w:r>
            <w:r w:rsidR="004476A0">
              <w:rPr>
                <w:noProof/>
              </w:rPr>
              <w:fldChar w:fldCharType="end"/>
            </w:r>
          </w:hyperlink>
        </w:p>
        <w:p w14:paraId="0CE4EBD2" w14:textId="17276335" w:rsidR="004476A0" w:rsidRDefault="00000000">
          <w:pPr>
            <w:pStyle w:val="TDC2"/>
            <w:tabs>
              <w:tab w:val="right" w:leader="dot" w:pos="9016"/>
            </w:tabs>
            <w:rPr>
              <w:noProof/>
            </w:rPr>
          </w:pPr>
          <w:hyperlink w:anchor="_Toc241337915" w:history="1">
            <w:r w:rsidR="004476A0" w:rsidRPr="00C24552">
              <w:rPr>
                <w:rStyle w:val="Hipervnculo"/>
                <w:noProof/>
              </w:rPr>
              <w:t>7.4. Sectorización y procedimientos</w:t>
            </w:r>
            <w:r w:rsidR="004476A0">
              <w:rPr>
                <w:noProof/>
              </w:rPr>
              <w:tab/>
            </w:r>
            <w:r w:rsidR="004476A0">
              <w:rPr>
                <w:noProof/>
              </w:rPr>
              <w:fldChar w:fldCharType="begin"/>
            </w:r>
            <w:r w:rsidR="004476A0">
              <w:rPr>
                <w:noProof/>
              </w:rPr>
              <w:instrText xml:space="preserve"> PAGEREF _Toc241337915 \h </w:instrText>
            </w:r>
            <w:r w:rsidR="004476A0">
              <w:rPr>
                <w:noProof/>
              </w:rPr>
            </w:r>
            <w:r w:rsidR="004476A0">
              <w:rPr>
                <w:noProof/>
              </w:rPr>
              <w:fldChar w:fldCharType="separate"/>
            </w:r>
            <w:r w:rsidR="00DA4AE7">
              <w:rPr>
                <w:noProof/>
              </w:rPr>
              <w:t>20</w:t>
            </w:r>
            <w:r w:rsidR="004476A0">
              <w:rPr>
                <w:noProof/>
              </w:rPr>
              <w:fldChar w:fldCharType="end"/>
            </w:r>
          </w:hyperlink>
        </w:p>
        <w:p w14:paraId="45379E2C" w14:textId="24991D5A" w:rsidR="004476A0" w:rsidRDefault="00000000">
          <w:pPr>
            <w:pStyle w:val="TDC1"/>
            <w:tabs>
              <w:tab w:val="right" w:leader="dot" w:pos="9016"/>
            </w:tabs>
            <w:rPr>
              <w:noProof/>
            </w:rPr>
          </w:pPr>
          <w:hyperlink w:anchor="_Toc241337916" w:history="1">
            <w:r w:rsidR="004476A0" w:rsidRPr="00C24552">
              <w:rPr>
                <w:rStyle w:val="Hipervnculo"/>
                <w:noProof/>
              </w:rPr>
              <w:t>8. Seguridad física</w:t>
            </w:r>
            <w:r w:rsidR="004476A0">
              <w:rPr>
                <w:noProof/>
              </w:rPr>
              <w:tab/>
            </w:r>
            <w:r w:rsidR="004476A0">
              <w:rPr>
                <w:noProof/>
              </w:rPr>
              <w:fldChar w:fldCharType="begin"/>
            </w:r>
            <w:r w:rsidR="004476A0">
              <w:rPr>
                <w:noProof/>
              </w:rPr>
              <w:instrText xml:space="preserve"> PAGEREF _Toc241337916 \h </w:instrText>
            </w:r>
            <w:r w:rsidR="004476A0">
              <w:rPr>
                <w:noProof/>
              </w:rPr>
            </w:r>
            <w:r w:rsidR="004476A0">
              <w:rPr>
                <w:noProof/>
              </w:rPr>
              <w:fldChar w:fldCharType="separate"/>
            </w:r>
            <w:r w:rsidR="00DA4AE7">
              <w:rPr>
                <w:noProof/>
              </w:rPr>
              <w:t>21</w:t>
            </w:r>
            <w:r w:rsidR="004476A0">
              <w:rPr>
                <w:noProof/>
              </w:rPr>
              <w:fldChar w:fldCharType="end"/>
            </w:r>
          </w:hyperlink>
        </w:p>
        <w:p w14:paraId="01BBD162" w14:textId="447C4EEF" w:rsidR="004476A0" w:rsidRDefault="00000000">
          <w:pPr>
            <w:pStyle w:val="TDC1"/>
            <w:tabs>
              <w:tab w:val="right" w:leader="dot" w:pos="9016"/>
            </w:tabs>
            <w:rPr>
              <w:noProof/>
            </w:rPr>
          </w:pPr>
          <w:hyperlink w:anchor="_Toc241337917" w:history="1">
            <w:r w:rsidR="004476A0" w:rsidRPr="00C24552">
              <w:rPr>
                <w:rStyle w:val="Hipervnculo"/>
                <w:noProof/>
              </w:rPr>
              <w:t>9. Redundancia y disponibilidad</w:t>
            </w:r>
            <w:r w:rsidR="004476A0">
              <w:rPr>
                <w:noProof/>
              </w:rPr>
              <w:tab/>
            </w:r>
            <w:r w:rsidR="004476A0">
              <w:rPr>
                <w:noProof/>
              </w:rPr>
              <w:fldChar w:fldCharType="begin"/>
            </w:r>
            <w:r w:rsidR="004476A0">
              <w:rPr>
                <w:noProof/>
              </w:rPr>
              <w:instrText xml:space="preserve"> PAGEREF _Toc241337917 \h </w:instrText>
            </w:r>
            <w:r w:rsidR="004476A0">
              <w:rPr>
                <w:noProof/>
              </w:rPr>
            </w:r>
            <w:r w:rsidR="004476A0">
              <w:rPr>
                <w:noProof/>
              </w:rPr>
              <w:fldChar w:fldCharType="separate"/>
            </w:r>
            <w:r w:rsidR="00DA4AE7">
              <w:rPr>
                <w:noProof/>
              </w:rPr>
              <w:t>22</w:t>
            </w:r>
            <w:r w:rsidR="004476A0">
              <w:rPr>
                <w:noProof/>
              </w:rPr>
              <w:fldChar w:fldCharType="end"/>
            </w:r>
          </w:hyperlink>
        </w:p>
        <w:p w14:paraId="1D5C5673" w14:textId="7441D447" w:rsidR="004476A0" w:rsidRDefault="00000000">
          <w:pPr>
            <w:pStyle w:val="TDC2"/>
            <w:tabs>
              <w:tab w:val="right" w:leader="dot" w:pos="9016"/>
            </w:tabs>
            <w:rPr>
              <w:noProof/>
            </w:rPr>
          </w:pPr>
          <w:hyperlink w:anchor="_Toc241337918" w:history="1">
            <w:r w:rsidR="004476A0" w:rsidRPr="00C24552">
              <w:rPr>
                <w:rStyle w:val="Hipervnculo"/>
                <w:noProof/>
              </w:rPr>
              <w:t>9.1. Conceptos básicos</w:t>
            </w:r>
            <w:r w:rsidR="004476A0">
              <w:rPr>
                <w:noProof/>
              </w:rPr>
              <w:tab/>
            </w:r>
            <w:r w:rsidR="004476A0">
              <w:rPr>
                <w:noProof/>
              </w:rPr>
              <w:fldChar w:fldCharType="begin"/>
            </w:r>
            <w:r w:rsidR="004476A0">
              <w:rPr>
                <w:noProof/>
              </w:rPr>
              <w:instrText xml:space="preserve"> PAGEREF _Toc241337918 \h </w:instrText>
            </w:r>
            <w:r w:rsidR="004476A0">
              <w:rPr>
                <w:noProof/>
              </w:rPr>
            </w:r>
            <w:r w:rsidR="004476A0">
              <w:rPr>
                <w:noProof/>
              </w:rPr>
              <w:fldChar w:fldCharType="separate"/>
            </w:r>
            <w:r w:rsidR="00DA4AE7">
              <w:rPr>
                <w:noProof/>
              </w:rPr>
              <w:t>22</w:t>
            </w:r>
            <w:r w:rsidR="004476A0">
              <w:rPr>
                <w:noProof/>
              </w:rPr>
              <w:fldChar w:fldCharType="end"/>
            </w:r>
          </w:hyperlink>
        </w:p>
        <w:p w14:paraId="7A6D35F2" w14:textId="00D0032A" w:rsidR="004476A0" w:rsidRDefault="00000000">
          <w:pPr>
            <w:pStyle w:val="TDC2"/>
            <w:tabs>
              <w:tab w:val="right" w:leader="dot" w:pos="9016"/>
            </w:tabs>
            <w:rPr>
              <w:noProof/>
            </w:rPr>
          </w:pPr>
          <w:hyperlink w:anchor="_Toc241337919" w:history="1">
            <w:r w:rsidR="004476A0" w:rsidRPr="00C24552">
              <w:rPr>
                <w:rStyle w:val="Hipervnculo"/>
                <w:noProof/>
              </w:rPr>
              <w:t>9.2. Tabla de los «nueves»</w:t>
            </w:r>
            <w:r w:rsidR="004476A0">
              <w:rPr>
                <w:noProof/>
              </w:rPr>
              <w:tab/>
            </w:r>
            <w:r w:rsidR="004476A0">
              <w:rPr>
                <w:noProof/>
              </w:rPr>
              <w:fldChar w:fldCharType="begin"/>
            </w:r>
            <w:r w:rsidR="004476A0">
              <w:rPr>
                <w:noProof/>
              </w:rPr>
              <w:instrText xml:space="preserve"> PAGEREF _Toc241337919 \h </w:instrText>
            </w:r>
            <w:r w:rsidR="004476A0">
              <w:rPr>
                <w:noProof/>
              </w:rPr>
            </w:r>
            <w:r w:rsidR="004476A0">
              <w:rPr>
                <w:noProof/>
              </w:rPr>
              <w:fldChar w:fldCharType="separate"/>
            </w:r>
            <w:r w:rsidR="00DA4AE7">
              <w:rPr>
                <w:noProof/>
              </w:rPr>
              <w:t>22</w:t>
            </w:r>
            <w:r w:rsidR="004476A0">
              <w:rPr>
                <w:noProof/>
              </w:rPr>
              <w:fldChar w:fldCharType="end"/>
            </w:r>
          </w:hyperlink>
        </w:p>
        <w:p w14:paraId="4ABB7049" w14:textId="36E1ECBC" w:rsidR="004476A0" w:rsidRDefault="00000000">
          <w:pPr>
            <w:pStyle w:val="TDC2"/>
            <w:tabs>
              <w:tab w:val="right" w:leader="dot" w:pos="9016"/>
            </w:tabs>
            <w:rPr>
              <w:noProof/>
            </w:rPr>
          </w:pPr>
          <w:hyperlink w:anchor="_Toc241337920" w:history="1">
            <w:r w:rsidR="004476A0" w:rsidRPr="00C24552">
              <w:rPr>
                <w:rStyle w:val="Hipervnculo"/>
                <w:noProof/>
              </w:rPr>
              <w:t>9.3. N, N+1, 2N y 2N+1</w:t>
            </w:r>
            <w:r w:rsidR="004476A0">
              <w:rPr>
                <w:noProof/>
              </w:rPr>
              <w:tab/>
            </w:r>
            <w:r w:rsidR="004476A0">
              <w:rPr>
                <w:noProof/>
              </w:rPr>
              <w:fldChar w:fldCharType="begin"/>
            </w:r>
            <w:r w:rsidR="004476A0">
              <w:rPr>
                <w:noProof/>
              </w:rPr>
              <w:instrText xml:space="preserve"> PAGEREF _Toc241337920 \h </w:instrText>
            </w:r>
            <w:r w:rsidR="004476A0">
              <w:rPr>
                <w:noProof/>
              </w:rPr>
            </w:r>
            <w:r w:rsidR="004476A0">
              <w:rPr>
                <w:noProof/>
              </w:rPr>
              <w:fldChar w:fldCharType="separate"/>
            </w:r>
            <w:r w:rsidR="00DA4AE7">
              <w:rPr>
                <w:noProof/>
              </w:rPr>
              <w:t>22</w:t>
            </w:r>
            <w:r w:rsidR="004476A0">
              <w:rPr>
                <w:noProof/>
              </w:rPr>
              <w:fldChar w:fldCharType="end"/>
            </w:r>
          </w:hyperlink>
        </w:p>
        <w:p w14:paraId="13CF859A" w14:textId="074A8114" w:rsidR="004476A0" w:rsidRDefault="00000000">
          <w:pPr>
            <w:pStyle w:val="TDC2"/>
            <w:tabs>
              <w:tab w:val="right" w:leader="dot" w:pos="9016"/>
            </w:tabs>
            <w:rPr>
              <w:noProof/>
            </w:rPr>
          </w:pPr>
          <w:hyperlink w:anchor="_Toc241337921" w:history="1">
            <w:r w:rsidR="004476A0" w:rsidRPr="00C24552">
              <w:rPr>
                <w:rStyle w:val="Hipervnculo"/>
                <w:noProof/>
              </w:rPr>
              <w:t>9.4. Técnicas de alta disponibilidad en TI</w:t>
            </w:r>
            <w:r w:rsidR="004476A0">
              <w:rPr>
                <w:noProof/>
              </w:rPr>
              <w:tab/>
            </w:r>
            <w:r w:rsidR="004476A0">
              <w:rPr>
                <w:noProof/>
              </w:rPr>
              <w:fldChar w:fldCharType="begin"/>
            </w:r>
            <w:r w:rsidR="004476A0">
              <w:rPr>
                <w:noProof/>
              </w:rPr>
              <w:instrText xml:space="preserve"> PAGEREF _Toc241337921 \h </w:instrText>
            </w:r>
            <w:r w:rsidR="004476A0">
              <w:rPr>
                <w:noProof/>
              </w:rPr>
            </w:r>
            <w:r w:rsidR="004476A0">
              <w:rPr>
                <w:noProof/>
              </w:rPr>
              <w:fldChar w:fldCharType="separate"/>
            </w:r>
            <w:r w:rsidR="00DA4AE7">
              <w:rPr>
                <w:noProof/>
              </w:rPr>
              <w:t>23</w:t>
            </w:r>
            <w:r w:rsidR="004476A0">
              <w:rPr>
                <w:noProof/>
              </w:rPr>
              <w:fldChar w:fldCharType="end"/>
            </w:r>
          </w:hyperlink>
        </w:p>
        <w:p w14:paraId="1B4519B3" w14:textId="3F7AECE2" w:rsidR="004476A0" w:rsidRDefault="00000000">
          <w:pPr>
            <w:pStyle w:val="TDC1"/>
            <w:tabs>
              <w:tab w:val="right" w:leader="dot" w:pos="9016"/>
            </w:tabs>
            <w:rPr>
              <w:noProof/>
            </w:rPr>
          </w:pPr>
          <w:hyperlink w:anchor="_Toc241337922" w:history="1">
            <w:r w:rsidR="004476A0" w:rsidRPr="00C24552">
              <w:rPr>
                <w:rStyle w:val="Hipervnculo"/>
                <w:noProof/>
              </w:rPr>
              <w:t>10. Estándares, normas y clasificaciones de centros de datos</w:t>
            </w:r>
            <w:r w:rsidR="004476A0">
              <w:rPr>
                <w:noProof/>
              </w:rPr>
              <w:tab/>
            </w:r>
            <w:r w:rsidR="004476A0">
              <w:rPr>
                <w:noProof/>
              </w:rPr>
              <w:fldChar w:fldCharType="begin"/>
            </w:r>
            <w:r w:rsidR="004476A0">
              <w:rPr>
                <w:noProof/>
              </w:rPr>
              <w:instrText xml:space="preserve"> PAGEREF _Toc241337922 \h </w:instrText>
            </w:r>
            <w:r w:rsidR="004476A0">
              <w:rPr>
                <w:noProof/>
              </w:rPr>
            </w:r>
            <w:r w:rsidR="004476A0">
              <w:rPr>
                <w:noProof/>
              </w:rPr>
              <w:fldChar w:fldCharType="separate"/>
            </w:r>
            <w:r w:rsidR="00DA4AE7">
              <w:rPr>
                <w:noProof/>
              </w:rPr>
              <w:t>25</w:t>
            </w:r>
            <w:r w:rsidR="004476A0">
              <w:rPr>
                <w:noProof/>
              </w:rPr>
              <w:fldChar w:fldCharType="end"/>
            </w:r>
          </w:hyperlink>
        </w:p>
        <w:p w14:paraId="44F796B5" w14:textId="163534AC" w:rsidR="004476A0" w:rsidRDefault="00000000">
          <w:pPr>
            <w:pStyle w:val="TDC2"/>
            <w:tabs>
              <w:tab w:val="right" w:leader="dot" w:pos="9016"/>
            </w:tabs>
            <w:rPr>
              <w:noProof/>
            </w:rPr>
          </w:pPr>
          <w:hyperlink w:anchor="_Toc241337923" w:history="1">
            <w:r w:rsidR="004476A0" w:rsidRPr="00C24552">
              <w:rPr>
                <w:rStyle w:val="Hipervnculo"/>
                <w:noProof/>
              </w:rPr>
              <w:t>10.1. Norma, estándar, clasificación, certificación y buenas prácticas</w:t>
            </w:r>
            <w:r w:rsidR="004476A0">
              <w:rPr>
                <w:noProof/>
              </w:rPr>
              <w:tab/>
            </w:r>
            <w:r w:rsidR="004476A0">
              <w:rPr>
                <w:noProof/>
              </w:rPr>
              <w:fldChar w:fldCharType="begin"/>
            </w:r>
            <w:r w:rsidR="004476A0">
              <w:rPr>
                <w:noProof/>
              </w:rPr>
              <w:instrText xml:space="preserve"> PAGEREF _Toc241337923 \h </w:instrText>
            </w:r>
            <w:r w:rsidR="004476A0">
              <w:rPr>
                <w:noProof/>
              </w:rPr>
            </w:r>
            <w:r w:rsidR="004476A0">
              <w:rPr>
                <w:noProof/>
              </w:rPr>
              <w:fldChar w:fldCharType="separate"/>
            </w:r>
            <w:r w:rsidR="00DA4AE7">
              <w:rPr>
                <w:noProof/>
              </w:rPr>
              <w:t>25</w:t>
            </w:r>
            <w:r w:rsidR="004476A0">
              <w:rPr>
                <w:noProof/>
              </w:rPr>
              <w:fldChar w:fldCharType="end"/>
            </w:r>
          </w:hyperlink>
        </w:p>
        <w:p w14:paraId="695D7DCF" w14:textId="355089BE" w:rsidR="004476A0" w:rsidRDefault="00000000">
          <w:pPr>
            <w:pStyle w:val="TDC2"/>
            <w:tabs>
              <w:tab w:val="right" w:leader="dot" w:pos="9016"/>
            </w:tabs>
            <w:rPr>
              <w:noProof/>
            </w:rPr>
          </w:pPr>
          <w:hyperlink w:anchor="_Toc241337924" w:history="1">
            <w:r w:rsidR="004476A0" w:rsidRPr="00C24552">
              <w:rPr>
                <w:rStyle w:val="Hipervnculo"/>
                <w:noProof/>
              </w:rPr>
              <w:t>10.2. ANSI/TIA-942</w:t>
            </w:r>
            <w:r w:rsidR="004476A0">
              <w:rPr>
                <w:noProof/>
              </w:rPr>
              <w:tab/>
            </w:r>
            <w:r w:rsidR="004476A0">
              <w:rPr>
                <w:noProof/>
              </w:rPr>
              <w:fldChar w:fldCharType="begin"/>
            </w:r>
            <w:r w:rsidR="004476A0">
              <w:rPr>
                <w:noProof/>
              </w:rPr>
              <w:instrText xml:space="preserve"> PAGEREF _Toc241337924 \h </w:instrText>
            </w:r>
            <w:r w:rsidR="004476A0">
              <w:rPr>
                <w:noProof/>
              </w:rPr>
            </w:r>
            <w:r w:rsidR="004476A0">
              <w:rPr>
                <w:noProof/>
              </w:rPr>
              <w:fldChar w:fldCharType="separate"/>
            </w:r>
            <w:r w:rsidR="00DA4AE7">
              <w:rPr>
                <w:noProof/>
              </w:rPr>
              <w:t>25</w:t>
            </w:r>
            <w:r w:rsidR="004476A0">
              <w:rPr>
                <w:noProof/>
              </w:rPr>
              <w:fldChar w:fldCharType="end"/>
            </w:r>
          </w:hyperlink>
        </w:p>
        <w:p w14:paraId="42B06928" w14:textId="210B69FF" w:rsidR="004476A0" w:rsidRDefault="00000000">
          <w:pPr>
            <w:pStyle w:val="TDC2"/>
            <w:tabs>
              <w:tab w:val="right" w:leader="dot" w:pos="9016"/>
            </w:tabs>
            <w:rPr>
              <w:noProof/>
            </w:rPr>
          </w:pPr>
          <w:hyperlink w:anchor="_Toc241337925" w:history="1">
            <w:r w:rsidR="004476A0" w:rsidRPr="00C24552">
              <w:rPr>
                <w:rStyle w:val="Hipervnculo"/>
                <w:noProof/>
              </w:rPr>
              <w:t>10.3. Uptime Institute: clasificación Tier</w:t>
            </w:r>
            <w:r w:rsidR="004476A0">
              <w:rPr>
                <w:noProof/>
              </w:rPr>
              <w:tab/>
            </w:r>
            <w:r w:rsidR="004476A0">
              <w:rPr>
                <w:noProof/>
              </w:rPr>
              <w:fldChar w:fldCharType="begin"/>
            </w:r>
            <w:r w:rsidR="004476A0">
              <w:rPr>
                <w:noProof/>
              </w:rPr>
              <w:instrText xml:space="preserve"> PAGEREF _Toc241337925 \h </w:instrText>
            </w:r>
            <w:r w:rsidR="004476A0">
              <w:rPr>
                <w:noProof/>
              </w:rPr>
            </w:r>
            <w:r w:rsidR="004476A0">
              <w:rPr>
                <w:noProof/>
              </w:rPr>
              <w:fldChar w:fldCharType="separate"/>
            </w:r>
            <w:r w:rsidR="00DA4AE7">
              <w:rPr>
                <w:noProof/>
              </w:rPr>
              <w:t>26</w:t>
            </w:r>
            <w:r w:rsidR="004476A0">
              <w:rPr>
                <w:noProof/>
              </w:rPr>
              <w:fldChar w:fldCharType="end"/>
            </w:r>
          </w:hyperlink>
        </w:p>
        <w:p w14:paraId="04BF0026" w14:textId="4538E9FE" w:rsidR="004476A0" w:rsidRDefault="00000000">
          <w:pPr>
            <w:pStyle w:val="TDC2"/>
            <w:tabs>
              <w:tab w:val="right" w:leader="dot" w:pos="9016"/>
            </w:tabs>
            <w:rPr>
              <w:noProof/>
            </w:rPr>
          </w:pPr>
          <w:hyperlink w:anchor="_Toc241337926" w:history="1">
            <w:r w:rsidR="004476A0" w:rsidRPr="00C24552">
              <w:rPr>
                <w:rStyle w:val="Hipervnculo"/>
                <w:noProof/>
              </w:rPr>
              <w:t>10.4. EN 50600 e ISO/IEC 22237</w:t>
            </w:r>
            <w:r w:rsidR="004476A0">
              <w:rPr>
                <w:noProof/>
              </w:rPr>
              <w:tab/>
            </w:r>
            <w:r w:rsidR="004476A0">
              <w:rPr>
                <w:noProof/>
              </w:rPr>
              <w:fldChar w:fldCharType="begin"/>
            </w:r>
            <w:r w:rsidR="004476A0">
              <w:rPr>
                <w:noProof/>
              </w:rPr>
              <w:instrText xml:space="preserve"> PAGEREF _Toc241337926 \h </w:instrText>
            </w:r>
            <w:r w:rsidR="004476A0">
              <w:rPr>
                <w:noProof/>
              </w:rPr>
            </w:r>
            <w:r w:rsidR="004476A0">
              <w:rPr>
                <w:noProof/>
              </w:rPr>
              <w:fldChar w:fldCharType="separate"/>
            </w:r>
            <w:r w:rsidR="00DA4AE7">
              <w:rPr>
                <w:noProof/>
              </w:rPr>
              <w:t>26</w:t>
            </w:r>
            <w:r w:rsidR="004476A0">
              <w:rPr>
                <w:noProof/>
              </w:rPr>
              <w:fldChar w:fldCharType="end"/>
            </w:r>
          </w:hyperlink>
        </w:p>
        <w:p w14:paraId="2E755266" w14:textId="42953F76" w:rsidR="004476A0" w:rsidRDefault="00000000">
          <w:pPr>
            <w:pStyle w:val="TDC2"/>
            <w:tabs>
              <w:tab w:val="right" w:leader="dot" w:pos="9016"/>
            </w:tabs>
            <w:rPr>
              <w:noProof/>
            </w:rPr>
          </w:pPr>
          <w:hyperlink w:anchor="_Toc241337927" w:history="1">
            <w:r w:rsidR="004476A0" w:rsidRPr="00C24552">
              <w:rPr>
                <w:rStyle w:val="Hipervnculo"/>
                <w:noProof/>
              </w:rPr>
              <w:t>10.5. Otras normas relevantes</w:t>
            </w:r>
            <w:r w:rsidR="004476A0">
              <w:rPr>
                <w:noProof/>
              </w:rPr>
              <w:tab/>
            </w:r>
            <w:r w:rsidR="004476A0">
              <w:rPr>
                <w:noProof/>
              </w:rPr>
              <w:fldChar w:fldCharType="begin"/>
            </w:r>
            <w:r w:rsidR="004476A0">
              <w:rPr>
                <w:noProof/>
              </w:rPr>
              <w:instrText xml:space="preserve"> PAGEREF _Toc241337927 \h </w:instrText>
            </w:r>
            <w:r w:rsidR="004476A0">
              <w:rPr>
                <w:noProof/>
              </w:rPr>
            </w:r>
            <w:r w:rsidR="004476A0">
              <w:rPr>
                <w:noProof/>
              </w:rPr>
              <w:fldChar w:fldCharType="separate"/>
            </w:r>
            <w:r w:rsidR="00DA4AE7">
              <w:rPr>
                <w:noProof/>
              </w:rPr>
              <w:t>26</w:t>
            </w:r>
            <w:r w:rsidR="004476A0">
              <w:rPr>
                <w:noProof/>
              </w:rPr>
              <w:fldChar w:fldCharType="end"/>
            </w:r>
          </w:hyperlink>
        </w:p>
        <w:p w14:paraId="65E6ED6B" w14:textId="76BEBDCD" w:rsidR="004476A0" w:rsidRDefault="00000000">
          <w:pPr>
            <w:pStyle w:val="TDC1"/>
            <w:tabs>
              <w:tab w:val="right" w:leader="dot" w:pos="9016"/>
            </w:tabs>
            <w:rPr>
              <w:noProof/>
            </w:rPr>
          </w:pPr>
          <w:hyperlink w:anchor="_Toc241337928" w:history="1">
            <w:r w:rsidR="004476A0" w:rsidRPr="00C24552">
              <w:rPr>
                <w:rStyle w:val="Hipervnculo"/>
                <w:noProof/>
              </w:rPr>
              <w:t>11. Infraestructura informática del CPD</w:t>
            </w:r>
            <w:r w:rsidR="004476A0">
              <w:rPr>
                <w:noProof/>
              </w:rPr>
              <w:tab/>
            </w:r>
            <w:r w:rsidR="004476A0">
              <w:rPr>
                <w:noProof/>
              </w:rPr>
              <w:fldChar w:fldCharType="begin"/>
            </w:r>
            <w:r w:rsidR="004476A0">
              <w:rPr>
                <w:noProof/>
              </w:rPr>
              <w:instrText xml:space="preserve"> PAGEREF _Toc241337928 \h </w:instrText>
            </w:r>
            <w:r w:rsidR="004476A0">
              <w:rPr>
                <w:noProof/>
              </w:rPr>
            </w:r>
            <w:r w:rsidR="004476A0">
              <w:rPr>
                <w:noProof/>
              </w:rPr>
              <w:fldChar w:fldCharType="separate"/>
            </w:r>
            <w:r w:rsidR="00DA4AE7">
              <w:rPr>
                <w:noProof/>
              </w:rPr>
              <w:t>29</w:t>
            </w:r>
            <w:r w:rsidR="004476A0">
              <w:rPr>
                <w:noProof/>
              </w:rPr>
              <w:fldChar w:fldCharType="end"/>
            </w:r>
          </w:hyperlink>
        </w:p>
        <w:p w14:paraId="672EFDF5" w14:textId="04E69B27" w:rsidR="004476A0" w:rsidRDefault="00000000">
          <w:pPr>
            <w:pStyle w:val="TDC2"/>
            <w:tabs>
              <w:tab w:val="right" w:leader="dot" w:pos="9016"/>
            </w:tabs>
            <w:rPr>
              <w:noProof/>
            </w:rPr>
          </w:pPr>
          <w:hyperlink w:anchor="_Toc241337929" w:history="1">
            <w:r w:rsidR="004476A0" w:rsidRPr="00C24552">
              <w:rPr>
                <w:rStyle w:val="Hipervnculo"/>
                <w:noProof/>
              </w:rPr>
              <w:t>11.1. Servidores</w:t>
            </w:r>
            <w:r w:rsidR="004476A0">
              <w:rPr>
                <w:noProof/>
              </w:rPr>
              <w:tab/>
            </w:r>
            <w:r w:rsidR="004476A0">
              <w:rPr>
                <w:noProof/>
              </w:rPr>
              <w:fldChar w:fldCharType="begin"/>
            </w:r>
            <w:r w:rsidR="004476A0">
              <w:rPr>
                <w:noProof/>
              </w:rPr>
              <w:instrText xml:space="preserve"> PAGEREF _Toc241337929 \h </w:instrText>
            </w:r>
            <w:r w:rsidR="004476A0">
              <w:rPr>
                <w:noProof/>
              </w:rPr>
            </w:r>
            <w:r w:rsidR="004476A0">
              <w:rPr>
                <w:noProof/>
              </w:rPr>
              <w:fldChar w:fldCharType="separate"/>
            </w:r>
            <w:r w:rsidR="00DA4AE7">
              <w:rPr>
                <w:noProof/>
              </w:rPr>
              <w:t>29</w:t>
            </w:r>
            <w:r w:rsidR="004476A0">
              <w:rPr>
                <w:noProof/>
              </w:rPr>
              <w:fldChar w:fldCharType="end"/>
            </w:r>
          </w:hyperlink>
        </w:p>
        <w:p w14:paraId="10D182EA" w14:textId="72334464" w:rsidR="004476A0" w:rsidRDefault="00000000">
          <w:pPr>
            <w:pStyle w:val="TDC2"/>
            <w:tabs>
              <w:tab w:val="right" w:leader="dot" w:pos="9016"/>
            </w:tabs>
            <w:rPr>
              <w:noProof/>
            </w:rPr>
          </w:pPr>
          <w:hyperlink w:anchor="_Toc241337930" w:history="1">
            <w:r w:rsidR="004476A0" w:rsidRPr="00C24552">
              <w:rPr>
                <w:rStyle w:val="Hipervnculo"/>
                <w:noProof/>
              </w:rPr>
              <w:t>11.2. Redes y seguridad perimetral</w:t>
            </w:r>
            <w:r w:rsidR="004476A0">
              <w:rPr>
                <w:noProof/>
              </w:rPr>
              <w:tab/>
            </w:r>
            <w:r w:rsidR="004476A0">
              <w:rPr>
                <w:noProof/>
              </w:rPr>
              <w:fldChar w:fldCharType="begin"/>
            </w:r>
            <w:r w:rsidR="004476A0">
              <w:rPr>
                <w:noProof/>
              </w:rPr>
              <w:instrText xml:space="preserve"> PAGEREF _Toc241337930 \h </w:instrText>
            </w:r>
            <w:r w:rsidR="004476A0">
              <w:rPr>
                <w:noProof/>
              </w:rPr>
            </w:r>
            <w:r w:rsidR="004476A0">
              <w:rPr>
                <w:noProof/>
              </w:rPr>
              <w:fldChar w:fldCharType="separate"/>
            </w:r>
            <w:r w:rsidR="00DA4AE7">
              <w:rPr>
                <w:noProof/>
              </w:rPr>
              <w:t>29</w:t>
            </w:r>
            <w:r w:rsidR="004476A0">
              <w:rPr>
                <w:noProof/>
              </w:rPr>
              <w:fldChar w:fldCharType="end"/>
            </w:r>
          </w:hyperlink>
        </w:p>
        <w:p w14:paraId="5097F57E" w14:textId="5B64805C" w:rsidR="004476A0" w:rsidRDefault="00000000">
          <w:pPr>
            <w:pStyle w:val="TDC2"/>
            <w:tabs>
              <w:tab w:val="right" w:leader="dot" w:pos="9016"/>
            </w:tabs>
            <w:rPr>
              <w:noProof/>
            </w:rPr>
          </w:pPr>
          <w:hyperlink w:anchor="_Toc241337931" w:history="1">
            <w:r w:rsidR="004476A0" w:rsidRPr="00C24552">
              <w:rPr>
                <w:rStyle w:val="Hipervnculo"/>
                <w:noProof/>
              </w:rPr>
              <w:t>11.3. Relación entre componentes</w:t>
            </w:r>
            <w:r w:rsidR="004476A0">
              <w:rPr>
                <w:noProof/>
              </w:rPr>
              <w:tab/>
            </w:r>
            <w:r w:rsidR="004476A0">
              <w:rPr>
                <w:noProof/>
              </w:rPr>
              <w:fldChar w:fldCharType="begin"/>
            </w:r>
            <w:r w:rsidR="004476A0">
              <w:rPr>
                <w:noProof/>
              </w:rPr>
              <w:instrText xml:space="preserve"> PAGEREF _Toc241337931 \h </w:instrText>
            </w:r>
            <w:r w:rsidR="004476A0">
              <w:rPr>
                <w:noProof/>
              </w:rPr>
            </w:r>
            <w:r w:rsidR="004476A0">
              <w:rPr>
                <w:noProof/>
              </w:rPr>
              <w:fldChar w:fldCharType="separate"/>
            </w:r>
            <w:r w:rsidR="00DA4AE7">
              <w:rPr>
                <w:noProof/>
              </w:rPr>
              <w:t>29</w:t>
            </w:r>
            <w:r w:rsidR="004476A0">
              <w:rPr>
                <w:noProof/>
              </w:rPr>
              <w:fldChar w:fldCharType="end"/>
            </w:r>
          </w:hyperlink>
        </w:p>
        <w:p w14:paraId="70B1BC3C" w14:textId="60948283" w:rsidR="004476A0" w:rsidRDefault="00000000">
          <w:pPr>
            <w:pStyle w:val="TDC1"/>
            <w:tabs>
              <w:tab w:val="right" w:leader="dot" w:pos="9016"/>
            </w:tabs>
            <w:rPr>
              <w:noProof/>
            </w:rPr>
          </w:pPr>
          <w:hyperlink w:anchor="_Toc241337932" w:history="1">
            <w:r w:rsidR="004476A0" w:rsidRPr="00C24552">
              <w:rPr>
                <w:rStyle w:val="Hipervnculo"/>
                <w:noProof/>
              </w:rPr>
              <w:t>12. Almacenamiento y gestión de datos</w:t>
            </w:r>
            <w:r w:rsidR="004476A0">
              <w:rPr>
                <w:noProof/>
              </w:rPr>
              <w:tab/>
            </w:r>
            <w:r w:rsidR="004476A0">
              <w:rPr>
                <w:noProof/>
              </w:rPr>
              <w:fldChar w:fldCharType="begin"/>
            </w:r>
            <w:r w:rsidR="004476A0">
              <w:rPr>
                <w:noProof/>
              </w:rPr>
              <w:instrText xml:space="preserve"> PAGEREF _Toc241337932 \h </w:instrText>
            </w:r>
            <w:r w:rsidR="004476A0">
              <w:rPr>
                <w:noProof/>
              </w:rPr>
            </w:r>
            <w:r w:rsidR="004476A0">
              <w:rPr>
                <w:noProof/>
              </w:rPr>
              <w:fldChar w:fldCharType="separate"/>
            </w:r>
            <w:r w:rsidR="00DA4AE7">
              <w:rPr>
                <w:noProof/>
              </w:rPr>
              <w:t>30</w:t>
            </w:r>
            <w:r w:rsidR="004476A0">
              <w:rPr>
                <w:noProof/>
              </w:rPr>
              <w:fldChar w:fldCharType="end"/>
            </w:r>
          </w:hyperlink>
        </w:p>
        <w:p w14:paraId="6D8F455A" w14:textId="42CDBFF2" w:rsidR="004476A0" w:rsidRDefault="00000000">
          <w:pPr>
            <w:pStyle w:val="TDC2"/>
            <w:tabs>
              <w:tab w:val="right" w:leader="dot" w:pos="9016"/>
            </w:tabs>
            <w:rPr>
              <w:noProof/>
            </w:rPr>
          </w:pPr>
          <w:hyperlink w:anchor="_Toc241337933" w:history="1">
            <w:r w:rsidR="004476A0" w:rsidRPr="00C24552">
              <w:rPr>
                <w:rStyle w:val="Hipervnculo"/>
                <w:noProof/>
              </w:rPr>
              <w:t>12.1. DAS, NAS y SAN</w:t>
            </w:r>
            <w:r w:rsidR="004476A0">
              <w:rPr>
                <w:noProof/>
              </w:rPr>
              <w:tab/>
            </w:r>
            <w:r w:rsidR="004476A0">
              <w:rPr>
                <w:noProof/>
              </w:rPr>
              <w:fldChar w:fldCharType="begin"/>
            </w:r>
            <w:r w:rsidR="004476A0">
              <w:rPr>
                <w:noProof/>
              </w:rPr>
              <w:instrText xml:space="preserve"> PAGEREF _Toc241337933 \h </w:instrText>
            </w:r>
            <w:r w:rsidR="004476A0">
              <w:rPr>
                <w:noProof/>
              </w:rPr>
            </w:r>
            <w:r w:rsidR="004476A0">
              <w:rPr>
                <w:noProof/>
              </w:rPr>
              <w:fldChar w:fldCharType="separate"/>
            </w:r>
            <w:r w:rsidR="00DA4AE7">
              <w:rPr>
                <w:noProof/>
              </w:rPr>
              <w:t>30</w:t>
            </w:r>
            <w:r w:rsidR="004476A0">
              <w:rPr>
                <w:noProof/>
              </w:rPr>
              <w:fldChar w:fldCharType="end"/>
            </w:r>
          </w:hyperlink>
        </w:p>
        <w:p w14:paraId="2C647BC4" w14:textId="2210CFF3" w:rsidR="004476A0" w:rsidRDefault="00000000">
          <w:pPr>
            <w:pStyle w:val="TDC2"/>
            <w:tabs>
              <w:tab w:val="right" w:leader="dot" w:pos="9016"/>
            </w:tabs>
            <w:rPr>
              <w:noProof/>
            </w:rPr>
          </w:pPr>
          <w:hyperlink w:anchor="_Toc241337934" w:history="1">
            <w:r w:rsidR="004476A0" w:rsidRPr="00C24552">
              <w:rPr>
                <w:rStyle w:val="Hipervnculo"/>
                <w:noProof/>
              </w:rPr>
              <w:t>12.2. RAID</w:t>
            </w:r>
            <w:r w:rsidR="004476A0">
              <w:rPr>
                <w:noProof/>
              </w:rPr>
              <w:tab/>
            </w:r>
            <w:r w:rsidR="004476A0">
              <w:rPr>
                <w:noProof/>
              </w:rPr>
              <w:fldChar w:fldCharType="begin"/>
            </w:r>
            <w:r w:rsidR="004476A0">
              <w:rPr>
                <w:noProof/>
              </w:rPr>
              <w:instrText xml:space="preserve"> PAGEREF _Toc241337934 \h </w:instrText>
            </w:r>
            <w:r w:rsidR="004476A0">
              <w:rPr>
                <w:noProof/>
              </w:rPr>
            </w:r>
            <w:r w:rsidR="004476A0">
              <w:rPr>
                <w:noProof/>
              </w:rPr>
              <w:fldChar w:fldCharType="separate"/>
            </w:r>
            <w:r w:rsidR="00DA4AE7">
              <w:rPr>
                <w:noProof/>
              </w:rPr>
              <w:t>30</w:t>
            </w:r>
            <w:r w:rsidR="004476A0">
              <w:rPr>
                <w:noProof/>
              </w:rPr>
              <w:fldChar w:fldCharType="end"/>
            </w:r>
          </w:hyperlink>
        </w:p>
        <w:p w14:paraId="25ECE19A" w14:textId="622C0D10" w:rsidR="004476A0" w:rsidRDefault="00000000">
          <w:pPr>
            <w:pStyle w:val="TDC2"/>
            <w:tabs>
              <w:tab w:val="right" w:leader="dot" w:pos="9016"/>
            </w:tabs>
            <w:rPr>
              <w:noProof/>
            </w:rPr>
          </w:pPr>
          <w:hyperlink w:anchor="_Toc241337935" w:history="1">
            <w:r w:rsidR="004476A0" w:rsidRPr="00C24552">
              <w:rPr>
                <w:rStyle w:val="Hipervnculo"/>
                <w:noProof/>
              </w:rPr>
              <w:t>12.3. Replicación</w:t>
            </w:r>
            <w:r w:rsidR="004476A0">
              <w:rPr>
                <w:noProof/>
              </w:rPr>
              <w:tab/>
            </w:r>
            <w:r w:rsidR="004476A0">
              <w:rPr>
                <w:noProof/>
              </w:rPr>
              <w:fldChar w:fldCharType="begin"/>
            </w:r>
            <w:r w:rsidR="004476A0">
              <w:rPr>
                <w:noProof/>
              </w:rPr>
              <w:instrText xml:space="preserve"> PAGEREF _Toc241337935 \h </w:instrText>
            </w:r>
            <w:r w:rsidR="004476A0">
              <w:rPr>
                <w:noProof/>
              </w:rPr>
            </w:r>
            <w:r w:rsidR="004476A0">
              <w:rPr>
                <w:noProof/>
              </w:rPr>
              <w:fldChar w:fldCharType="separate"/>
            </w:r>
            <w:r w:rsidR="00DA4AE7">
              <w:rPr>
                <w:noProof/>
              </w:rPr>
              <w:t>30</w:t>
            </w:r>
            <w:r w:rsidR="004476A0">
              <w:rPr>
                <w:noProof/>
              </w:rPr>
              <w:fldChar w:fldCharType="end"/>
            </w:r>
          </w:hyperlink>
        </w:p>
        <w:p w14:paraId="0B978ACB" w14:textId="04E4BA8B" w:rsidR="004476A0" w:rsidRDefault="00000000">
          <w:pPr>
            <w:pStyle w:val="TDC1"/>
            <w:tabs>
              <w:tab w:val="right" w:leader="dot" w:pos="9016"/>
            </w:tabs>
            <w:rPr>
              <w:noProof/>
            </w:rPr>
          </w:pPr>
          <w:hyperlink w:anchor="_Toc241337936" w:history="1">
            <w:r w:rsidR="004476A0" w:rsidRPr="00C24552">
              <w:rPr>
                <w:rStyle w:val="Hipervnculo"/>
                <w:noProof/>
              </w:rPr>
              <w:t>13. Virtualización e hiperconvergencia</w:t>
            </w:r>
            <w:r w:rsidR="004476A0">
              <w:rPr>
                <w:noProof/>
              </w:rPr>
              <w:tab/>
            </w:r>
            <w:r w:rsidR="004476A0">
              <w:rPr>
                <w:noProof/>
              </w:rPr>
              <w:fldChar w:fldCharType="begin"/>
            </w:r>
            <w:r w:rsidR="004476A0">
              <w:rPr>
                <w:noProof/>
              </w:rPr>
              <w:instrText xml:space="preserve"> PAGEREF _Toc241337936 \h </w:instrText>
            </w:r>
            <w:r w:rsidR="004476A0">
              <w:rPr>
                <w:noProof/>
              </w:rPr>
            </w:r>
            <w:r w:rsidR="004476A0">
              <w:rPr>
                <w:noProof/>
              </w:rPr>
              <w:fldChar w:fldCharType="separate"/>
            </w:r>
            <w:r w:rsidR="00DA4AE7">
              <w:rPr>
                <w:noProof/>
              </w:rPr>
              <w:t>32</w:t>
            </w:r>
            <w:r w:rsidR="004476A0">
              <w:rPr>
                <w:noProof/>
              </w:rPr>
              <w:fldChar w:fldCharType="end"/>
            </w:r>
          </w:hyperlink>
        </w:p>
        <w:p w14:paraId="4FB449EA" w14:textId="6D0CE336" w:rsidR="004476A0" w:rsidRDefault="00000000">
          <w:pPr>
            <w:pStyle w:val="TDC2"/>
            <w:tabs>
              <w:tab w:val="right" w:leader="dot" w:pos="9016"/>
            </w:tabs>
            <w:rPr>
              <w:noProof/>
            </w:rPr>
          </w:pPr>
          <w:hyperlink w:anchor="_Toc241337937" w:history="1">
            <w:r w:rsidR="004476A0" w:rsidRPr="00C24552">
              <w:rPr>
                <w:rStyle w:val="Hipervnculo"/>
                <w:noProof/>
              </w:rPr>
              <w:t>13.1. Concepto y tipos de hipervisor</w:t>
            </w:r>
            <w:r w:rsidR="004476A0">
              <w:rPr>
                <w:noProof/>
              </w:rPr>
              <w:tab/>
            </w:r>
            <w:r w:rsidR="004476A0">
              <w:rPr>
                <w:noProof/>
              </w:rPr>
              <w:fldChar w:fldCharType="begin"/>
            </w:r>
            <w:r w:rsidR="004476A0">
              <w:rPr>
                <w:noProof/>
              </w:rPr>
              <w:instrText xml:space="preserve"> PAGEREF _Toc241337937 \h </w:instrText>
            </w:r>
            <w:r w:rsidR="004476A0">
              <w:rPr>
                <w:noProof/>
              </w:rPr>
            </w:r>
            <w:r w:rsidR="004476A0">
              <w:rPr>
                <w:noProof/>
              </w:rPr>
              <w:fldChar w:fldCharType="separate"/>
            </w:r>
            <w:r w:rsidR="00DA4AE7">
              <w:rPr>
                <w:noProof/>
              </w:rPr>
              <w:t>32</w:t>
            </w:r>
            <w:r w:rsidR="004476A0">
              <w:rPr>
                <w:noProof/>
              </w:rPr>
              <w:fldChar w:fldCharType="end"/>
            </w:r>
          </w:hyperlink>
        </w:p>
        <w:p w14:paraId="52846A60" w14:textId="0FC484C5" w:rsidR="004476A0" w:rsidRDefault="00000000">
          <w:pPr>
            <w:pStyle w:val="TDC2"/>
            <w:tabs>
              <w:tab w:val="right" w:leader="dot" w:pos="9016"/>
            </w:tabs>
            <w:rPr>
              <w:noProof/>
            </w:rPr>
          </w:pPr>
          <w:hyperlink w:anchor="_Toc241337938" w:history="1">
            <w:r w:rsidR="004476A0" w:rsidRPr="00C24552">
              <w:rPr>
                <w:rStyle w:val="Hipervnculo"/>
                <w:noProof/>
              </w:rPr>
              <w:t>13.2. Funcionalidades relevantes para la explotación</w:t>
            </w:r>
            <w:r w:rsidR="004476A0">
              <w:rPr>
                <w:noProof/>
              </w:rPr>
              <w:tab/>
            </w:r>
            <w:r w:rsidR="004476A0">
              <w:rPr>
                <w:noProof/>
              </w:rPr>
              <w:fldChar w:fldCharType="begin"/>
            </w:r>
            <w:r w:rsidR="004476A0">
              <w:rPr>
                <w:noProof/>
              </w:rPr>
              <w:instrText xml:space="preserve"> PAGEREF _Toc241337938 \h </w:instrText>
            </w:r>
            <w:r w:rsidR="004476A0">
              <w:rPr>
                <w:noProof/>
              </w:rPr>
            </w:r>
            <w:r w:rsidR="004476A0">
              <w:rPr>
                <w:noProof/>
              </w:rPr>
              <w:fldChar w:fldCharType="separate"/>
            </w:r>
            <w:r w:rsidR="00DA4AE7">
              <w:rPr>
                <w:noProof/>
              </w:rPr>
              <w:t>32</w:t>
            </w:r>
            <w:r w:rsidR="004476A0">
              <w:rPr>
                <w:noProof/>
              </w:rPr>
              <w:fldChar w:fldCharType="end"/>
            </w:r>
          </w:hyperlink>
        </w:p>
        <w:p w14:paraId="3CF1D2F2" w14:textId="2EC08602" w:rsidR="004476A0" w:rsidRDefault="00000000">
          <w:pPr>
            <w:pStyle w:val="TDC2"/>
            <w:tabs>
              <w:tab w:val="right" w:leader="dot" w:pos="9016"/>
            </w:tabs>
            <w:rPr>
              <w:noProof/>
            </w:rPr>
          </w:pPr>
          <w:hyperlink w:anchor="_Toc241337939" w:history="1">
            <w:r w:rsidR="004476A0" w:rsidRPr="00C24552">
              <w:rPr>
                <w:rStyle w:val="Hipervnculo"/>
                <w:noProof/>
              </w:rPr>
              <w:t>13.3. Ventajas y limitaciones</w:t>
            </w:r>
            <w:r w:rsidR="004476A0">
              <w:rPr>
                <w:noProof/>
              </w:rPr>
              <w:tab/>
            </w:r>
            <w:r w:rsidR="004476A0">
              <w:rPr>
                <w:noProof/>
              </w:rPr>
              <w:fldChar w:fldCharType="begin"/>
            </w:r>
            <w:r w:rsidR="004476A0">
              <w:rPr>
                <w:noProof/>
              </w:rPr>
              <w:instrText xml:space="preserve"> PAGEREF _Toc241337939 \h </w:instrText>
            </w:r>
            <w:r w:rsidR="004476A0">
              <w:rPr>
                <w:noProof/>
              </w:rPr>
            </w:r>
            <w:r w:rsidR="004476A0">
              <w:rPr>
                <w:noProof/>
              </w:rPr>
              <w:fldChar w:fldCharType="separate"/>
            </w:r>
            <w:r w:rsidR="00DA4AE7">
              <w:rPr>
                <w:noProof/>
              </w:rPr>
              <w:t>32</w:t>
            </w:r>
            <w:r w:rsidR="004476A0">
              <w:rPr>
                <w:noProof/>
              </w:rPr>
              <w:fldChar w:fldCharType="end"/>
            </w:r>
          </w:hyperlink>
        </w:p>
        <w:p w14:paraId="2436613D" w14:textId="32FE0EDC" w:rsidR="004476A0" w:rsidRDefault="00000000">
          <w:pPr>
            <w:pStyle w:val="TDC2"/>
            <w:tabs>
              <w:tab w:val="right" w:leader="dot" w:pos="9016"/>
            </w:tabs>
            <w:rPr>
              <w:noProof/>
            </w:rPr>
          </w:pPr>
          <w:hyperlink w:anchor="_Toc241337940" w:history="1">
            <w:r w:rsidR="004476A0" w:rsidRPr="00C24552">
              <w:rPr>
                <w:rStyle w:val="Hipervnculo"/>
                <w:noProof/>
              </w:rPr>
              <w:t>13.4. Hiperconvergencia</w:t>
            </w:r>
            <w:r w:rsidR="004476A0">
              <w:rPr>
                <w:noProof/>
              </w:rPr>
              <w:tab/>
            </w:r>
            <w:r w:rsidR="004476A0">
              <w:rPr>
                <w:noProof/>
              </w:rPr>
              <w:fldChar w:fldCharType="begin"/>
            </w:r>
            <w:r w:rsidR="004476A0">
              <w:rPr>
                <w:noProof/>
              </w:rPr>
              <w:instrText xml:space="preserve"> PAGEREF _Toc241337940 \h </w:instrText>
            </w:r>
            <w:r w:rsidR="004476A0">
              <w:rPr>
                <w:noProof/>
              </w:rPr>
            </w:r>
            <w:r w:rsidR="004476A0">
              <w:rPr>
                <w:noProof/>
              </w:rPr>
              <w:fldChar w:fldCharType="separate"/>
            </w:r>
            <w:r w:rsidR="00DA4AE7">
              <w:rPr>
                <w:noProof/>
              </w:rPr>
              <w:t>32</w:t>
            </w:r>
            <w:r w:rsidR="004476A0">
              <w:rPr>
                <w:noProof/>
              </w:rPr>
              <w:fldChar w:fldCharType="end"/>
            </w:r>
          </w:hyperlink>
        </w:p>
        <w:p w14:paraId="553D1409" w14:textId="54911AD7" w:rsidR="004476A0" w:rsidRDefault="00000000">
          <w:pPr>
            <w:pStyle w:val="TDC1"/>
            <w:tabs>
              <w:tab w:val="right" w:leader="dot" w:pos="9016"/>
            </w:tabs>
            <w:rPr>
              <w:noProof/>
            </w:rPr>
          </w:pPr>
          <w:hyperlink w:anchor="_Toc241337941" w:history="1">
            <w:r w:rsidR="004476A0" w:rsidRPr="00C24552">
              <w:rPr>
                <w:rStyle w:val="Hipervnculo"/>
                <w:noProof/>
              </w:rPr>
              <w:t>14. Copias de seguridad y recuperación</w:t>
            </w:r>
            <w:r w:rsidR="004476A0">
              <w:rPr>
                <w:noProof/>
              </w:rPr>
              <w:tab/>
            </w:r>
            <w:r w:rsidR="004476A0">
              <w:rPr>
                <w:noProof/>
              </w:rPr>
              <w:fldChar w:fldCharType="begin"/>
            </w:r>
            <w:r w:rsidR="004476A0">
              <w:rPr>
                <w:noProof/>
              </w:rPr>
              <w:instrText xml:space="preserve"> PAGEREF _Toc241337941 \h </w:instrText>
            </w:r>
            <w:r w:rsidR="004476A0">
              <w:rPr>
                <w:noProof/>
              </w:rPr>
            </w:r>
            <w:r w:rsidR="004476A0">
              <w:rPr>
                <w:noProof/>
              </w:rPr>
              <w:fldChar w:fldCharType="separate"/>
            </w:r>
            <w:r w:rsidR="00DA4AE7">
              <w:rPr>
                <w:noProof/>
              </w:rPr>
              <w:t>34</w:t>
            </w:r>
            <w:r w:rsidR="004476A0">
              <w:rPr>
                <w:noProof/>
              </w:rPr>
              <w:fldChar w:fldCharType="end"/>
            </w:r>
          </w:hyperlink>
        </w:p>
        <w:p w14:paraId="233683EC" w14:textId="1AD06313" w:rsidR="004476A0" w:rsidRDefault="00000000">
          <w:pPr>
            <w:pStyle w:val="TDC2"/>
            <w:tabs>
              <w:tab w:val="right" w:leader="dot" w:pos="9016"/>
            </w:tabs>
            <w:rPr>
              <w:noProof/>
            </w:rPr>
          </w:pPr>
          <w:hyperlink w:anchor="_Toc241337942" w:history="1">
            <w:r w:rsidR="004476A0" w:rsidRPr="00C24552">
              <w:rPr>
                <w:rStyle w:val="Hipervnculo"/>
                <w:noProof/>
              </w:rPr>
              <w:t>14.1. Conceptos</w:t>
            </w:r>
            <w:r w:rsidR="004476A0">
              <w:rPr>
                <w:noProof/>
              </w:rPr>
              <w:tab/>
            </w:r>
            <w:r w:rsidR="004476A0">
              <w:rPr>
                <w:noProof/>
              </w:rPr>
              <w:fldChar w:fldCharType="begin"/>
            </w:r>
            <w:r w:rsidR="004476A0">
              <w:rPr>
                <w:noProof/>
              </w:rPr>
              <w:instrText xml:space="preserve"> PAGEREF _Toc241337942 \h </w:instrText>
            </w:r>
            <w:r w:rsidR="004476A0">
              <w:rPr>
                <w:noProof/>
              </w:rPr>
            </w:r>
            <w:r w:rsidR="004476A0">
              <w:rPr>
                <w:noProof/>
              </w:rPr>
              <w:fldChar w:fldCharType="separate"/>
            </w:r>
            <w:r w:rsidR="00DA4AE7">
              <w:rPr>
                <w:noProof/>
              </w:rPr>
              <w:t>34</w:t>
            </w:r>
            <w:r w:rsidR="004476A0">
              <w:rPr>
                <w:noProof/>
              </w:rPr>
              <w:fldChar w:fldCharType="end"/>
            </w:r>
          </w:hyperlink>
        </w:p>
        <w:p w14:paraId="7D6FC8BA" w14:textId="0526706B" w:rsidR="004476A0" w:rsidRDefault="00000000">
          <w:pPr>
            <w:pStyle w:val="TDC2"/>
            <w:tabs>
              <w:tab w:val="right" w:leader="dot" w:pos="9016"/>
            </w:tabs>
            <w:rPr>
              <w:noProof/>
            </w:rPr>
          </w:pPr>
          <w:hyperlink w:anchor="_Toc241337943" w:history="1">
            <w:r w:rsidR="004476A0" w:rsidRPr="00C24552">
              <w:rPr>
                <w:rStyle w:val="Hipervnculo"/>
                <w:noProof/>
              </w:rPr>
              <w:t>14.2. Tipos de copia</w:t>
            </w:r>
            <w:r w:rsidR="004476A0">
              <w:rPr>
                <w:noProof/>
              </w:rPr>
              <w:tab/>
            </w:r>
            <w:r w:rsidR="004476A0">
              <w:rPr>
                <w:noProof/>
              </w:rPr>
              <w:fldChar w:fldCharType="begin"/>
            </w:r>
            <w:r w:rsidR="004476A0">
              <w:rPr>
                <w:noProof/>
              </w:rPr>
              <w:instrText xml:space="preserve"> PAGEREF _Toc241337943 \h </w:instrText>
            </w:r>
            <w:r w:rsidR="004476A0">
              <w:rPr>
                <w:noProof/>
              </w:rPr>
            </w:r>
            <w:r w:rsidR="004476A0">
              <w:rPr>
                <w:noProof/>
              </w:rPr>
              <w:fldChar w:fldCharType="separate"/>
            </w:r>
            <w:r w:rsidR="00DA4AE7">
              <w:rPr>
                <w:noProof/>
              </w:rPr>
              <w:t>34</w:t>
            </w:r>
            <w:r w:rsidR="004476A0">
              <w:rPr>
                <w:noProof/>
              </w:rPr>
              <w:fldChar w:fldCharType="end"/>
            </w:r>
          </w:hyperlink>
        </w:p>
        <w:p w14:paraId="44747929" w14:textId="3544B903" w:rsidR="004476A0" w:rsidRDefault="00000000">
          <w:pPr>
            <w:pStyle w:val="TDC2"/>
            <w:tabs>
              <w:tab w:val="right" w:leader="dot" w:pos="9016"/>
            </w:tabs>
            <w:rPr>
              <w:noProof/>
            </w:rPr>
          </w:pPr>
          <w:hyperlink w:anchor="_Toc241337944" w:history="1">
            <w:r w:rsidR="004476A0" w:rsidRPr="00C24552">
              <w:rPr>
                <w:rStyle w:val="Hipervnculo"/>
                <w:noProof/>
              </w:rPr>
              <w:t>14.3. Estrategias de protección</w:t>
            </w:r>
            <w:r w:rsidR="004476A0">
              <w:rPr>
                <w:noProof/>
              </w:rPr>
              <w:tab/>
            </w:r>
            <w:r w:rsidR="004476A0">
              <w:rPr>
                <w:noProof/>
              </w:rPr>
              <w:fldChar w:fldCharType="begin"/>
            </w:r>
            <w:r w:rsidR="004476A0">
              <w:rPr>
                <w:noProof/>
              </w:rPr>
              <w:instrText xml:space="preserve"> PAGEREF _Toc241337944 \h </w:instrText>
            </w:r>
            <w:r w:rsidR="004476A0">
              <w:rPr>
                <w:noProof/>
              </w:rPr>
            </w:r>
            <w:r w:rsidR="004476A0">
              <w:rPr>
                <w:noProof/>
              </w:rPr>
              <w:fldChar w:fldCharType="separate"/>
            </w:r>
            <w:r w:rsidR="00DA4AE7">
              <w:rPr>
                <w:noProof/>
              </w:rPr>
              <w:t>34</w:t>
            </w:r>
            <w:r w:rsidR="004476A0">
              <w:rPr>
                <w:noProof/>
              </w:rPr>
              <w:fldChar w:fldCharType="end"/>
            </w:r>
          </w:hyperlink>
        </w:p>
        <w:p w14:paraId="435901D2" w14:textId="7E058292" w:rsidR="004476A0" w:rsidRDefault="00000000">
          <w:pPr>
            <w:pStyle w:val="TDC2"/>
            <w:tabs>
              <w:tab w:val="right" w:leader="dot" w:pos="9016"/>
            </w:tabs>
            <w:rPr>
              <w:noProof/>
            </w:rPr>
          </w:pPr>
          <w:hyperlink w:anchor="_Toc241337945" w:history="1">
            <w:r w:rsidR="004476A0" w:rsidRPr="00C24552">
              <w:rPr>
                <w:rStyle w:val="Hipervnculo"/>
                <w:noProof/>
              </w:rPr>
              <w:t>14.4. RPO y RTO</w:t>
            </w:r>
            <w:r w:rsidR="004476A0">
              <w:rPr>
                <w:noProof/>
              </w:rPr>
              <w:tab/>
            </w:r>
            <w:r w:rsidR="004476A0">
              <w:rPr>
                <w:noProof/>
              </w:rPr>
              <w:fldChar w:fldCharType="begin"/>
            </w:r>
            <w:r w:rsidR="004476A0">
              <w:rPr>
                <w:noProof/>
              </w:rPr>
              <w:instrText xml:space="preserve"> PAGEREF _Toc241337945 \h </w:instrText>
            </w:r>
            <w:r w:rsidR="004476A0">
              <w:rPr>
                <w:noProof/>
              </w:rPr>
            </w:r>
            <w:r w:rsidR="004476A0">
              <w:rPr>
                <w:noProof/>
              </w:rPr>
              <w:fldChar w:fldCharType="separate"/>
            </w:r>
            <w:r w:rsidR="00DA4AE7">
              <w:rPr>
                <w:noProof/>
              </w:rPr>
              <w:t>34</w:t>
            </w:r>
            <w:r w:rsidR="004476A0">
              <w:rPr>
                <w:noProof/>
              </w:rPr>
              <w:fldChar w:fldCharType="end"/>
            </w:r>
          </w:hyperlink>
        </w:p>
        <w:p w14:paraId="48A7ACA8" w14:textId="247AD673" w:rsidR="004476A0" w:rsidRDefault="00000000">
          <w:pPr>
            <w:pStyle w:val="TDC2"/>
            <w:tabs>
              <w:tab w:val="right" w:leader="dot" w:pos="9016"/>
            </w:tabs>
            <w:rPr>
              <w:noProof/>
            </w:rPr>
          </w:pPr>
          <w:hyperlink w:anchor="_Toc241337946" w:history="1">
            <w:r w:rsidR="004476A0" w:rsidRPr="00C24552">
              <w:rPr>
                <w:rStyle w:val="Hipervnculo"/>
                <w:noProof/>
              </w:rPr>
              <w:t>14.5. Backup, replicación, alta disponibilidad y recuperación ante desastres</w:t>
            </w:r>
            <w:r w:rsidR="004476A0">
              <w:rPr>
                <w:noProof/>
              </w:rPr>
              <w:tab/>
            </w:r>
            <w:r w:rsidR="004476A0">
              <w:rPr>
                <w:noProof/>
              </w:rPr>
              <w:fldChar w:fldCharType="begin"/>
            </w:r>
            <w:r w:rsidR="004476A0">
              <w:rPr>
                <w:noProof/>
              </w:rPr>
              <w:instrText xml:space="preserve"> PAGEREF _Toc241337946 \h </w:instrText>
            </w:r>
            <w:r w:rsidR="004476A0">
              <w:rPr>
                <w:noProof/>
              </w:rPr>
            </w:r>
            <w:r w:rsidR="004476A0">
              <w:rPr>
                <w:noProof/>
              </w:rPr>
              <w:fldChar w:fldCharType="separate"/>
            </w:r>
            <w:r w:rsidR="00DA4AE7">
              <w:rPr>
                <w:noProof/>
              </w:rPr>
              <w:t>35</w:t>
            </w:r>
            <w:r w:rsidR="004476A0">
              <w:rPr>
                <w:noProof/>
              </w:rPr>
              <w:fldChar w:fldCharType="end"/>
            </w:r>
          </w:hyperlink>
        </w:p>
        <w:p w14:paraId="63977AED" w14:textId="66CBF22B" w:rsidR="004476A0" w:rsidRDefault="00000000">
          <w:pPr>
            <w:pStyle w:val="TDC1"/>
            <w:tabs>
              <w:tab w:val="right" w:leader="dot" w:pos="9016"/>
            </w:tabs>
            <w:rPr>
              <w:noProof/>
            </w:rPr>
          </w:pPr>
          <w:hyperlink w:anchor="_Toc241337947" w:history="1">
            <w:r w:rsidR="004476A0" w:rsidRPr="00C24552">
              <w:rPr>
                <w:rStyle w:val="Hipervnculo"/>
                <w:noProof/>
              </w:rPr>
              <w:t>15. Continuidad de negocio y recuperación ante desastres</w:t>
            </w:r>
            <w:r w:rsidR="004476A0">
              <w:rPr>
                <w:noProof/>
              </w:rPr>
              <w:tab/>
            </w:r>
            <w:r w:rsidR="004476A0">
              <w:rPr>
                <w:noProof/>
              </w:rPr>
              <w:fldChar w:fldCharType="begin"/>
            </w:r>
            <w:r w:rsidR="004476A0">
              <w:rPr>
                <w:noProof/>
              </w:rPr>
              <w:instrText xml:space="preserve"> PAGEREF _Toc241337947 \h </w:instrText>
            </w:r>
            <w:r w:rsidR="004476A0">
              <w:rPr>
                <w:noProof/>
              </w:rPr>
            </w:r>
            <w:r w:rsidR="004476A0">
              <w:rPr>
                <w:noProof/>
              </w:rPr>
              <w:fldChar w:fldCharType="separate"/>
            </w:r>
            <w:r w:rsidR="00DA4AE7">
              <w:rPr>
                <w:noProof/>
              </w:rPr>
              <w:t>36</w:t>
            </w:r>
            <w:r w:rsidR="004476A0">
              <w:rPr>
                <w:noProof/>
              </w:rPr>
              <w:fldChar w:fldCharType="end"/>
            </w:r>
          </w:hyperlink>
        </w:p>
        <w:p w14:paraId="4553C464" w14:textId="279CF88B" w:rsidR="004476A0" w:rsidRDefault="00000000">
          <w:pPr>
            <w:pStyle w:val="TDC2"/>
            <w:tabs>
              <w:tab w:val="right" w:leader="dot" w:pos="9016"/>
            </w:tabs>
            <w:rPr>
              <w:noProof/>
            </w:rPr>
          </w:pPr>
          <w:hyperlink w:anchor="_Toc241337948" w:history="1">
            <w:r w:rsidR="004476A0" w:rsidRPr="00C24552">
              <w:rPr>
                <w:rStyle w:val="Hipervnculo"/>
                <w:noProof/>
              </w:rPr>
              <w:t>15.1. Conceptos</w:t>
            </w:r>
            <w:r w:rsidR="004476A0">
              <w:rPr>
                <w:noProof/>
              </w:rPr>
              <w:tab/>
            </w:r>
            <w:r w:rsidR="004476A0">
              <w:rPr>
                <w:noProof/>
              </w:rPr>
              <w:fldChar w:fldCharType="begin"/>
            </w:r>
            <w:r w:rsidR="004476A0">
              <w:rPr>
                <w:noProof/>
              </w:rPr>
              <w:instrText xml:space="preserve"> PAGEREF _Toc241337948 \h </w:instrText>
            </w:r>
            <w:r w:rsidR="004476A0">
              <w:rPr>
                <w:noProof/>
              </w:rPr>
            </w:r>
            <w:r w:rsidR="004476A0">
              <w:rPr>
                <w:noProof/>
              </w:rPr>
              <w:fldChar w:fldCharType="separate"/>
            </w:r>
            <w:r w:rsidR="00DA4AE7">
              <w:rPr>
                <w:noProof/>
              </w:rPr>
              <w:t>36</w:t>
            </w:r>
            <w:r w:rsidR="004476A0">
              <w:rPr>
                <w:noProof/>
              </w:rPr>
              <w:fldChar w:fldCharType="end"/>
            </w:r>
          </w:hyperlink>
        </w:p>
        <w:p w14:paraId="39A2188E" w14:textId="7B21C72E" w:rsidR="004476A0" w:rsidRDefault="00000000">
          <w:pPr>
            <w:pStyle w:val="TDC2"/>
            <w:tabs>
              <w:tab w:val="right" w:leader="dot" w:pos="9016"/>
            </w:tabs>
            <w:rPr>
              <w:noProof/>
            </w:rPr>
          </w:pPr>
          <w:hyperlink w:anchor="_Toc241337949" w:history="1">
            <w:r w:rsidR="004476A0" w:rsidRPr="00C24552">
              <w:rPr>
                <w:rStyle w:val="Hipervnculo"/>
                <w:noProof/>
              </w:rPr>
              <w:t>15.2. Estrategias y sitios alternativos</w:t>
            </w:r>
            <w:r w:rsidR="004476A0">
              <w:rPr>
                <w:noProof/>
              </w:rPr>
              <w:tab/>
            </w:r>
            <w:r w:rsidR="004476A0">
              <w:rPr>
                <w:noProof/>
              </w:rPr>
              <w:fldChar w:fldCharType="begin"/>
            </w:r>
            <w:r w:rsidR="004476A0">
              <w:rPr>
                <w:noProof/>
              </w:rPr>
              <w:instrText xml:space="preserve"> PAGEREF _Toc241337949 \h </w:instrText>
            </w:r>
            <w:r w:rsidR="004476A0">
              <w:rPr>
                <w:noProof/>
              </w:rPr>
            </w:r>
            <w:r w:rsidR="004476A0">
              <w:rPr>
                <w:noProof/>
              </w:rPr>
              <w:fldChar w:fldCharType="separate"/>
            </w:r>
            <w:r w:rsidR="00DA4AE7">
              <w:rPr>
                <w:noProof/>
              </w:rPr>
              <w:t>36</w:t>
            </w:r>
            <w:r w:rsidR="004476A0">
              <w:rPr>
                <w:noProof/>
              </w:rPr>
              <w:fldChar w:fldCharType="end"/>
            </w:r>
          </w:hyperlink>
        </w:p>
        <w:p w14:paraId="1A94CC77" w14:textId="7902F496" w:rsidR="004476A0" w:rsidRDefault="00000000">
          <w:pPr>
            <w:pStyle w:val="TDC2"/>
            <w:tabs>
              <w:tab w:val="right" w:leader="dot" w:pos="9016"/>
            </w:tabs>
            <w:rPr>
              <w:noProof/>
            </w:rPr>
          </w:pPr>
          <w:hyperlink w:anchor="_Toc241337950" w:history="1">
            <w:r w:rsidR="004476A0" w:rsidRPr="00C24552">
              <w:rPr>
                <w:rStyle w:val="Hipervnculo"/>
                <w:noProof/>
              </w:rPr>
              <w:t>15.3. Planes, pruebas y mejora</w:t>
            </w:r>
            <w:r w:rsidR="004476A0">
              <w:rPr>
                <w:noProof/>
              </w:rPr>
              <w:tab/>
            </w:r>
            <w:r w:rsidR="004476A0">
              <w:rPr>
                <w:noProof/>
              </w:rPr>
              <w:fldChar w:fldCharType="begin"/>
            </w:r>
            <w:r w:rsidR="004476A0">
              <w:rPr>
                <w:noProof/>
              </w:rPr>
              <w:instrText xml:space="preserve"> PAGEREF _Toc241337950 \h </w:instrText>
            </w:r>
            <w:r w:rsidR="004476A0">
              <w:rPr>
                <w:noProof/>
              </w:rPr>
            </w:r>
            <w:r w:rsidR="004476A0">
              <w:rPr>
                <w:noProof/>
              </w:rPr>
              <w:fldChar w:fldCharType="separate"/>
            </w:r>
            <w:r w:rsidR="00DA4AE7">
              <w:rPr>
                <w:noProof/>
              </w:rPr>
              <w:t>36</w:t>
            </w:r>
            <w:r w:rsidR="004476A0">
              <w:rPr>
                <w:noProof/>
              </w:rPr>
              <w:fldChar w:fldCharType="end"/>
            </w:r>
          </w:hyperlink>
        </w:p>
        <w:p w14:paraId="5974B2A4" w14:textId="76AB1ADB" w:rsidR="004476A0" w:rsidRDefault="00000000">
          <w:pPr>
            <w:pStyle w:val="TDC1"/>
            <w:tabs>
              <w:tab w:val="right" w:leader="dot" w:pos="9016"/>
            </w:tabs>
            <w:rPr>
              <w:noProof/>
            </w:rPr>
          </w:pPr>
          <w:hyperlink w:anchor="_Toc241337951" w:history="1">
            <w:r w:rsidR="004476A0" w:rsidRPr="00C24552">
              <w:rPr>
                <w:rStyle w:val="Hipervnculo"/>
                <w:noProof/>
              </w:rPr>
              <w:t>16. Seguridad del CPD: física, lógica y organizativa</w:t>
            </w:r>
            <w:r w:rsidR="004476A0">
              <w:rPr>
                <w:noProof/>
              </w:rPr>
              <w:tab/>
            </w:r>
            <w:r w:rsidR="004476A0">
              <w:rPr>
                <w:noProof/>
              </w:rPr>
              <w:fldChar w:fldCharType="begin"/>
            </w:r>
            <w:r w:rsidR="004476A0">
              <w:rPr>
                <w:noProof/>
              </w:rPr>
              <w:instrText xml:space="preserve"> PAGEREF _Toc241337951 \h </w:instrText>
            </w:r>
            <w:r w:rsidR="004476A0">
              <w:rPr>
                <w:noProof/>
              </w:rPr>
            </w:r>
            <w:r w:rsidR="004476A0">
              <w:rPr>
                <w:noProof/>
              </w:rPr>
              <w:fldChar w:fldCharType="separate"/>
            </w:r>
            <w:r w:rsidR="00DA4AE7">
              <w:rPr>
                <w:noProof/>
              </w:rPr>
              <w:t>38</w:t>
            </w:r>
            <w:r w:rsidR="004476A0">
              <w:rPr>
                <w:noProof/>
              </w:rPr>
              <w:fldChar w:fldCharType="end"/>
            </w:r>
          </w:hyperlink>
        </w:p>
        <w:p w14:paraId="6CF62D5E" w14:textId="2BFF9152" w:rsidR="004476A0" w:rsidRDefault="00000000">
          <w:pPr>
            <w:pStyle w:val="TDC2"/>
            <w:tabs>
              <w:tab w:val="right" w:leader="dot" w:pos="9016"/>
            </w:tabs>
            <w:rPr>
              <w:noProof/>
            </w:rPr>
          </w:pPr>
          <w:hyperlink w:anchor="_Toc241337952" w:history="1">
            <w:r w:rsidR="004476A0" w:rsidRPr="00C24552">
              <w:rPr>
                <w:rStyle w:val="Hipervnculo"/>
                <w:noProof/>
              </w:rPr>
              <w:t>16.1. Seguridad física (resumen)</w:t>
            </w:r>
            <w:r w:rsidR="004476A0">
              <w:rPr>
                <w:noProof/>
              </w:rPr>
              <w:tab/>
            </w:r>
            <w:r w:rsidR="004476A0">
              <w:rPr>
                <w:noProof/>
              </w:rPr>
              <w:fldChar w:fldCharType="begin"/>
            </w:r>
            <w:r w:rsidR="004476A0">
              <w:rPr>
                <w:noProof/>
              </w:rPr>
              <w:instrText xml:space="preserve"> PAGEREF _Toc241337952 \h </w:instrText>
            </w:r>
            <w:r w:rsidR="004476A0">
              <w:rPr>
                <w:noProof/>
              </w:rPr>
            </w:r>
            <w:r w:rsidR="004476A0">
              <w:rPr>
                <w:noProof/>
              </w:rPr>
              <w:fldChar w:fldCharType="separate"/>
            </w:r>
            <w:r w:rsidR="00DA4AE7">
              <w:rPr>
                <w:noProof/>
              </w:rPr>
              <w:t>38</w:t>
            </w:r>
            <w:r w:rsidR="004476A0">
              <w:rPr>
                <w:noProof/>
              </w:rPr>
              <w:fldChar w:fldCharType="end"/>
            </w:r>
          </w:hyperlink>
        </w:p>
        <w:p w14:paraId="3B376FA7" w14:textId="145742E2" w:rsidR="004476A0" w:rsidRDefault="00000000">
          <w:pPr>
            <w:pStyle w:val="TDC2"/>
            <w:tabs>
              <w:tab w:val="right" w:leader="dot" w:pos="9016"/>
            </w:tabs>
            <w:rPr>
              <w:noProof/>
            </w:rPr>
          </w:pPr>
          <w:hyperlink w:anchor="_Toc241337953" w:history="1">
            <w:r w:rsidR="004476A0" w:rsidRPr="00C24552">
              <w:rPr>
                <w:rStyle w:val="Hipervnculo"/>
                <w:noProof/>
              </w:rPr>
              <w:t>16.2. Seguridad lógica</w:t>
            </w:r>
            <w:r w:rsidR="004476A0">
              <w:rPr>
                <w:noProof/>
              </w:rPr>
              <w:tab/>
            </w:r>
            <w:r w:rsidR="004476A0">
              <w:rPr>
                <w:noProof/>
              </w:rPr>
              <w:fldChar w:fldCharType="begin"/>
            </w:r>
            <w:r w:rsidR="004476A0">
              <w:rPr>
                <w:noProof/>
              </w:rPr>
              <w:instrText xml:space="preserve"> PAGEREF _Toc241337953 \h </w:instrText>
            </w:r>
            <w:r w:rsidR="004476A0">
              <w:rPr>
                <w:noProof/>
              </w:rPr>
            </w:r>
            <w:r w:rsidR="004476A0">
              <w:rPr>
                <w:noProof/>
              </w:rPr>
              <w:fldChar w:fldCharType="separate"/>
            </w:r>
            <w:r w:rsidR="00DA4AE7">
              <w:rPr>
                <w:noProof/>
              </w:rPr>
              <w:t>38</w:t>
            </w:r>
            <w:r w:rsidR="004476A0">
              <w:rPr>
                <w:noProof/>
              </w:rPr>
              <w:fldChar w:fldCharType="end"/>
            </w:r>
          </w:hyperlink>
        </w:p>
        <w:p w14:paraId="58C320EC" w14:textId="07C4D373" w:rsidR="004476A0" w:rsidRDefault="00000000">
          <w:pPr>
            <w:pStyle w:val="TDC2"/>
            <w:tabs>
              <w:tab w:val="right" w:leader="dot" w:pos="9016"/>
            </w:tabs>
            <w:rPr>
              <w:noProof/>
            </w:rPr>
          </w:pPr>
          <w:hyperlink w:anchor="_Toc241337954" w:history="1">
            <w:r w:rsidR="004476A0" w:rsidRPr="00C24552">
              <w:rPr>
                <w:rStyle w:val="Hipervnculo"/>
                <w:noProof/>
              </w:rPr>
              <w:t>16.3. Seguridad organizativa</w:t>
            </w:r>
            <w:r w:rsidR="004476A0">
              <w:rPr>
                <w:noProof/>
              </w:rPr>
              <w:tab/>
            </w:r>
            <w:r w:rsidR="004476A0">
              <w:rPr>
                <w:noProof/>
              </w:rPr>
              <w:fldChar w:fldCharType="begin"/>
            </w:r>
            <w:r w:rsidR="004476A0">
              <w:rPr>
                <w:noProof/>
              </w:rPr>
              <w:instrText xml:space="preserve"> PAGEREF _Toc241337954 \h </w:instrText>
            </w:r>
            <w:r w:rsidR="004476A0">
              <w:rPr>
                <w:noProof/>
              </w:rPr>
            </w:r>
            <w:r w:rsidR="004476A0">
              <w:rPr>
                <w:noProof/>
              </w:rPr>
              <w:fldChar w:fldCharType="separate"/>
            </w:r>
            <w:r w:rsidR="00DA4AE7">
              <w:rPr>
                <w:noProof/>
              </w:rPr>
              <w:t>38</w:t>
            </w:r>
            <w:r w:rsidR="004476A0">
              <w:rPr>
                <w:noProof/>
              </w:rPr>
              <w:fldChar w:fldCharType="end"/>
            </w:r>
          </w:hyperlink>
        </w:p>
        <w:p w14:paraId="50D2F3F8" w14:textId="3BF21699" w:rsidR="004476A0" w:rsidRDefault="00000000">
          <w:pPr>
            <w:pStyle w:val="TDC2"/>
            <w:tabs>
              <w:tab w:val="right" w:leader="dot" w:pos="9016"/>
            </w:tabs>
            <w:rPr>
              <w:noProof/>
            </w:rPr>
          </w:pPr>
          <w:hyperlink w:anchor="_Toc241337955" w:history="1">
            <w:r w:rsidR="004476A0" w:rsidRPr="00C24552">
              <w:rPr>
                <w:rStyle w:val="Hipervnculo"/>
                <w:noProof/>
              </w:rPr>
              <w:t>16.4. Esquema Nacional de Seguridad y protección de datos</w:t>
            </w:r>
            <w:r w:rsidR="004476A0">
              <w:rPr>
                <w:noProof/>
              </w:rPr>
              <w:tab/>
            </w:r>
            <w:r w:rsidR="004476A0">
              <w:rPr>
                <w:noProof/>
              </w:rPr>
              <w:fldChar w:fldCharType="begin"/>
            </w:r>
            <w:r w:rsidR="004476A0">
              <w:rPr>
                <w:noProof/>
              </w:rPr>
              <w:instrText xml:space="preserve"> PAGEREF _Toc241337955 \h </w:instrText>
            </w:r>
            <w:r w:rsidR="004476A0">
              <w:rPr>
                <w:noProof/>
              </w:rPr>
            </w:r>
            <w:r w:rsidR="004476A0">
              <w:rPr>
                <w:noProof/>
              </w:rPr>
              <w:fldChar w:fldCharType="separate"/>
            </w:r>
            <w:r w:rsidR="00DA4AE7">
              <w:rPr>
                <w:noProof/>
              </w:rPr>
              <w:t>38</w:t>
            </w:r>
            <w:r w:rsidR="004476A0">
              <w:rPr>
                <w:noProof/>
              </w:rPr>
              <w:fldChar w:fldCharType="end"/>
            </w:r>
          </w:hyperlink>
        </w:p>
        <w:p w14:paraId="47E6630F" w14:textId="7A5F6444" w:rsidR="004476A0" w:rsidRDefault="00000000">
          <w:pPr>
            <w:pStyle w:val="TDC1"/>
            <w:tabs>
              <w:tab w:val="right" w:leader="dot" w:pos="9016"/>
            </w:tabs>
            <w:rPr>
              <w:noProof/>
            </w:rPr>
          </w:pPr>
          <w:hyperlink w:anchor="_Toc241337956" w:history="1">
            <w:r w:rsidR="004476A0" w:rsidRPr="00C24552">
              <w:rPr>
                <w:rStyle w:val="Hipervnculo"/>
                <w:noProof/>
              </w:rPr>
              <w:t>17. Monitorización del CPD y gestión de eventos</w:t>
            </w:r>
            <w:r w:rsidR="004476A0">
              <w:rPr>
                <w:noProof/>
              </w:rPr>
              <w:tab/>
            </w:r>
            <w:r w:rsidR="004476A0">
              <w:rPr>
                <w:noProof/>
              </w:rPr>
              <w:fldChar w:fldCharType="begin"/>
            </w:r>
            <w:r w:rsidR="004476A0">
              <w:rPr>
                <w:noProof/>
              </w:rPr>
              <w:instrText xml:space="preserve"> PAGEREF _Toc241337956 \h </w:instrText>
            </w:r>
            <w:r w:rsidR="004476A0">
              <w:rPr>
                <w:noProof/>
              </w:rPr>
            </w:r>
            <w:r w:rsidR="004476A0">
              <w:rPr>
                <w:noProof/>
              </w:rPr>
              <w:fldChar w:fldCharType="separate"/>
            </w:r>
            <w:r w:rsidR="00DA4AE7">
              <w:rPr>
                <w:noProof/>
              </w:rPr>
              <w:t>40</w:t>
            </w:r>
            <w:r w:rsidR="004476A0">
              <w:rPr>
                <w:noProof/>
              </w:rPr>
              <w:fldChar w:fldCharType="end"/>
            </w:r>
          </w:hyperlink>
        </w:p>
        <w:p w14:paraId="6C731ADA" w14:textId="02D9F9FF" w:rsidR="004476A0" w:rsidRDefault="00000000">
          <w:pPr>
            <w:pStyle w:val="TDC2"/>
            <w:tabs>
              <w:tab w:val="right" w:leader="dot" w:pos="9016"/>
            </w:tabs>
            <w:rPr>
              <w:noProof/>
            </w:rPr>
          </w:pPr>
          <w:hyperlink w:anchor="_Toc241337957" w:history="1">
            <w:r w:rsidR="004476A0" w:rsidRPr="00C24552">
              <w:rPr>
                <w:rStyle w:val="Hipervnculo"/>
                <w:noProof/>
              </w:rPr>
              <w:t>17.1. Qué se monitoriza</w:t>
            </w:r>
            <w:r w:rsidR="004476A0">
              <w:rPr>
                <w:noProof/>
              </w:rPr>
              <w:tab/>
            </w:r>
            <w:r w:rsidR="004476A0">
              <w:rPr>
                <w:noProof/>
              </w:rPr>
              <w:fldChar w:fldCharType="begin"/>
            </w:r>
            <w:r w:rsidR="004476A0">
              <w:rPr>
                <w:noProof/>
              </w:rPr>
              <w:instrText xml:space="preserve"> PAGEREF _Toc241337957 \h </w:instrText>
            </w:r>
            <w:r w:rsidR="004476A0">
              <w:rPr>
                <w:noProof/>
              </w:rPr>
            </w:r>
            <w:r w:rsidR="004476A0">
              <w:rPr>
                <w:noProof/>
              </w:rPr>
              <w:fldChar w:fldCharType="separate"/>
            </w:r>
            <w:r w:rsidR="00DA4AE7">
              <w:rPr>
                <w:noProof/>
              </w:rPr>
              <w:t>40</w:t>
            </w:r>
            <w:r w:rsidR="004476A0">
              <w:rPr>
                <w:noProof/>
              </w:rPr>
              <w:fldChar w:fldCharType="end"/>
            </w:r>
          </w:hyperlink>
        </w:p>
        <w:p w14:paraId="16DA0653" w14:textId="7B68572A" w:rsidR="004476A0" w:rsidRDefault="00000000">
          <w:pPr>
            <w:pStyle w:val="TDC2"/>
            <w:tabs>
              <w:tab w:val="right" w:leader="dot" w:pos="9016"/>
            </w:tabs>
            <w:rPr>
              <w:noProof/>
            </w:rPr>
          </w:pPr>
          <w:hyperlink w:anchor="_Toc241337958" w:history="1">
            <w:r w:rsidR="004476A0" w:rsidRPr="00C24552">
              <w:rPr>
                <w:rStyle w:val="Hipervnculo"/>
                <w:noProof/>
              </w:rPr>
              <w:t>17.2. Monitorización, supervisión, eventos e incidencias</w:t>
            </w:r>
            <w:r w:rsidR="004476A0">
              <w:rPr>
                <w:noProof/>
              </w:rPr>
              <w:tab/>
            </w:r>
            <w:r w:rsidR="004476A0">
              <w:rPr>
                <w:noProof/>
              </w:rPr>
              <w:fldChar w:fldCharType="begin"/>
            </w:r>
            <w:r w:rsidR="004476A0">
              <w:rPr>
                <w:noProof/>
              </w:rPr>
              <w:instrText xml:space="preserve"> PAGEREF _Toc241337958 \h </w:instrText>
            </w:r>
            <w:r w:rsidR="004476A0">
              <w:rPr>
                <w:noProof/>
              </w:rPr>
            </w:r>
            <w:r w:rsidR="004476A0">
              <w:rPr>
                <w:noProof/>
              </w:rPr>
              <w:fldChar w:fldCharType="separate"/>
            </w:r>
            <w:r w:rsidR="00DA4AE7">
              <w:rPr>
                <w:noProof/>
              </w:rPr>
              <w:t>40</w:t>
            </w:r>
            <w:r w:rsidR="004476A0">
              <w:rPr>
                <w:noProof/>
              </w:rPr>
              <w:fldChar w:fldCharType="end"/>
            </w:r>
          </w:hyperlink>
        </w:p>
        <w:p w14:paraId="45314BA2" w14:textId="239B17ED" w:rsidR="004476A0" w:rsidRDefault="00000000">
          <w:pPr>
            <w:pStyle w:val="TDC1"/>
            <w:tabs>
              <w:tab w:val="right" w:leader="dot" w:pos="9016"/>
            </w:tabs>
            <w:rPr>
              <w:noProof/>
            </w:rPr>
          </w:pPr>
          <w:hyperlink w:anchor="_Toc241337959" w:history="1">
            <w:r w:rsidR="004476A0" w:rsidRPr="00C24552">
              <w:rPr>
                <w:rStyle w:val="Hipervnculo"/>
                <w:noProof/>
              </w:rPr>
              <w:t>18. Producción informática y explotación de sistemas</w:t>
            </w:r>
            <w:r w:rsidR="004476A0">
              <w:rPr>
                <w:noProof/>
              </w:rPr>
              <w:tab/>
            </w:r>
            <w:r w:rsidR="004476A0">
              <w:rPr>
                <w:noProof/>
              </w:rPr>
              <w:fldChar w:fldCharType="begin"/>
            </w:r>
            <w:r w:rsidR="004476A0">
              <w:rPr>
                <w:noProof/>
              </w:rPr>
              <w:instrText xml:space="preserve"> PAGEREF _Toc241337959 \h </w:instrText>
            </w:r>
            <w:r w:rsidR="004476A0">
              <w:rPr>
                <w:noProof/>
              </w:rPr>
            </w:r>
            <w:r w:rsidR="004476A0">
              <w:rPr>
                <w:noProof/>
              </w:rPr>
              <w:fldChar w:fldCharType="separate"/>
            </w:r>
            <w:r w:rsidR="00DA4AE7">
              <w:rPr>
                <w:noProof/>
              </w:rPr>
              <w:t>41</w:t>
            </w:r>
            <w:r w:rsidR="004476A0">
              <w:rPr>
                <w:noProof/>
              </w:rPr>
              <w:fldChar w:fldCharType="end"/>
            </w:r>
          </w:hyperlink>
        </w:p>
        <w:p w14:paraId="0F2F6982" w14:textId="46C6A711" w:rsidR="004476A0" w:rsidRDefault="00000000">
          <w:pPr>
            <w:pStyle w:val="TDC2"/>
            <w:tabs>
              <w:tab w:val="right" w:leader="dot" w:pos="9016"/>
            </w:tabs>
            <w:rPr>
              <w:noProof/>
            </w:rPr>
          </w:pPr>
          <w:hyperlink w:anchor="_Toc241337960" w:history="1">
            <w:r w:rsidR="004476A0" w:rsidRPr="00C24552">
              <w:rPr>
                <w:rStyle w:val="Hipervnculo"/>
                <w:noProof/>
              </w:rPr>
              <w:t>18.1. Concepto</w:t>
            </w:r>
            <w:r w:rsidR="004476A0">
              <w:rPr>
                <w:noProof/>
              </w:rPr>
              <w:tab/>
            </w:r>
            <w:r w:rsidR="004476A0">
              <w:rPr>
                <w:noProof/>
              </w:rPr>
              <w:fldChar w:fldCharType="begin"/>
            </w:r>
            <w:r w:rsidR="004476A0">
              <w:rPr>
                <w:noProof/>
              </w:rPr>
              <w:instrText xml:space="preserve"> PAGEREF _Toc241337960 \h </w:instrText>
            </w:r>
            <w:r w:rsidR="004476A0">
              <w:rPr>
                <w:noProof/>
              </w:rPr>
            </w:r>
            <w:r w:rsidR="004476A0">
              <w:rPr>
                <w:noProof/>
              </w:rPr>
              <w:fldChar w:fldCharType="separate"/>
            </w:r>
            <w:r w:rsidR="00DA4AE7">
              <w:rPr>
                <w:noProof/>
              </w:rPr>
              <w:t>41</w:t>
            </w:r>
            <w:r w:rsidR="004476A0">
              <w:rPr>
                <w:noProof/>
              </w:rPr>
              <w:fldChar w:fldCharType="end"/>
            </w:r>
          </w:hyperlink>
        </w:p>
        <w:p w14:paraId="28EF6A08" w14:textId="0DE24E8F" w:rsidR="004476A0" w:rsidRDefault="00000000">
          <w:pPr>
            <w:pStyle w:val="TDC2"/>
            <w:tabs>
              <w:tab w:val="right" w:leader="dot" w:pos="9016"/>
            </w:tabs>
            <w:rPr>
              <w:noProof/>
            </w:rPr>
          </w:pPr>
          <w:hyperlink w:anchor="_Toc241337961" w:history="1">
            <w:r w:rsidR="004476A0" w:rsidRPr="00C24552">
              <w:rPr>
                <w:rStyle w:val="Hipervnculo"/>
                <w:noProof/>
              </w:rPr>
              <w:t>18.2. Entornos</w:t>
            </w:r>
            <w:r w:rsidR="004476A0">
              <w:rPr>
                <w:noProof/>
              </w:rPr>
              <w:tab/>
            </w:r>
            <w:r w:rsidR="004476A0">
              <w:rPr>
                <w:noProof/>
              </w:rPr>
              <w:fldChar w:fldCharType="begin"/>
            </w:r>
            <w:r w:rsidR="004476A0">
              <w:rPr>
                <w:noProof/>
              </w:rPr>
              <w:instrText xml:space="preserve"> PAGEREF _Toc241337961 \h </w:instrText>
            </w:r>
            <w:r w:rsidR="004476A0">
              <w:rPr>
                <w:noProof/>
              </w:rPr>
            </w:r>
            <w:r w:rsidR="004476A0">
              <w:rPr>
                <w:noProof/>
              </w:rPr>
              <w:fldChar w:fldCharType="separate"/>
            </w:r>
            <w:r w:rsidR="00DA4AE7">
              <w:rPr>
                <w:noProof/>
              </w:rPr>
              <w:t>41</w:t>
            </w:r>
            <w:r w:rsidR="004476A0">
              <w:rPr>
                <w:noProof/>
              </w:rPr>
              <w:fldChar w:fldCharType="end"/>
            </w:r>
          </w:hyperlink>
        </w:p>
        <w:p w14:paraId="03C38B87" w14:textId="33E7DFAF" w:rsidR="004476A0" w:rsidRDefault="00000000">
          <w:pPr>
            <w:pStyle w:val="TDC2"/>
            <w:tabs>
              <w:tab w:val="right" w:leader="dot" w:pos="9016"/>
            </w:tabs>
            <w:rPr>
              <w:noProof/>
            </w:rPr>
          </w:pPr>
          <w:hyperlink w:anchor="_Toc241337962" w:history="1">
            <w:r w:rsidR="004476A0" w:rsidRPr="00C24552">
              <w:rPr>
                <w:rStyle w:val="Hipervnculo"/>
                <w:noProof/>
              </w:rPr>
              <w:t>18.3. Funciones de la producción</w:t>
            </w:r>
            <w:r w:rsidR="004476A0">
              <w:rPr>
                <w:noProof/>
              </w:rPr>
              <w:tab/>
            </w:r>
            <w:r w:rsidR="004476A0">
              <w:rPr>
                <w:noProof/>
              </w:rPr>
              <w:fldChar w:fldCharType="begin"/>
            </w:r>
            <w:r w:rsidR="004476A0">
              <w:rPr>
                <w:noProof/>
              </w:rPr>
              <w:instrText xml:space="preserve"> PAGEREF _Toc241337962 \h </w:instrText>
            </w:r>
            <w:r w:rsidR="004476A0">
              <w:rPr>
                <w:noProof/>
              </w:rPr>
            </w:r>
            <w:r w:rsidR="004476A0">
              <w:rPr>
                <w:noProof/>
              </w:rPr>
              <w:fldChar w:fldCharType="separate"/>
            </w:r>
            <w:r w:rsidR="00DA4AE7">
              <w:rPr>
                <w:noProof/>
              </w:rPr>
              <w:t>41</w:t>
            </w:r>
            <w:r w:rsidR="004476A0">
              <w:rPr>
                <w:noProof/>
              </w:rPr>
              <w:fldChar w:fldCharType="end"/>
            </w:r>
          </w:hyperlink>
        </w:p>
        <w:p w14:paraId="7FCC6C9E" w14:textId="15E5FCCA" w:rsidR="004476A0" w:rsidRDefault="00000000">
          <w:pPr>
            <w:pStyle w:val="TDC1"/>
            <w:tabs>
              <w:tab w:val="right" w:leader="dot" w:pos="9016"/>
            </w:tabs>
            <w:rPr>
              <w:noProof/>
            </w:rPr>
          </w:pPr>
          <w:hyperlink w:anchor="_Toc241337963" w:history="1">
            <w:r w:rsidR="004476A0" w:rsidRPr="00C24552">
              <w:rPr>
                <w:rStyle w:val="Hipervnculo"/>
                <w:noProof/>
              </w:rPr>
              <w:t>19. Planificación de tareas de producción</w:t>
            </w:r>
            <w:r w:rsidR="004476A0">
              <w:rPr>
                <w:noProof/>
              </w:rPr>
              <w:tab/>
            </w:r>
            <w:r w:rsidR="004476A0">
              <w:rPr>
                <w:noProof/>
              </w:rPr>
              <w:fldChar w:fldCharType="begin"/>
            </w:r>
            <w:r w:rsidR="004476A0">
              <w:rPr>
                <w:noProof/>
              </w:rPr>
              <w:instrText xml:space="preserve"> PAGEREF _Toc241337963 \h </w:instrText>
            </w:r>
            <w:r w:rsidR="004476A0">
              <w:rPr>
                <w:noProof/>
              </w:rPr>
            </w:r>
            <w:r w:rsidR="004476A0">
              <w:rPr>
                <w:noProof/>
              </w:rPr>
              <w:fldChar w:fldCharType="separate"/>
            </w:r>
            <w:r w:rsidR="00DA4AE7">
              <w:rPr>
                <w:noProof/>
              </w:rPr>
              <w:t>43</w:t>
            </w:r>
            <w:r w:rsidR="004476A0">
              <w:rPr>
                <w:noProof/>
              </w:rPr>
              <w:fldChar w:fldCharType="end"/>
            </w:r>
          </w:hyperlink>
        </w:p>
        <w:p w14:paraId="606FDA8A" w14:textId="5A0DCB0B" w:rsidR="004476A0" w:rsidRDefault="00000000">
          <w:pPr>
            <w:pStyle w:val="TDC2"/>
            <w:tabs>
              <w:tab w:val="right" w:leader="dot" w:pos="9016"/>
            </w:tabs>
            <w:rPr>
              <w:noProof/>
            </w:rPr>
          </w:pPr>
          <w:hyperlink w:anchor="_Toc241337964" w:history="1">
            <w:r w:rsidR="004476A0" w:rsidRPr="00C24552">
              <w:rPr>
                <w:rStyle w:val="Hipervnculo"/>
                <w:noProof/>
              </w:rPr>
              <w:t>19.1. Tipos de procesamiento</w:t>
            </w:r>
            <w:r w:rsidR="004476A0">
              <w:rPr>
                <w:noProof/>
              </w:rPr>
              <w:tab/>
            </w:r>
            <w:r w:rsidR="004476A0">
              <w:rPr>
                <w:noProof/>
              </w:rPr>
              <w:fldChar w:fldCharType="begin"/>
            </w:r>
            <w:r w:rsidR="004476A0">
              <w:rPr>
                <w:noProof/>
              </w:rPr>
              <w:instrText xml:space="preserve"> PAGEREF _Toc241337964 \h </w:instrText>
            </w:r>
            <w:r w:rsidR="004476A0">
              <w:rPr>
                <w:noProof/>
              </w:rPr>
            </w:r>
            <w:r w:rsidR="004476A0">
              <w:rPr>
                <w:noProof/>
              </w:rPr>
              <w:fldChar w:fldCharType="separate"/>
            </w:r>
            <w:r w:rsidR="00DA4AE7">
              <w:rPr>
                <w:noProof/>
              </w:rPr>
              <w:t>43</w:t>
            </w:r>
            <w:r w:rsidR="004476A0">
              <w:rPr>
                <w:noProof/>
              </w:rPr>
              <w:fldChar w:fldCharType="end"/>
            </w:r>
          </w:hyperlink>
        </w:p>
        <w:p w14:paraId="3E1FC4C3" w14:textId="6FEA1ECF" w:rsidR="004476A0" w:rsidRDefault="00000000">
          <w:pPr>
            <w:pStyle w:val="TDC2"/>
            <w:tabs>
              <w:tab w:val="right" w:leader="dot" w:pos="9016"/>
            </w:tabs>
            <w:rPr>
              <w:noProof/>
            </w:rPr>
          </w:pPr>
          <w:hyperlink w:anchor="_Toc241337965" w:history="1">
            <w:r w:rsidR="004476A0" w:rsidRPr="00C24552">
              <w:rPr>
                <w:rStyle w:val="Hipervnculo"/>
                <w:noProof/>
              </w:rPr>
              <w:t>19.2. Elementos de la planificación</w:t>
            </w:r>
            <w:r w:rsidR="004476A0">
              <w:rPr>
                <w:noProof/>
              </w:rPr>
              <w:tab/>
            </w:r>
            <w:r w:rsidR="004476A0">
              <w:rPr>
                <w:noProof/>
              </w:rPr>
              <w:fldChar w:fldCharType="begin"/>
            </w:r>
            <w:r w:rsidR="004476A0">
              <w:rPr>
                <w:noProof/>
              </w:rPr>
              <w:instrText xml:space="preserve"> PAGEREF _Toc241337965 \h </w:instrText>
            </w:r>
            <w:r w:rsidR="004476A0">
              <w:rPr>
                <w:noProof/>
              </w:rPr>
            </w:r>
            <w:r w:rsidR="004476A0">
              <w:rPr>
                <w:noProof/>
              </w:rPr>
              <w:fldChar w:fldCharType="separate"/>
            </w:r>
            <w:r w:rsidR="00DA4AE7">
              <w:rPr>
                <w:noProof/>
              </w:rPr>
              <w:t>43</w:t>
            </w:r>
            <w:r w:rsidR="004476A0">
              <w:rPr>
                <w:noProof/>
              </w:rPr>
              <w:fldChar w:fldCharType="end"/>
            </w:r>
          </w:hyperlink>
        </w:p>
        <w:p w14:paraId="63CC4481" w14:textId="1718567C" w:rsidR="004476A0" w:rsidRDefault="00000000">
          <w:pPr>
            <w:pStyle w:val="TDC2"/>
            <w:tabs>
              <w:tab w:val="right" w:leader="dot" w:pos="9016"/>
            </w:tabs>
            <w:rPr>
              <w:noProof/>
            </w:rPr>
          </w:pPr>
          <w:hyperlink w:anchor="_Toc241337966" w:history="1">
            <w:r w:rsidR="004476A0" w:rsidRPr="00C24552">
              <w:rPr>
                <w:rStyle w:val="Hipervnculo"/>
                <w:noProof/>
              </w:rPr>
              <w:t>19.3. Planificadores y automatización</w:t>
            </w:r>
            <w:r w:rsidR="004476A0">
              <w:rPr>
                <w:noProof/>
              </w:rPr>
              <w:tab/>
            </w:r>
            <w:r w:rsidR="004476A0">
              <w:rPr>
                <w:noProof/>
              </w:rPr>
              <w:fldChar w:fldCharType="begin"/>
            </w:r>
            <w:r w:rsidR="004476A0">
              <w:rPr>
                <w:noProof/>
              </w:rPr>
              <w:instrText xml:space="preserve"> PAGEREF _Toc241337966 \h </w:instrText>
            </w:r>
            <w:r w:rsidR="004476A0">
              <w:rPr>
                <w:noProof/>
              </w:rPr>
            </w:r>
            <w:r w:rsidR="004476A0">
              <w:rPr>
                <w:noProof/>
              </w:rPr>
              <w:fldChar w:fldCharType="separate"/>
            </w:r>
            <w:r w:rsidR="00DA4AE7">
              <w:rPr>
                <w:noProof/>
              </w:rPr>
              <w:t>43</w:t>
            </w:r>
            <w:r w:rsidR="004476A0">
              <w:rPr>
                <w:noProof/>
              </w:rPr>
              <w:fldChar w:fldCharType="end"/>
            </w:r>
          </w:hyperlink>
        </w:p>
        <w:p w14:paraId="2E6CF6A2" w14:textId="5F6E2157" w:rsidR="004476A0" w:rsidRDefault="00000000">
          <w:pPr>
            <w:pStyle w:val="TDC1"/>
            <w:tabs>
              <w:tab w:val="right" w:leader="dot" w:pos="9016"/>
            </w:tabs>
            <w:rPr>
              <w:noProof/>
            </w:rPr>
          </w:pPr>
          <w:hyperlink w:anchor="_Toc241337967" w:history="1">
            <w:r w:rsidR="004476A0" w:rsidRPr="00C24552">
              <w:rPr>
                <w:rStyle w:val="Hipervnculo"/>
                <w:noProof/>
              </w:rPr>
              <w:t>20. Ejecución, control y trazabilidad de tareas</w:t>
            </w:r>
            <w:r w:rsidR="004476A0">
              <w:rPr>
                <w:noProof/>
              </w:rPr>
              <w:tab/>
            </w:r>
            <w:r w:rsidR="004476A0">
              <w:rPr>
                <w:noProof/>
              </w:rPr>
              <w:fldChar w:fldCharType="begin"/>
            </w:r>
            <w:r w:rsidR="004476A0">
              <w:rPr>
                <w:noProof/>
              </w:rPr>
              <w:instrText xml:space="preserve"> PAGEREF _Toc241337967 \h </w:instrText>
            </w:r>
            <w:r w:rsidR="004476A0">
              <w:rPr>
                <w:noProof/>
              </w:rPr>
            </w:r>
            <w:r w:rsidR="004476A0">
              <w:rPr>
                <w:noProof/>
              </w:rPr>
              <w:fldChar w:fldCharType="separate"/>
            </w:r>
            <w:r w:rsidR="00DA4AE7">
              <w:rPr>
                <w:noProof/>
              </w:rPr>
              <w:t>45</w:t>
            </w:r>
            <w:r w:rsidR="004476A0">
              <w:rPr>
                <w:noProof/>
              </w:rPr>
              <w:fldChar w:fldCharType="end"/>
            </w:r>
          </w:hyperlink>
        </w:p>
        <w:p w14:paraId="253E82AA" w14:textId="272E9A07" w:rsidR="004476A0" w:rsidRDefault="00000000">
          <w:pPr>
            <w:pStyle w:val="TDC2"/>
            <w:tabs>
              <w:tab w:val="right" w:leader="dot" w:pos="9016"/>
            </w:tabs>
            <w:rPr>
              <w:noProof/>
            </w:rPr>
          </w:pPr>
          <w:hyperlink w:anchor="_Toc241337968" w:history="1">
            <w:r w:rsidR="004476A0" w:rsidRPr="00C24552">
              <w:rPr>
                <w:rStyle w:val="Hipervnculo"/>
                <w:noProof/>
              </w:rPr>
              <w:t>20.1. Ciclo de ejecución</w:t>
            </w:r>
            <w:r w:rsidR="004476A0">
              <w:rPr>
                <w:noProof/>
              </w:rPr>
              <w:tab/>
            </w:r>
            <w:r w:rsidR="004476A0">
              <w:rPr>
                <w:noProof/>
              </w:rPr>
              <w:fldChar w:fldCharType="begin"/>
            </w:r>
            <w:r w:rsidR="004476A0">
              <w:rPr>
                <w:noProof/>
              </w:rPr>
              <w:instrText xml:space="preserve"> PAGEREF _Toc241337968 \h </w:instrText>
            </w:r>
            <w:r w:rsidR="004476A0">
              <w:rPr>
                <w:noProof/>
              </w:rPr>
            </w:r>
            <w:r w:rsidR="004476A0">
              <w:rPr>
                <w:noProof/>
              </w:rPr>
              <w:fldChar w:fldCharType="separate"/>
            </w:r>
            <w:r w:rsidR="00DA4AE7">
              <w:rPr>
                <w:noProof/>
              </w:rPr>
              <w:t>45</w:t>
            </w:r>
            <w:r w:rsidR="004476A0">
              <w:rPr>
                <w:noProof/>
              </w:rPr>
              <w:fldChar w:fldCharType="end"/>
            </w:r>
          </w:hyperlink>
        </w:p>
        <w:p w14:paraId="6A27771E" w14:textId="0BA1524F" w:rsidR="004476A0" w:rsidRDefault="00000000">
          <w:pPr>
            <w:pStyle w:val="TDC2"/>
            <w:tabs>
              <w:tab w:val="right" w:leader="dot" w:pos="9016"/>
            </w:tabs>
            <w:rPr>
              <w:noProof/>
            </w:rPr>
          </w:pPr>
          <w:hyperlink w:anchor="_Toc241337969" w:history="1">
            <w:r w:rsidR="004476A0" w:rsidRPr="00C24552">
              <w:rPr>
                <w:rStyle w:val="Hipervnculo"/>
                <w:noProof/>
              </w:rPr>
              <w:t>20.2. Trazabilidad</w:t>
            </w:r>
            <w:r w:rsidR="004476A0">
              <w:rPr>
                <w:noProof/>
              </w:rPr>
              <w:tab/>
            </w:r>
            <w:r w:rsidR="004476A0">
              <w:rPr>
                <w:noProof/>
              </w:rPr>
              <w:fldChar w:fldCharType="begin"/>
            </w:r>
            <w:r w:rsidR="004476A0">
              <w:rPr>
                <w:noProof/>
              </w:rPr>
              <w:instrText xml:space="preserve"> PAGEREF _Toc241337969 \h </w:instrText>
            </w:r>
            <w:r w:rsidR="004476A0">
              <w:rPr>
                <w:noProof/>
              </w:rPr>
            </w:r>
            <w:r w:rsidR="004476A0">
              <w:rPr>
                <w:noProof/>
              </w:rPr>
              <w:fldChar w:fldCharType="separate"/>
            </w:r>
            <w:r w:rsidR="00DA4AE7">
              <w:rPr>
                <w:noProof/>
              </w:rPr>
              <w:t>45</w:t>
            </w:r>
            <w:r w:rsidR="004476A0">
              <w:rPr>
                <w:noProof/>
              </w:rPr>
              <w:fldChar w:fldCharType="end"/>
            </w:r>
          </w:hyperlink>
        </w:p>
        <w:p w14:paraId="07119F0E" w14:textId="02C0DC19" w:rsidR="004476A0" w:rsidRDefault="00000000">
          <w:pPr>
            <w:pStyle w:val="TDC1"/>
            <w:tabs>
              <w:tab w:val="right" w:leader="dot" w:pos="9016"/>
            </w:tabs>
            <w:rPr>
              <w:noProof/>
            </w:rPr>
          </w:pPr>
          <w:hyperlink w:anchor="_Toc241337970" w:history="1">
            <w:r w:rsidR="004476A0" w:rsidRPr="00C24552">
              <w:rPr>
                <w:rStyle w:val="Hipervnculo"/>
                <w:noProof/>
              </w:rPr>
              <w:t>21. Gestión de cambios en producción</w:t>
            </w:r>
            <w:r w:rsidR="004476A0">
              <w:rPr>
                <w:noProof/>
              </w:rPr>
              <w:tab/>
            </w:r>
            <w:r w:rsidR="004476A0">
              <w:rPr>
                <w:noProof/>
              </w:rPr>
              <w:fldChar w:fldCharType="begin"/>
            </w:r>
            <w:r w:rsidR="004476A0">
              <w:rPr>
                <w:noProof/>
              </w:rPr>
              <w:instrText xml:space="preserve"> PAGEREF _Toc241337970 \h </w:instrText>
            </w:r>
            <w:r w:rsidR="004476A0">
              <w:rPr>
                <w:noProof/>
              </w:rPr>
            </w:r>
            <w:r w:rsidR="004476A0">
              <w:rPr>
                <w:noProof/>
              </w:rPr>
              <w:fldChar w:fldCharType="separate"/>
            </w:r>
            <w:r w:rsidR="00DA4AE7">
              <w:rPr>
                <w:noProof/>
              </w:rPr>
              <w:t>46</w:t>
            </w:r>
            <w:r w:rsidR="004476A0">
              <w:rPr>
                <w:noProof/>
              </w:rPr>
              <w:fldChar w:fldCharType="end"/>
            </w:r>
          </w:hyperlink>
        </w:p>
        <w:p w14:paraId="4A0F97CE" w14:textId="1189FDFF" w:rsidR="004476A0" w:rsidRDefault="00000000">
          <w:pPr>
            <w:pStyle w:val="TDC2"/>
            <w:tabs>
              <w:tab w:val="right" w:leader="dot" w:pos="9016"/>
            </w:tabs>
            <w:rPr>
              <w:noProof/>
            </w:rPr>
          </w:pPr>
          <w:hyperlink w:anchor="_Toc241337971" w:history="1">
            <w:r w:rsidR="004476A0" w:rsidRPr="00C24552">
              <w:rPr>
                <w:rStyle w:val="Hipervnculo"/>
                <w:noProof/>
              </w:rPr>
              <w:t>21.1. Tipos de cambio</w:t>
            </w:r>
            <w:r w:rsidR="004476A0">
              <w:rPr>
                <w:noProof/>
              </w:rPr>
              <w:tab/>
            </w:r>
            <w:r w:rsidR="004476A0">
              <w:rPr>
                <w:noProof/>
              </w:rPr>
              <w:fldChar w:fldCharType="begin"/>
            </w:r>
            <w:r w:rsidR="004476A0">
              <w:rPr>
                <w:noProof/>
              </w:rPr>
              <w:instrText xml:space="preserve"> PAGEREF _Toc241337971 \h </w:instrText>
            </w:r>
            <w:r w:rsidR="004476A0">
              <w:rPr>
                <w:noProof/>
              </w:rPr>
            </w:r>
            <w:r w:rsidR="004476A0">
              <w:rPr>
                <w:noProof/>
              </w:rPr>
              <w:fldChar w:fldCharType="separate"/>
            </w:r>
            <w:r w:rsidR="00DA4AE7">
              <w:rPr>
                <w:noProof/>
              </w:rPr>
              <w:t>46</w:t>
            </w:r>
            <w:r w:rsidR="004476A0">
              <w:rPr>
                <w:noProof/>
              </w:rPr>
              <w:fldChar w:fldCharType="end"/>
            </w:r>
          </w:hyperlink>
        </w:p>
        <w:p w14:paraId="533F8AC2" w14:textId="74DCC0A7" w:rsidR="004476A0" w:rsidRDefault="00000000">
          <w:pPr>
            <w:pStyle w:val="TDC2"/>
            <w:tabs>
              <w:tab w:val="right" w:leader="dot" w:pos="9016"/>
            </w:tabs>
            <w:rPr>
              <w:noProof/>
            </w:rPr>
          </w:pPr>
          <w:hyperlink w:anchor="_Toc241337972" w:history="1">
            <w:r w:rsidR="004476A0" w:rsidRPr="00C24552">
              <w:rPr>
                <w:rStyle w:val="Hipervnculo"/>
                <w:noProof/>
              </w:rPr>
              <w:t>21.2. Proceso</w:t>
            </w:r>
            <w:r w:rsidR="004476A0">
              <w:rPr>
                <w:noProof/>
              </w:rPr>
              <w:tab/>
            </w:r>
            <w:r w:rsidR="004476A0">
              <w:rPr>
                <w:noProof/>
              </w:rPr>
              <w:fldChar w:fldCharType="begin"/>
            </w:r>
            <w:r w:rsidR="004476A0">
              <w:rPr>
                <w:noProof/>
              </w:rPr>
              <w:instrText xml:space="preserve"> PAGEREF _Toc241337972 \h </w:instrText>
            </w:r>
            <w:r w:rsidR="004476A0">
              <w:rPr>
                <w:noProof/>
              </w:rPr>
            </w:r>
            <w:r w:rsidR="004476A0">
              <w:rPr>
                <w:noProof/>
              </w:rPr>
              <w:fldChar w:fldCharType="separate"/>
            </w:r>
            <w:r w:rsidR="00DA4AE7">
              <w:rPr>
                <w:noProof/>
              </w:rPr>
              <w:t>46</w:t>
            </w:r>
            <w:r w:rsidR="004476A0">
              <w:rPr>
                <w:noProof/>
              </w:rPr>
              <w:fldChar w:fldCharType="end"/>
            </w:r>
          </w:hyperlink>
        </w:p>
        <w:p w14:paraId="47BB14E9" w14:textId="1399DCF1" w:rsidR="004476A0" w:rsidRDefault="00000000">
          <w:pPr>
            <w:pStyle w:val="TDC2"/>
            <w:tabs>
              <w:tab w:val="right" w:leader="dot" w:pos="9016"/>
            </w:tabs>
            <w:rPr>
              <w:noProof/>
            </w:rPr>
          </w:pPr>
          <w:hyperlink w:anchor="_Toc241337973" w:history="1">
            <w:r w:rsidR="004476A0" w:rsidRPr="00C24552">
              <w:rPr>
                <w:rStyle w:val="Hipervnculo"/>
                <w:noProof/>
              </w:rPr>
              <w:t>21.3. Cambio, incidencia, problema y petición</w:t>
            </w:r>
            <w:r w:rsidR="004476A0">
              <w:rPr>
                <w:noProof/>
              </w:rPr>
              <w:tab/>
            </w:r>
            <w:r w:rsidR="004476A0">
              <w:rPr>
                <w:noProof/>
              </w:rPr>
              <w:fldChar w:fldCharType="begin"/>
            </w:r>
            <w:r w:rsidR="004476A0">
              <w:rPr>
                <w:noProof/>
              </w:rPr>
              <w:instrText xml:space="preserve"> PAGEREF _Toc241337973 \h </w:instrText>
            </w:r>
            <w:r w:rsidR="004476A0">
              <w:rPr>
                <w:noProof/>
              </w:rPr>
            </w:r>
            <w:r w:rsidR="004476A0">
              <w:rPr>
                <w:noProof/>
              </w:rPr>
              <w:fldChar w:fldCharType="separate"/>
            </w:r>
            <w:r w:rsidR="00DA4AE7">
              <w:rPr>
                <w:noProof/>
              </w:rPr>
              <w:t>46</w:t>
            </w:r>
            <w:r w:rsidR="004476A0">
              <w:rPr>
                <w:noProof/>
              </w:rPr>
              <w:fldChar w:fldCharType="end"/>
            </w:r>
          </w:hyperlink>
        </w:p>
        <w:p w14:paraId="6F1DFFB7" w14:textId="592C312C" w:rsidR="004476A0" w:rsidRDefault="00000000">
          <w:pPr>
            <w:pStyle w:val="TDC1"/>
            <w:tabs>
              <w:tab w:val="right" w:leader="dot" w:pos="9016"/>
            </w:tabs>
            <w:rPr>
              <w:noProof/>
            </w:rPr>
          </w:pPr>
          <w:hyperlink w:anchor="_Toc241337974" w:history="1">
            <w:r w:rsidR="004476A0" w:rsidRPr="00C24552">
              <w:rPr>
                <w:rStyle w:val="Hipervnculo"/>
                <w:noProof/>
              </w:rPr>
              <w:t>22. Gestión de incidencias, operación y niveles de servicio</w:t>
            </w:r>
            <w:r w:rsidR="004476A0">
              <w:rPr>
                <w:noProof/>
              </w:rPr>
              <w:tab/>
            </w:r>
            <w:r w:rsidR="004476A0">
              <w:rPr>
                <w:noProof/>
              </w:rPr>
              <w:fldChar w:fldCharType="begin"/>
            </w:r>
            <w:r w:rsidR="004476A0">
              <w:rPr>
                <w:noProof/>
              </w:rPr>
              <w:instrText xml:space="preserve"> PAGEREF _Toc241337974 \h </w:instrText>
            </w:r>
            <w:r w:rsidR="004476A0">
              <w:rPr>
                <w:noProof/>
              </w:rPr>
            </w:r>
            <w:r w:rsidR="004476A0">
              <w:rPr>
                <w:noProof/>
              </w:rPr>
              <w:fldChar w:fldCharType="separate"/>
            </w:r>
            <w:r w:rsidR="00DA4AE7">
              <w:rPr>
                <w:noProof/>
              </w:rPr>
              <w:t>48</w:t>
            </w:r>
            <w:r w:rsidR="004476A0">
              <w:rPr>
                <w:noProof/>
              </w:rPr>
              <w:fldChar w:fldCharType="end"/>
            </w:r>
          </w:hyperlink>
        </w:p>
        <w:p w14:paraId="6CE7FDD9" w14:textId="08604521" w:rsidR="004476A0" w:rsidRDefault="00000000">
          <w:pPr>
            <w:pStyle w:val="TDC2"/>
            <w:tabs>
              <w:tab w:val="right" w:leader="dot" w:pos="9016"/>
            </w:tabs>
            <w:rPr>
              <w:noProof/>
            </w:rPr>
          </w:pPr>
          <w:hyperlink w:anchor="_Toc241337975" w:history="1">
            <w:r w:rsidR="004476A0" w:rsidRPr="00C24552">
              <w:rPr>
                <w:rStyle w:val="Hipervnculo"/>
                <w:noProof/>
              </w:rPr>
              <w:t>22.1. Ciclo de vida de la incidencia</w:t>
            </w:r>
            <w:r w:rsidR="004476A0">
              <w:rPr>
                <w:noProof/>
              </w:rPr>
              <w:tab/>
            </w:r>
            <w:r w:rsidR="004476A0">
              <w:rPr>
                <w:noProof/>
              </w:rPr>
              <w:fldChar w:fldCharType="begin"/>
            </w:r>
            <w:r w:rsidR="004476A0">
              <w:rPr>
                <w:noProof/>
              </w:rPr>
              <w:instrText xml:space="preserve"> PAGEREF _Toc241337975 \h </w:instrText>
            </w:r>
            <w:r w:rsidR="004476A0">
              <w:rPr>
                <w:noProof/>
              </w:rPr>
            </w:r>
            <w:r w:rsidR="004476A0">
              <w:rPr>
                <w:noProof/>
              </w:rPr>
              <w:fldChar w:fldCharType="separate"/>
            </w:r>
            <w:r w:rsidR="00DA4AE7">
              <w:rPr>
                <w:noProof/>
              </w:rPr>
              <w:t>48</w:t>
            </w:r>
            <w:r w:rsidR="004476A0">
              <w:rPr>
                <w:noProof/>
              </w:rPr>
              <w:fldChar w:fldCharType="end"/>
            </w:r>
          </w:hyperlink>
        </w:p>
        <w:p w14:paraId="1B025D1A" w14:textId="2ED4F8B1" w:rsidR="004476A0" w:rsidRDefault="00000000">
          <w:pPr>
            <w:pStyle w:val="TDC2"/>
            <w:tabs>
              <w:tab w:val="right" w:leader="dot" w:pos="9016"/>
            </w:tabs>
            <w:rPr>
              <w:noProof/>
            </w:rPr>
          </w:pPr>
          <w:hyperlink w:anchor="_Toc241337976" w:history="1">
            <w:r w:rsidR="004476A0" w:rsidRPr="00C24552">
              <w:rPr>
                <w:rStyle w:val="Hipervnculo"/>
                <w:noProof/>
              </w:rPr>
              <w:t>22.2. Niveles de servicio</w:t>
            </w:r>
            <w:r w:rsidR="004476A0">
              <w:rPr>
                <w:noProof/>
              </w:rPr>
              <w:tab/>
            </w:r>
            <w:r w:rsidR="004476A0">
              <w:rPr>
                <w:noProof/>
              </w:rPr>
              <w:fldChar w:fldCharType="begin"/>
            </w:r>
            <w:r w:rsidR="004476A0">
              <w:rPr>
                <w:noProof/>
              </w:rPr>
              <w:instrText xml:space="preserve"> PAGEREF _Toc241337976 \h </w:instrText>
            </w:r>
            <w:r w:rsidR="004476A0">
              <w:rPr>
                <w:noProof/>
              </w:rPr>
            </w:r>
            <w:r w:rsidR="004476A0">
              <w:rPr>
                <w:noProof/>
              </w:rPr>
              <w:fldChar w:fldCharType="separate"/>
            </w:r>
            <w:r w:rsidR="00DA4AE7">
              <w:rPr>
                <w:noProof/>
              </w:rPr>
              <w:t>48</w:t>
            </w:r>
            <w:r w:rsidR="004476A0">
              <w:rPr>
                <w:noProof/>
              </w:rPr>
              <w:fldChar w:fldCharType="end"/>
            </w:r>
          </w:hyperlink>
        </w:p>
        <w:p w14:paraId="44BA7E3E" w14:textId="55A1B4C5" w:rsidR="004476A0" w:rsidRDefault="00000000">
          <w:pPr>
            <w:pStyle w:val="TDC1"/>
            <w:tabs>
              <w:tab w:val="right" w:leader="dot" w:pos="9016"/>
            </w:tabs>
            <w:rPr>
              <w:noProof/>
            </w:rPr>
          </w:pPr>
          <w:hyperlink w:anchor="_Toc241337977" w:history="1">
            <w:r w:rsidR="004476A0" w:rsidRPr="00C24552">
              <w:rPr>
                <w:rStyle w:val="Hipervnculo"/>
                <w:noProof/>
              </w:rPr>
              <w:t>23. Gestión de la capacidad y del rendimiento</w:t>
            </w:r>
            <w:r w:rsidR="004476A0">
              <w:rPr>
                <w:noProof/>
              </w:rPr>
              <w:tab/>
            </w:r>
            <w:r w:rsidR="004476A0">
              <w:rPr>
                <w:noProof/>
              </w:rPr>
              <w:fldChar w:fldCharType="begin"/>
            </w:r>
            <w:r w:rsidR="004476A0">
              <w:rPr>
                <w:noProof/>
              </w:rPr>
              <w:instrText xml:space="preserve"> PAGEREF _Toc241337977 \h </w:instrText>
            </w:r>
            <w:r w:rsidR="004476A0">
              <w:rPr>
                <w:noProof/>
              </w:rPr>
            </w:r>
            <w:r w:rsidR="004476A0">
              <w:rPr>
                <w:noProof/>
              </w:rPr>
              <w:fldChar w:fldCharType="separate"/>
            </w:r>
            <w:r w:rsidR="00DA4AE7">
              <w:rPr>
                <w:noProof/>
              </w:rPr>
              <w:t>50</w:t>
            </w:r>
            <w:r w:rsidR="004476A0">
              <w:rPr>
                <w:noProof/>
              </w:rPr>
              <w:fldChar w:fldCharType="end"/>
            </w:r>
          </w:hyperlink>
        </w:p>
        <w:p w14:paraId="4189FB85" w14:textId="30BC98B1" w:rsidR="004476A0" w:rsidRDefault="00000000">
          <w:pPr>
            <w:pStyle w:val="TDC1"/>
            <w:tabs>
              <w:tab w:val="right" w:leader="dot" w:pos="9016"/>
            </w:tabs>
            <w:rPr>
              <w:noProof/>
            </w:rPr>
          </w:pPr>
          <w:hyperlink w:anchor="_Toc241337978" w:history="1">
            <w:r w:rsidR="004476A0" w:rsidRPr="00C24552">
              <w:rPr>
                <w:rStyle w:val="Hipervnculo"/>
                <w:noProof/>
              </w:rPr>
              <w:t>24. Gestión de la configuración</w:t>
            </w:r>
            <w:r w:rsidR="004476A0">
              <w:rPr>
                <w:noProof/>
              </w:rPr>
              <w:tab/>
            </w:r>
            <w:r w:rsidR="004476A0">
              <w:rPr>
                <w:noProof/>
              </w:rPr>
              <w:fldChar w:fldCharType="begin"/>
            </w:r>
            <w:r w:rsidR="004476A0">
              <w:rPr>
                <w:noProof/>
              </w:rPr>
              <w:instrText xml:space="preserve"> PAGEREF _Toc241337978 \h </w:instrText>
            </w:r>
            <w:r w:rsidR="004476A0">
              <w:rPr>
                <w:noProof/>
              </w:rPr>
            </w:r>
            <w:r w:rsidR="004476A0">
              <w:rPr>
                <w:noProof/>
              </w:rPr>
              <w:fldChar w:fldCharType="separate"/>
            </w:r>
            <w:r w:rsidR="00DA4AE7">
              <w:rPr>
                <w:noProof/>
              </w:rPr>
              <w:t>51</w:t>
            </w:r>
            <w:r w:rsidR="004476A0">
              <w:rPr>
                <w:noProof/>
              </w:rPr>
              <w:fldChar w:fldCharType="end"/>
            </w:r>
          </w:hyperlink>
        </w:p>
        <w:p w14:paraId="658305D7" w14:textId="36BDC7D7" w:rsidR="004476A0" w:rsidRDefault="00000000">
          <w:pPr>
            <w:pStyle w:val="TDC1"/>
            <w:tabs>
              <w:tab w:val="right" w:leader="dot" w:pos="9016"/>
            </w:tabs>
            <w:rPr>
              <w:noProof/>
            </w:rPr>
          </w:pPr>
          <w:hyperlink w:anchor="_Toc241337979" w:history="1">
            <w:r w:rsidR="004476A0" w:rsidRPr="00C24552">
              <w:rPr>
                <w:rStyle w:val="Hipervnculo"/>
                <w:noProof/>
              </w:rPr>
              <w:t>25. Organización de un centro de proceso de datos</w:t>
            </w:r>
            <w:r w:rsidR="004476A0">
              <w:rPr>
                <w:noProof/>
              </w:rPr>
              <w:tab/>
            </w:r>
            <w:r w:rsidR="004476A0">
              <w:rPr>
                <w:noProof/>
              </w:rPr>
              <w:fldChar w:fldCharType="begin"/>
            </w:r>
            <w:r w:rsidR="004476A0">
              <w:rPr>
                <w:noProof/>
              </w:rPr>
              <w:instrText xml:space="preserve"> PAGEREF _Toc241337979 \h </w:instrText>
            </w:r>
            <w:r w:rsidR="004476A0">
              <w:rPr>
                <w:noProof/>
              </w:rPr>
            </w:r>
            <w:r w:rsidR="004476A0">
              <w:rPr>
                <w:noProof/>
              </w:rPr>
              <w:fldChar w:fldCharType="separate"/>
            </w:r>
            <w:r w:rsidR="00DA4AE7">
              <w:rPr>
                <w:noProof/>
              </w:rPr>
              <w:t>52</w:t>
            </w:r>
            <w:r w:rsidR="004476A0">
              <w:rPr>
                <w:noProof/>
              </w:rPr>
              <w:fldChar w:fldCharType="end"/>
            </w:r>
          </w:hyperlink>
        </w:p>
        <w:p w14:paraId="6E83F1DA" w14:textId="3A058CF8" w:rsidR="004476A0" w:rsidRDefault="00000000">
          <w:pPr>
            <w:pStyle w:val="TDC1"/>
            <w:tabs>
              <w:tab w:val="right" w:leader="dot" w:pos="9016"/>
            </w:tabs>
            <w:rPr>
              <w:noProof/>
            </w:rPr>
          </w:pPr>
          <w:hyperlink w:anchor="_Toc241337980" w:history="1">
            <w:r w:rsidR="004476A0" w:rsidRPr="00C24552">
              <w:rPr>
                <w:rStyle w:val="Hipervnculo"/>
                <w:noProof/>
              </w:rPr>
              <w:t>26. Organización de los CPD y de los sistemas de información del Servicio Andaluz de Salud (situación actual)</w:t>
            </w:r>
            <w:r w:rsidR="004476A0">
              <w:rPr>
                <w:noProof/>
              </w:rPr>
              <w:tab/>
            </w:r>
            <w:r w:rsidR="004476A0">
              <w:rPr>
                <w:noProof/>
              </w:rPr>
              <w:fldChar w:fldCharType="begin"/>
            </w:r>
            <w:r w:rsidR="004476A0">
              <w:rPr>
                <w:noProof/>
              </w:rPr>
              <w:instrText xml:space="preserve"> PAGEREF _Toc241337980 \h </w:instrText>
            </w:r>
            <w:r w:rsidR="004476A0">
              <w:rPr>
                <w:noProof/>
              </w:rPr>
            </w:r>
            <w:r w:rsidR="004476A0">
              <w:rPr>
                <w:noProof/>
              </w:rPr>
              <w:fldChar w:fldCharType="separate"/>
            </w:r>
            <w:r w:rsidR="00DA4AE7">
              <w:rPr>
                <w:noProof/>
              </w:rPr>
              <w:t>53</w:t>
            </w:r>
            <w:r w:rsidR="004476A0">
              <w:rPr>
                <w:noProof/>
              </w:rPr>
              <w:fldChar w:fldCharType="end"/>
            </w:r>
          </w:hyperlink>
        </w:p>
        <w:p w14:paraId="56E235D9" w14:textId="004E8A7D" w:rsidR="004476A0" w:rsidRDefault="00000000">
          <w:pPr>
            <w:pStyle w:val="TDC2"/>
            <w:tabs>
              <w:tab w:val="right" w:leader="dot" w:pos="9016"/>
            </w:tabs>
            <w:rPr>
              <w:noProof/>
            </w:rPr>
          </w:pPr>
          <w:hyperlink w:anchor="_Toc241337981" w:history="1">
            <w:r w:rsidR="004476A0" w:rsidRPr="00C24552">
              <w:rPr>
                <w:rStyle w:val="Hipervnculo"/>
                <w:noProof/>
              </w:rPr>
              <w:t>26.1. Encaje institucional del SAS</w:t>
            </w:r>
            <w:r w:rsidR="004476A0">
              <w:rPr>
                <w:noProof/>
              </w:rPr>
              <w:tab/>
            </w:r>
            <w:r w:rsidR="004476A0">
              <w:rPr>
                <w:noProof/>
              </w:rPr>
              <w:fldChar w:fldCharType="begin"/>
            </w:r>
            <w:r w:rsidR="004476A0">
              <w:rPr>
                <w:noProof/>
              </w:rPr>
              <w:instrText xml:space="preserve"> PAGEREF _Toc241337981 \h </w:instrText>
            </w:r>
            <w:r w:rsidR="004476A0">
              <w:rPr>
                <w:noProof/>
              </w:rPr>
            </w:r>
            <w:r w:rsidR="004476A0">
              <w:rPr>
                <w:noProof/>
              </w:rPr>
              <w:fldChar w:fldCharType="separate"/>
            </w:r>
            <w:r w:rsidR="00DA4AE7">
              <w:rPr>
                <w:noProof/>
              </w:rPr>
              <w:t>53</w:t>
            </w:r>
            <w:r w:rsidR="004476A0">
              <w:rPr>
                <w:noProof/>
              </w:rPr>
              <w:fldChar w:fldCharType="end"/>
            </w:r>
          </w:hyperlink>
        </w:p>
        <w:p w14:paraId="3F38B733" w14:textId="4DD0D046" w:rsidR="004476A0" w:rsidRDefault="00000000">
          <w:pPr>
            <w:pStyle w:val="TDC2"/>
            <w:tabs>
              <w:tab w:val="right" w:leader="dot" w:pos="9016"/>
            </w:tabs>
            <w:rPr>
              <w:noProof/>
            </w:rPr>
          </w:pPr>
          <w:hyperlink w:anchor="_Toc241337982" w:history="1">
            <w:r w:rsidR="004476A0" w:rsidRPr="00C24552">
              <w:rPr>
                <w:rStyle w:val="Hipervnculo"/>
                <w:noProof/>
              </w:rPr>
              <w:t>26.2. La Dirección General de Salud Digital e Infraestructuras Tecnológicas</w:t>
            </w:r>
            <w:r w:rsidR="004476A0">
              <w:rPr>
                <w:noProof/>
              </w:rPr>
              <w:tab/>
            </w:r>
            <w:r w:rsidR="004476A0">
              <w:rPr>
                <w:noProof/>
              </w:rPr>
              <w:fldChar w:fldCharType="begin"/>
            </w:r>
            <w:r w:rsidR="004476A0">
              <w:rPr>
                <w:noProof/>
              </w:rPr>
              <w:instrText xml:space="preserve"> PAGEREF _Toc241337982 \h </w:instrText>
            </w:r>
            <w:r w:rsidR="004476A0">
              <w:rPr>
                <w:noProof/>
              </w:rPr>
            </w:r>
            <w:r w:rsidR="004476A0">
              <w:rPr>
                <w:noProof/>
              </w:rPr>
              <w:fldChar w:fldCharType="separate"/>
            </w:r>
            <w:r w:rsidR="00DA4AE7">
              <w:rPr>
                <w:noProof/>
              </w:rPr>
              <w:t>54</w:t>
            </w:r>
            <w:r w:rsidR="004476A0">
              <w:rPr>
                <w:noProof/>
              </w:rPr>
              <w:fldChar w:fldCharType="end"/>
            </w:r>
          </w:hyperlink>
        </w:p>
        <w:p w14:paraId="7DD8F28B" w14:textId="5D4C84BC" w:rsidR="004476A0" w:rsidRDefault="00000000">
          <w:pPr>
            <w:pStyle w:val="TDC2"/>
            <w:tabs>
              <w:tab w:val="right" w:leader="dot" w:pos="9016"/>
            </w:tabs>
            <w:rPr>
              <w:noProof/>
            </w:rPr>
          </w:pPr>
          <w:hyperlink w:anchor="_Toc241337983" w:history="1">
            <w:r w:rsidR="004476A0" w:rsidRPr="00C24552">
              <w:rPr>
                <w:rStyle w:val="Hipervnculo"/>
                <w:noProof/>
              </w:rPr>
              <w:t>26.3. Los CPD centrales del SAS</w:t>
            </w:r>
            <w:r w:rsidR="004476A0">
              <w:rPr>
                <w:noProof/>
              </w:rPr>
              <w:tab/>
            </w:r>
            <w:r w:rsidR="004476A0">
              <w:rPr>
                <w:noProof/>
              </w:rPr>
              <w:fldChar w:fldCharType="begin"/>
            </w:r>
            <w:r w:rsidR="004476A0">
              <w:rPr>
                <w:noProof/>
              </w:rPr>
              <w:instrText xml:space="preserve"> PAGEREF _Toc241337983 \h </w:instrText>
            </w:r>
            <w:r w:rsidR="004476A0">
              <w:rPr>
                <w:noProof/>
              </w:rPr>
            </w:r>
            <w:r w:rsidR="004476A0">
              <w:rPr>
                <w:noProof/>
              </w:rPr>
              <w:fldChar w:fldCharType="separate"/>
            </w:r>
            <w:r w:rsidR="00DA4AE7">
              <w:rPr>
                <w:noProof/>
              </w:rPr>
              <w:t>55</w:t>
            </w:r>
            <w:r w:rsidR="004476A0">
              <w:rPr>
                <w:noProof/>
              </w:rPr>
              <w:fldChar w:fldCharType="end"/>
            </w:r>
          </w:hyperlink>
        </w:p>
        <w:p w14:paraId="06DDC898" w14:textId="4D6CFF78" w:rsidR="004476A0" w:rsidRDefault="00000000">
          <w:pPr>
            <w:pStyle w:val="TDC2"/>
            <w:tabs>
              <w:tab w:val="right" w:leader="dot" w:pos="9016"/>
            </w:tabs>
            <w:rPr>
              <w:noProof/>
            </w:rPr>
          </w:pPr>
          <w:hyperlink w:anchor="_Toc241337984" w:history="1">
            <w:r w:rsidR="004476A0" w:rsidRPr="00C24552">
              <w:rPr>
                <w:rStyle w:val="Hipervnculo"/>
                <w:noProof/>
              </w:rPr>
              <w:t>26.4. Soporte a usuarios: CGES y ayudaDIGITAL</w:t>
            </w:r>
            <w:r w:rsidR="004476A0">
              <w:rPr>
                <w:noProof/>
              </w:rPr>
              <w:tab/>
            </w:r>
            <w:r w:rsidR="004476A0">
              <w:rPr>
                <w:noProof/>
              </w:rPr>
              <w:fldChar w:fldCharType="begin"/>
            </w:r>
            <w:r w:rsidR="004476A0">
              <w:rPr>
                <w:noProof/>
              </w:rPr>
              <w:instrText xml:space="preserve"> PAGEREF _Toc241337984 \h </w:instrText>
            </w:r>
            <w:r w:rsidR="004476A0">
              <w:rPr>
                <w:noProof/>
              </w:rPr>
            </w:r>
            <w:r w:rsidR="004476A0">
              <w:rPr>
                <w:noProof/>
              </w:rPr>
              <w:fldChar w:fldCharType="separate"/>
            </w:r>
            <w:r w:rsidR="00DA4AE7">
              <w:rPr>
                <w:noProof/>
              </w:rPr>
              <w:t>55</w:t>
            </w:r>
            <w:r w:rsidR="004476A0">
              <w:rPr>
                <w:noProof/>
              </w:rPr>
              <w:fldChar w:fldCharType="end"/>
            </w:r>
          </w:hyperlink>
        </w:p>
        <w:p w14:paraId="056519B5" w14:textId="0CAF0D09" w:rsidR="004476A0" w:rsidRDefault="00000000">
          <w:pPr>
            <w:pStyle w:val="TDC2"/>
            <w:tabs>
              <w:tab w:val="right" w:leader="dot" w:pos="9016"/>
            </w:tabs>
            <w:rPr>
              <w:noProof/>
            </w:rPr>
          </w:pPr>
          <w:hyperlink w:anchor="_Toc241337985" w:history="1">
            <w:r w:rsidR="004476A0" w:rsidRPr="00C24552">
              <w:rPr>
                <w:rStyle w:val="Hipervnculo"/>
                <w:noProof/>
              </w:rPr>
              <w:t>26.5. Ámbito provincial y de centros</w:t>
            </w:r>
            <w:r w:rsidR="004476A0">
              <w:rPr>
                <w:noProof/>
              </w:rPr>
              <w:tab/>
            </w:r>
            <w:r w:rsidR="004476A0">
              <w:rPr>
                <w:noProof/>
              </w:rPr>
              <w:fldChar w:fldCharType="begin"/>
            </w:r>
            <w:r w:rsidR="004476A0">
              <w:rPr>
                <w:noProof/>
              </w:rPr>
              <w:instrText xml:space="preserve"> PAGEREF _Toc241337985 \h </w:instrText>
            </w:r>
            <w:r w:rsidR="004476A0">
              <w:rPr>
                <w:noProof/>
              </w:rPr>
            </w:r>
            <w:r w:rsidR="004476A0">
              <w:rPr>
                <w:noProof/>
              </w:rPr>
              <w:fldChar w:fldCharType="separate"/>
            </w:r>
            <w:r w:rsidR="00DA4AE7">
              <w:rPr>
                <w:noProof/>
              </w:rPr>
              <w:t>55</w:t>
            </w:r>
            <w:r w:rsidR="004476A0">
              <w:rPr>
                <w:noProof/>
              </w:rPr>
              <w:fldChar w:fldCharType="end"/>
            </w:r>
          </w:hyperlink>
        </w:p>
        <w:p w14:paraId="1297E7DC" w14:textId="6935CC25" w:rsidR="004476A0" w:rsidRDefault="00000000">
          <w:pPr>
            <w:pStyle w:val="TDC2"/>
            <w:tabs>
              <w:tab w:val="right" w:leader="dot" w:pos="9016"/>
            </w:tabs>
            <w:rPr>
              <w:noProof/>
            </w:rPr>
          </w:pPr>
          <w:hyperlink w:anchor="_Toc241337986" w:history="1">
            <w:r w:rsidR="004476A0" w:rsidRPr="00C24552">
              <w:rPr>
                <w:rStyle w:val="Hipervnculo"/>
                <w:noProof/>
              </w:rPr>
              <w:t>26.6. Relación con la Agencia Digital de Andalucía y el nuevo CPD de la Junta</w:t>
            </w:r>
            <w:r w:rsidR="004476A0">
              <w:rPr>
                <w:noProof/>
              </w:rPr>
              <w:tab/>
            </w:r>
            <w:r w:rsidR="004476A0">
              <w:rPr>
                <w:noProof/>
              </w:rPr>
              <w:fldChar w:fldCharType="begin"/>
            </w:r>
            <w:r w:rsidR="004476A0">
              <w:rPr>
                <w:noProof/>
              </w:rPr>
              <w:instrText xml:space="preserve"> PAGEREF _Toc241337986 \h </w:instrText>
            </w:r>
            <w:r w:rsidR="004476A0">
              <w:rPr>
                <w:noProof/>
              </w:rPr>
            </w:r>
            <w:r w:rsidR="004476A0">
              <w:rPr>
                <w:noProof/>
              </w:rPr>
              <w:fldChar w:fldCharType="separate"/>
            </w:r>
            <w:r w:rsidR="00DA4AE7">
              <w:rPr>
                <w:noProof/>
              </w:rPr>
              <w:t>56</w:t>
            </w:r>
            <w:r w:rsidR="004476A0">
              <w:rPr>
                <w:noProof/>
              </w:rPr>
              <w:fldChar w:fldCharType="end"/>
            </w:r>
          </w:hyperlink>
        </w:p>
        <w:p w14:paraId="68A691C0" w14:textId="34B9E084" w:rsidR="004476A0" w:rsidRDefault="00000000">
          <w:pPr>
            <w:pStyle w:val="TDC2"/>
            <w:tabs>
              <w:tab w:val="right" w:leader="dot" w:pos="9016"/>
            </w:tabs>
            <w:rPr>
              <w:noProof/>
            </w:rPr>
          </w:pPr>
          <w:hyperlink w:anchor="_Toc241337987" w:history="1">
            <w:r w:rsidR="004476A0" w:rsidRPr="00C24552">
              <w:rPr>
                <w:rStyle w:val="Hipervnculo"/>
                <w:noProof/>
              </w:rPr>
              <w:t>26.7. Otras actuaciones de infraestructura publicadas</w:t>
            </w:r>
            <w:r w:rsidR="004476A0">
              <w:rPr>
                <w:noProof/>
              </w:rPr>
              <w:tab/>
            </w:r>
            <w:r w:rsidR="004476A0">
              <w:rPr>
                <w:noProof/>
              </w:rPr>
              <w:fldChar w:fldCharType="begin"/>
            </w:r>
            <w:r w:rsidR="004476A0">
              <w:rPr>
                <w:noProof/>
              </w:rPr>
              <w:instrText xml:space="preserve"> PAGEREF _Toc241337987 \h </w:instrText>
            </w:r>
            <w:r w:rsidR="004476A0">
              <w:rPr>
                <w:noProof/>
              </w:rPr>
            </w:r>
            <w:r w:rsidR="004476A0">
              <w:rPr>
                <w:noProof/>
              </w:rPr>
              <w:fldChar w:fldCharType="separate"/>
            </w:r>
            <w:r w:rsidR="00DA4AE7">
              <w:rPr>
                <w:noProof/>
              </w:rPr>
              <w:t>56</w:t>
            </w:r>
            <w:r w:rsidR="004476A0">
              <w:rPr>
                <w:noProof/>
              </w:rPr>
              <w:fldChar w:fldCharType="end"/>
            </w:r>
          </w:hyperlink>
        </w:p>
        <w:p w14:paraId="593260BE" w14:textId="0D0BE821" w:rsidR="004476A0" w:rsidRDefault="00000000">
          <w:pPr>
            <w:pStyle w:val="TDC1"/>
            <w:tabs>
              <w:tab w:val="right" w:leader="dot" w:pos="9016"/>
            </w:tabs>
            <w:rPr>
              <w:noProof/>
            </w:rPr>
          </w:pPr>
          <w:hyperlink w:anchor="_Toc241337988" w:history="1">
            <w:r w:rsidR="004476A0" w:rsidRPr="00C24552">
              <w:rPr>
                <w:rStyle w:val="Hipervnculo"/>
                <w:noProof/>
              </w:rPr>
              <w:t>27. Evolución histórica de la organización TIC del SAS</w:t>
            </w:r>
            <w:r w:rsidR="004476A0">
              <w:rPr>
                <w:noProof/>
              </w:rPr>
              <w:tab/>
            </w:r>
            <w:r w:rsidR="004476A0">
              <w:rPr>
                <w:noProof/>
              </w:rPr>
              <w:fldChar w:fldCharType="begin"/>
            </w:r>
            <w:r w:rsidR="004476A0">
              <w:rPr>
                <w:noProof/>
              </w:rPr>
              <w:instrText xml:space="preserve"> PAGEREF _Toc241337988 \h </w:instrText>
            </w:r>
            <w:r w:rsidR="004476A0">
              <w:rPr>
                <w:noProof/>
              </w:rPr>
            </w:r>
            <w:r w:rsidR="004476A0">
              <w:rPr>
                <w:noProof/>
              </w:rPr>
              <w:fldChar w:fldCharType="separate"/>
            </w:r>
            <w:r w:rsidR="00DA4AE7">
              <w:rPr>
                <w:noProof/>
              </w:rPr>
              <w:t>57</w:t>
            </w:r>
            <w:r w:rsidR="004476A0">
              <w:rPr>
                <w:noProof/>
              </w:rPr>
              <w:fldChar w:fldCharType="end"/>
            </w:r>
          </w:hyperlink>
        </w:p>
        <w:p w14:paraId="7CB64BBC" w14:textId="31CEA713" w:rsidR="004476A0" w:rsidRDefault="00000000">
          <w:pPr>
            <w:pStyle w:val="TDC1"/>
            <w:tabs>
              <w:tab w:val="right" w:leader="dot" w:pos="9016"/>
            </w:tabs>
            <w:rPr>
              <w:noProof/>
            </w:rPr>
          </w:pPr>
          <w:hyperlink w:anchor="_Toc241337989" w:history="1">
            <w:r w:rsidR="004476A0" w:rsidRPr="00C24552">
              <w:rPr>
                <w:rStyle w:val="Hipervnculo"/>
                <w:noProof/>
              </w:rPr>
              <w:t>28. Eficiencia energética y sostenibilidad del CPD</w:t>
            </w:r>
            <w:r w:rsidR="004476A0">
              <w:rPr>
                <w:noProof/>
              </w:rPr>
              <w:tab/>
            </w:r>
            <w:r w:rsidR="004476A0">
              <w:rPr>
                <w:noProof/>
              </w:rPr>
              <w:fldChar w:fldCharType="begin"/>
            </w:r>
            <w:r w:rsidR="004476A0">
              <w:rPr>
                <w:noProof/>
              </w:rPr>
              <w:instrText xml:space="preserve"> PAGEREF _Toc241337989 \h </w:instrText>
            </w:r>
            <w:r w:rsidR="004476A0">
              <w:rPr>
                <w:noProof/>
              </w:rPr>
            </w:r>
            <w:r w:rsidR="004476A0">
              <w:rPr>
                <w:noProof/>
              </w:rPr>
              <w:fldChar w:fldCharType="separate"/>
            </w:r>
            <w:r w:rsidR="00DA4AE7">
              <w:rPr>
                <w:noProof/>
              </w:rPr>
              <w:t>59</w:t>
            </w:r>
            <w:r w:rsidR="004476A0">
              <w:rPr>
                <w:noProof/>
              </w:rPr>
              <w:fldChar w:fldCharType="end"/>
            </w:r>
          </w:hyperlink>
        </w:p>
        <w:p w14:paraId="78846F05" w14:textId="062BFDDC" w:rsidR="004476A0" w:rsidRDefault="00000000">
          <w:pPr>
            <w:pStyle w:val="TDC2"/>
            <w:tabs>
              <w:tab w:val="right" w:leader="dot" w:pos="9016"/>
            </w:tabs>
            <w:rPr>
              <w:noProof/>
            </w:rPr>
          </w:pPr>
          <w:hyperlink w:anchor="_Toc241337990" w:history="1">
            <w:r w:rsidR="004476A0" w:rsidRPr="00C24552">
              <w:rPr>
                <w:rStyle w:val="Hipervnculo"/>
                <w:noProof/>
              </w:rPr>
              <w:t>28.1. PUE y otros indicadores</w:t>
            </w:r>
            <w:r w:rsidR="004476A0">
              <w:rPr>
                <w:noProof/>
              </w:rPr>
              <w:tab/>
            </w:r>
            <w:r w:rsidR="004476A0">
              <w:rPr>
                <w:noProof/>
              </w:rPr>
              <w:fldChar w:fldCharType="begin"/>
            </w:r>
            <w:r w:rsidR="004476A0">
              <w:rPr>
                <w:noProof/>
              </w:rPr>
              <w:instrText xml:space="preserve"> PAGEREF _Toc241337990 \h </w:instrText>
            </w:r>
            <w:r w:rsidR="004476A0">
              <w:rPr>
                <w:noProof/>
              </w:rPr>
            </w:r>
            <w:r w:rsidR="004476A0">
              <w:rPr>
                <w:noProof/>
              </w:rPr>
              <w:fldChar w:fldCharType="separate"/>
            </w:r>
            <w:r w:rsidR="00DA4AE7">
              <w:rPr>
                <w:noProof/>
              </w:rPr>
              <w:t>59</w:t>
            </w:r>
            <w:r w:rsidR="004476A0">
              <w:rPr>
                <w:noProof/>
              </w:rPr>
              <w:fldChar w:fldCharType="end"/>
            </w:r>
          </w:hyperlink>
        </w:p>
        <w:p w14:paraId="0BA3F93F" w14:textId="57735E35" w:rsidR="004476A0" w:rsidRDefault="00000000">
          <w:pPr>
            <w:pStyle w:val="TDC2"/>
            <w:tabs>
              <w:tab w:val="right" w:leader="dot" w:pos="9016"/>
            </w:tabs>
            <w:rPr>
              <w:noProof/>
            </w:rPr>
          </w:pPr>
          <w:hyperlink w:anchor="_Toc241337991" w:history="1">
            <w:r w:rsidR="004476A0" w:rsidRPr="00C24552">
              <w:rPr>
                <w:rStyle w:val="Hipervnculo"/>
                <w:noProof/>
              </w:rPr>
              <w:t>28.2. Marco europeo</w:t>
            </w:r>
            <w:r w:rsidR="004476A0">
              <w:rPr>
                <w:noProof/>
              </w:rPr>
              <w:tab/>
            </w:r>
            <w:r w:rsidR="004476A0">
              <w:rPr>
                <w:noProof/>
              </w:rPr>
              <w:fldChar w:fldCharType="begin"/>
            </w:r>
            <w:r w:rsidR="004476A0">
              <w:rPr>
                <w:noProof/>
              </w:rPr>
              <w:instrText xml:space="preserve"> PAGEREF _Toc241337991 \h </w:instrText>
            </w:r>
            <w:r w:rsidR="004476A0">
              <w:rPr>
                <w:noProof/>
              </w:rPr>
            </w:r>
            <w:r w:rsidR="004476A0">
              <w:rPr>
                <w:noProof/>
              </w:rPr>
              <w:fldChar w:fldCharType="separate"/>
            </w:r>
            <w:r w:rsidR="00DA4AE7">
              <w:rPr>
                <w:noProof/>
              </w:rPr>
              <w:t>59</w:t>
            </w:r>
            <w:r w:rsidR="004476A0">
              <w:rPr>
                <w:noProof/>
              </w:rPr>
              <w:fldChar w:fldCharType="end"/>
            </w:r>
          </w:hyperlink>
        </w:p>
        <w:p w14:paraId="2C9DA50E" w14:textId="02F11268" w:rsidR="004476A0" w:rsidRDefault="00000000">
          <w:pPr>
            <w:pStyle w:val="TDC2"/>
            <w:tabs>
              <w:tab w:val="right" w:leader="dot" w:pos="9016"/>
            </w:tabs>
            <w:rPr>
              <w:noProof/>
            </w:rPr>
          </w:pPr>
          <w:hyperlink w:anchor="_Toc241337992" w:history="1">
            <w:r w:rsidR="004476A0" w:rsidRPr="00C24552">
              <w:rPr>
                <w:rStyle w:val="Hipervnculo"/>
                <w:noProof/>
              </w:rPr>
              <w:t>28.3. Medidas de eficiencia</w:t>
            </w:r>
            <w:r w:rsidR="004476A0">
              <w:rPr>
                <w:noProof/>
              </w:rPr>
              <w:tab/>
            </w:r>
            <w:r w:rsidR="004476A0">
              <w:rPr>
                <w:noProof/>
              </w:rPr>
              <w:fldChar w:fldCharType="begin"/>
            </w:r>
            <w:r w:rsidR="004476A0">
              <w:rPr>
                <w:noProof/>
              </w:rPr>
              <w:instrText xml:space="preserve"> PAGEREF _Toc241337992 \h </w:instrText>
            </w:r>
            <w:r w:rsidR="004476A0">
              <w:rPr>
                <w:noProof/>
              </w:rPr>
            </w:r>
            <w:r w:rsidR="004476A0">
              <w:rPr>
                <w:noProof/>
              </w:rPr>
              <w:fldChar w:fldCharType="separate"/>
            </w:r>
            <w:r w:rsidR="00DA4AE7">
              <w:rPr>
                <w:noProof/>
              </w:rPr>
              <w:t>59</w:t>
            </w:r>
            <w:r w:rsidR="004476A0">
              <w:rPr>
                <w:noProof/>
              </w:rPr>
              <w:fldChar w:fldCharType="end"/>
            </w:r>
          </w:hyperlink>
        </w:p>
        <w:p w14:paraId="36D1C248" w14:textId="604B4B10" w:rsidR="004476A0" w:rsidRDefault="00000000">
          <w:pPr>
            <w:pStyle w:val="TDC1"/>
            <w:tabs>
              <w:tab w:val="right" w:leader="dot" w:pos="9016"/>
            </w:tabs>
            <w:rPr>
              <w:noProof/>
            </w:rPr>
          </w:pPr>
          <w:hyperlink w:anchor="_Toc241337993" w:history="1">
            <w:r w:rsidR="004476A0" w:rsidRPr="00C24552">
              <w:rPr>
                <w:rStyle w:val="Hipervnculo"/>
                <w:noProof/>
              </w:rPr>
              <w:t>29. Casos prácticos adicionales</w:t>
            </w:r>
            <w:r w:rsidR="004476A0">
              <w:rPr>
                <w:noProof/>
              </w:rPr>
              <w:tab/>
            </w:r>
            <w:r w:rsidR="004476A0">
              <w:rPr>
                <w:noProof/>
              </w:rPr>
              <w:fldChar w:fldCharType="begin"/>
            </w:r>
            <w:r w:rsidR="004476A0">
              <w:rPr>
                <w:noProof/>
              </w:rPr>
              <w:instrText xml:space="preserve"> PAGEREF _Toc241337993 \h </w:instrText>
            </w:r>
            <w:r w:rsidR="004476A0">
              <w:rPr>
                <w:noProof/>
              </w:rPr>
            </w:r>
            <w:r w:rsidR="004476A0">
              <w:rPr>
                <w:noProof/>
              </w:rPr>
              <w:fldChar w:fldCharType="separate"/>
            </w:r>
            <w:r w:rsidR="00DA4AE7">
              <w:rPr>
                <w:noProof/>
              </w:rPr>
              <w:t>61</w:t>
            </w:r>
            <w:r w:rsidR="004476A0">
              <w:rPr>
                <w:noProof/>
              </w:rPr>
              <w:fldChar w:fldCharType="end"/>
            </w:r>
          </w:hyperlink>
        </w:p>
        <w:p w14:paraId="281726D7" w14:textId="5969DFA2" w:rsidR="004476A0" w:rsidRDefault="00000000">
          <w:pPr>
            <w:pStyle w:val="TDC1"/>
            <w:tabs>
              <w:tab w:val="right" w:leader="dot" w:pos="9016"/>
            </w:tabs>
            <w:rPr>
              <w:noProof/>
            </w:rPr>
          </w:pPr>
          <w:hyperlink w:anchor="_Toc241337994" w:history="1">
            <w:r w:rsidR="004476A0" w:rsidRPr="00C24552">
              <w:rPr>
                <w:rStyle w:val="Hipervnculo"/>
                <w:noProof/>
              </w:rPr>
              <w:t>30. Claves finales y detección de trampas de test</w:t>
            </w:r>
            <w:r w:rsidR="004476A0">
              <w:rPr>
                <w:noProof/>
              </w:rPr>
              <w:tab/>
            </w:r>
            <w:r w:rsidR="004476A0">
              <w:rPr>
                <w:noProof/>
              </w:rPr>
              <w:fldChar w:fldCharType="begin"/>
            </w:r>
            <w:r w:rsidR="004476A0">
              <w:rPr>
                <w:noProof/>
              </w:rPr>
              <w:instrText xml:space="preserve"> PAGEREF _Toc241337994 \h </w:instrText>
            </w:r>
            <w:r w:rsidR="004476A0">
              <w:rPr>
                <w:noProof/>
              </w:rPr>
            </w:r>
            <w:r w:rsidR="004476A0">
              <w:rPr>
                <w:noProof/>
              </w:rPr>
              <w:fldChar w:fldCharType="separate"/>
            </w:r>
            <w:r w:rsidR="00DA4AE7">
              <w:rPr>
                <w:noProof/>
              </w:rPr>
              <w:t>62</w:t>
            </w:r>
            <w:r w:rsidR="004476A0">
              <w:rPr>
                <w:noProof/>
              </w:rPr>
              <w:fldChar w:fldCharType="end"/>
            </w:r>
          </w:hyperlink>
        </w:p>
        <w:p w14:paraId="1B39C20D" w14:textId="39830AD6" w:rsidR="004476A0" w:rsidRDefault="00000000">
          <w:pPr>
            <w:pStyle w:val="TDC1"/>
            <w:tabs>
              <w:tab w:val="right" w:leader="dot" w:pos="9016"/>
            </w:tabs>
            <w:rPr>
              <w:noProof/>
            </w:rPr>
          </w:pPr>
          <w:hyperlink w:anchor="_Toc241337995" w:history="1">
            <w:r w:rsidR="004476A0" w:rsidRPr="00C24552">
              <w:rPr>
                <w:rStyle w:val="Hipervnculo"/>
                <w:noProof/>
              </w:rPr>
              <w:t>31. Anexo: comprobación de cobertura de las preguntas del banco</w:t>
            </w:r>
            <w:r w:rsidR="004476A0">
              <w:rPr>
                <w:noProof/>
              </w:rPr>
              <w:tab/>
            </w:r>
            <w:r w:rsidR="004476A0">
              <w:rPr>
                <w:noProof/>
              </w:rPr>
              <w:fldChar w:fldCharType="begin"/>
            </w:r>
            <w:r w:rsidR="004476A0">
              <w:rPr>
                <w:noProof/>
              </w:rPr>
              <w:instrText xml:space="preserve"> PAGEREF _Toc241337995 \h </w:instrText>
            </w:r>
            <w:r w:rsidR="004476A0">
              <w:rPr>
                <w:noProof/>
              </w:rPr>
            </w:r>
            <w:r w:rsidR="004476A0">
              <w:rPr>
                <w:noProof/>
              </w:rPr>
              <w:fldChar w:fldCharType="separate"/>
            </w:r>
            <w:r w:rsidR="00DA4AE7">
              <w:rPr>
                <w:noProof/>
              </w:rPr>
              <w:t>64</w:t>
            </w:r>
            <w:r w:rsidR="004476A0">
              <w:rPr>
                <w:noProof/>
              </w:rPr>
              <w:fldChar w:fldCharType="end"/>
            </w:r>
          </w:hyperlink>
        </w:p>
        <w:p w14:paraId="11D62C31" w14:textId="7F063C8B" w:rsidR="004476A0" w:rsidRDefault="00000000">
          <w:pPr>
            <w:pStyle w:val="TDC1"/>
            <w:tabs>
              <w:tab w:val="right" w:leader="dot" w:pos="9016"/>
            </w:tabs>
            <w:rPr>
              <w:noProof/>
            </w:rPr>
          </w:pPr>
          <w:hyperlink w:anchor="_Toc241337996" w:history="1">
            <w:r w:rsidR="004476A0" w:rsidRPr="00C24552">
              <w:rPr>
                <w:rStyle w:val="Hipervnculo"/>
                <w:noProof/>
              </w:rPr>
              <w:t>32. Conclusiones</w:t>
            </w:r>
            <w:r w:rsidR="004476A0">
              <w:rPr>
                <w:noProof/>
              </w:rPr>
              <w:tab/>
            </w:r>
            <w:r w:rsidR="004476A0">
              <w:rPr>
                <w:noProof/>
              </w:rPr>
              <w:fldChar w:fldCharType="begin"/>
            </w:r>
            <w:r w:rsidR="004476A0">
              <w:rPr>
                <w:noProof/>
              </w:rPr>
              <w:instrText xml:space="preserve"> PAGEREF _Toc241337996 \h </w:instrText>
            </w:r>
            <w:r w:rsidR="004476A0">
              <w:rPr>
                <w:noProof/>
              </w:rPr>
            </w:r>
            <w:r w:rsidR="004476A0">
              <w:rPr>
                <w:noProof/>
              </w:rPr>
              <w:fldChar w:fldCharType="separate"/>
            </w:r>
            <w:r w:rsidR="00DA4AE7">
              <w:rPr>
                <w:noProof/>
              </w:rPr>
              <w:t>65</w:t>
            </w:r>
            <w:r w:rsidR="004476A0">
              <w:rPr>
                <w:noProof/>
              </w:rPr>
              <w:fldChar w:fldCharType="end"/>
            </w:r>
          </w:hyperlink>
        </w:p>
        <w:p w14:paraId="606A0181" w14:textId="145A58F4" w:rsidR="004476A0" w:rsidRDefault="00000000">
          <w:pPr>
            <w:pStyle w:val="TDC1"/>
            <w:tabs>
              <w:tab w:val="right" w:leader="dot" w:pos="9016"/>
            </w:tabs>
            <w:rPr>
              <w:noProof/>
            </w:rPr>
          </w:pPr>
          <w:hyperlink w:anchor="_Toc241337997" w:history="1">
            <w:r w:rsidR="004476A0" w:rsidRPr="00C24552">
              <w:rPr>
                <w:rStyle w:val="Hipervnculo"/>
                <w:noProof/>
              </w:rPr>
              <w:t>33. Fuentes y referencias</w:t>
            </w:r>
            <w:r w:rsidR="004476A0">
              <w:rPr>
                <w:noProof/>
              </w:rPr>
              <w:tab/>
            </w:r>
            <w:r w:rsidR="004476A0">
              <w:rPr>
                <w:noProof/>
              </w:rPr>
              <w:fldChar w:fldCharType="begin"/>
            </w:r>
            <w:r w:rsidR="004476A0">
              <w:rPr>
                <w:noProof/>
              </w:rPr>
              <w:instrText xml:space="preserve"> PAGEREF _Toc241337997 \h </w:instrText>
            </w:r>
            <w:r w:rsidR="004476A0">
              <w:rPr>
                <w:noProof/>
              </w:rPr>
            </w:r>
            <w:r w:rsidR="004476A0">
              <w:rPr>
                <w:noProof/>
              </w:rPr>
              <w:fldChar w:fldCharType="separate"/>
            </w:r>
            <w:r w:rsidR="00DA4AE7">
              <w:rPr>
                <w:noProof/>
              </w:rPr>
              <w:t>66</w:t>
            </w:r>
            <w:r w:rsidR="004476A0">
              <w:rPr>
                <w:noProof/>
              </w:rPr>
              <w:fldChar w:fldCharType="end"/>
            </w:r>
          </w:hyperlink>
        </w:p>
        <w:p w14:paraId="5DC8AA6C" w14:textId="218BC15C" w:rsidR="004476A0" w:rsidRDefault="00000000">
          <w:pPr>
            <w:pStyle w:val="TDC2"/>
            <w:tabs>
              <w:tab w:val="right" w:leader="dot" w:pos="9016"/>
            </w:tabs>
            <w:rPr>
              <w:noProof/>
            </w:rPr>
          </w:pPr>
          <w:hyperlink w:anchor="_Toc241337998" w:history="1">
            <w:r w:rsidR="004476A0" w:rsidRPr="00C24552">
              <w:rPr>
                <w:rStyle w:val="Hipervnculo"/>
                <w:noProof/>
              </w:rPr>
              <w:t>33.1. Normativa y fuentes oficiales (BOJA, Junta de Andalucía, SAS)</w:t>
            </w:r>
            <w:r w:rsidR="004476A0">
              <w:rPr>
                <w:noProof/>
              </w:rPr>
              <w:tab/>
            </w:r>
            <w:r w:rsidR="004476A0">
              <w:rPr>
                <w:noProof/>
              </w:rPr>
              <w:fldChar w:fldCharType="begin"/>
            </w:r>
            <w:r w:rsidR="004476A0">
              <w:rPr>
                <w:noProof/>
              </w:rPr>
              <w:instrText xml:space="preserve"> PAGEREF _Toc241337998 \h </w:instrText>
            </w:r>
            <w:r w:rsidR="004476A0">
              <w:rPr>
                <w:noProof/>
              </w:rPr>
            </w:r>
            <w:r w:rsidR="004476A0">
              <w:rPr>
                <w:noProof/>
              </w:rPr>
              <w:fldChar w:fldCharType="separate"/>
            </w:r>
            <w:r w:rsidR="00DA4AE7">
              <w:rPr>
                <w:noProof/>
              </w:rPr>
              <w:t>66</w:t>
            </w:r>
            <w:r w:rsidR="004476A0">
              <w:rPr>
                <w:noProof/>
              </w:rPr>
              <w:fldChar w:fldCharType="end"/>
            </w:r>
          </w:hyperlink>
        </w:p>
        <w:p w14:paraId="763ED509" w14:textId="653740AF" w:rsidR="004476A0" w:rsidRDefault="00000000">
          <w:pPr>
            <w:pStyle w:val="TDC2"/>
            <w:tabs>
              <w:tab w:val="right" w:leader="dot" w:pos="9016"/>
            </w:tabs>
            <w:rPr>
              <w:noProof/>
            </w:rPr>
          </w:pPr>
          <w:hyperlink w:anchor="_Toc241337999" w:history="1">
            <w:r w:rsidR="004476A0" w:rsidRPr="00C24552">
              <w:rPr>
                <w:rStyle w:val="Hipervnculo"/>
                <w:noProof/>
              </w:rPr>
              <w:t>33.2. Normativa estatal y europea</w:t>
            </w:r>
            <w:r w:rsidR="004476A0">
              <w:rPr>
                <w:noProof/>
              </w:rPr>
              <w:tab/>
            </w:r>
            <w:r w:rsidR="004476A0">
              <w:rPr>
                <w:noProof/>
              </w:rPr>
              <w:fldChar w:fldCharType="begin"/>
            </w:r>
            <w:r w:rsidR="004476A0">
              <w:rPr>
                <w:noProof/>
              </w:rPr>
              <w:instrText xml:space="preserve"> PAGEREF _Toc241337999 \h </w:instrText>
            </w:r>
            <w:r w:rsidR="004476A0">
              <w:rPr>
                <w:noProof/>
              </w:rPr>
            </w:r>
            <w:r w:rsidR="004476A0">
              <w:rPr>
                <w:noProof/>
              </w:rPr>
              <w:fldChar w:fldCharType="separate"/>
            </w:r>
            <w:r w:rsidR="00DA4AE7">
              <w:rPr>
                <w:noProof/>
              </w:rPr>
              <w:t>68</w:t>
            </w:r>
            <w:r w:rsidR="004476A0">
              <w:rPr>
                <w:noProof/>
              </w:rPr>
              <w:fldChar w:fldCharType="end"/>
            </w:r>
          </w:hyperlink>
        </w:p>
        <w:p w14:paraId="637FB85F" w14:textId="47ECF93D" w:rsidR="004476A0" w:rsidRDefault="00000000">
          <w:pPr>
            <w:pStyle w:val="TDC2"/>
            <w:tabs>
              <w:tab w:val="right" w:leader="dot" w:pos="9016"/>
            </w:tabs>
            <w:rPr>
              <w:noProof/>
            </w:rPr>
          </w:pPr>
          <w:hyperlink w:anchor="_Toc241338000" w:history="1">
            <w:r w:rsidR="004476A0" w:rsidRPr="00C24552">
              <w:rPr>
                <w:rStyle w:val="Hipervnculo"/>
                <w:noProof/>
              </w:rPr>
              <w:t>33.3. Estándares y documentación técnica</w:t>
            </w:r>
            <w:r w:rsidR="004476A0">
              <w:rPr>
                <w:noProof/>
              </w:rPr>
              <w:tab/>
            </w:r>
            <w:r w:rsidR="004476A0">
              <w:rPr>
                <w:noProof/>
              </w:rPr>
              <w:fldChar w:fldCharType="begin"/>
            </w:r>
            <w:r w:rsidR="004476A0">
              <w:rPr>
                <w:noProof/>
              </w:rPr>
              <w:instrText xml:space="preserve"> PAGEREF _Toc241338000 \h </w:instrText>
            </w:r>
            <w:r w:rsidR="004476A0">
              <w:rPr>
                <w:noProof/>
              </w:rPr>
            </w:r>
            <w:r w:rsidR="004476A0">
              <w:rPr>
                <w:noProof/>
              </w:rPr>
              <w:fldChar w:fldCharType="separate"/>
            </w:r>
            <w:r w:rsidR="00DA4AE7">
              <w:rPr>
                <w:noProof/>
              </w:rPr>
              <w:t>68</w:t>
            </w:r>
            <w:r w:rsidR="004476A0">
              <w:rPr>
                <w:noProof/>
              </w:rPr>
              <w:fldChar w:fldCharType="end"/>
            </w:r>
          </w:hyperlink>
        </w:p>
        <w:p w14:paraId="35D10953" w14:textId="77777777" w:rsidR="001C0CEA" w:rsidRDefault="00000000">
          <w:r>
            <w:fldChar w:fldCharType="end"/>
          </w:r>
        </w:p>
      </w:sdtContent>
    </w:sdt>
    <w:p w14:paraId="2F5F95D0" w14:textId="77777777" w:rsidR="001C0CEA" w:rsidRDefault="00000000">
      <w:pPr>
        <w:pStyle w:val="Ttulo1"/>
        <w:pageBreakBefore/>
      </w:pPr>
      <w:bookmarkStart w:id="0" w:name="_Toc241337881"/>
      <w:r>
        <w:lastRenderedPageBreak/>
        <w:t>1. Orientación del tema y análisis de las preguntas de examen</w:t>
      </w:r>
      <w:bookmarkEnd w:id="0"/>
    </w:p>
    <w:p w14:paraId="01030C2E" w14:textId="77777777" w:rsidR="001C0CEA" w:rsidRDefault="00000000">
      <w:pPr>
        <w:pStyle w:val="Ttulo2"/>
      </w:pPr>
      <w:bookmarkStart w:id="1" w:name="_Toc241337882"/>
      <w:r>
        <w:t>1.1. Enunciado y estructura del tema</w:t>
      </w:r>
      <w:bookmarkEnd w:id="1"/>
    </w:p>
    <w:p w14:paraId="6CF6FC5A" w14:textId="77777777" w:rsidR="001C0CEA" w:rsidRDefault="00000000">
      <w:pPr>
        <w:spacing w:after="120"/>
        <w:jc w:val="both"/>
      </w:pPr>
      <w:r>
        <w:rPr>
          <w:b/>
          <w:bCs/>
        </w:rPr>
        <w:t>Tema 56.</w:t>
      </w:r>
      <w:r>
        <w:t xml:space="preserve"> Planificación e instalación de un centro de proceso de datos. Planificación y ejecución de tareas de producción y sistemas. Organización de centros de proceso de datos del Servicio Andaluz de Salud.</w:t>
      </w:r>
    </w:p>
    <w:p w14:paraId="5A3BF903" w14:textId="77777777" w:rsidR="001C0CEA" w:rsidRDefault="00000000">
      <w:pPr>
        <w:spacing w:after="120"/>
        <w:jc w:val="both"/>
      </w:pPr>
      <w:r>
        <w:t xml:space="preserve">El enunciado contiene tres bloques que conviene estudiar como piezas diferenciadas: (1) el </w:t>
      </w:r>
      <w:r>
        <w:rPr>
          <w:b/>
          <w:bCs/>
        </w:rPr>
        <w:t>CPD como infraestructura</w:t>
      </w:r>
      <w:r>
        <w:t xml:space="preserve"> (planificación, ubicación, diseño, instalaciones, redundancia, estándares); (2) la </w:t>
      </w:r>
      <w:r>
        <w:rPr>
          <w:b/>
          <w:bCs/>
        </w:rPr>
        <w:t>producción o explotación de sistemas</w:t>
      </w:r>
      <w:r>
        <w:t xml:space="preserve"> (planificación, ejecución y control de trabajos, cambios, incidencias, capacidad, configuración); y (3) la </w:t>
      </w:r>
      <w:r>
        <w:rPr>
          <w:b/>
          <w:bCs/>
        </w:rPr>
        <w:t>organización TIC y de CPD del Servicio Andaluz de Salud</w:t>
      </w:r>
      <w:r>
        <w:t>, que es el bloque más expuesto a cambios normativos y, por tanto, el que más cuidado exige con las fechas.</w:t>
      </w:r>
    </w:p>
    <w:p w14:paraId="49CCD842" w14:textId="77777777" w:rsidR="001C0CEA" w:rsidRDefault="00000000">
      <w:pPr>
        <w:pStyle w:val="Ttulo2"/>
      </w:pPr>
      <w:bookmarkStart w:id="2" w:name="_Toc241337883"/>
      <w:r>
        <w:t>1.2. Análisis del banco de preguntas facilitado</w:t>
      </w:r>
      <w:bookmarkEnd w:id="2"/>
    </w:p>
    <w:p w14:paraId="52913298" w14:textId="77777777" w:rsidR="001C0CEA" w:rsidRDefault="00000000">
      <w:pPr>
        <w:spacing w:after="120"/>
        <w:jc w:val="both"/>
      </w:pPr>
      <w:r>
        <w:t xml:space="preserve">El fichero CSV del Tema 56 contiene </w:t>
      </w:r>
      <w:r>
        <w:rPr>
          <w:b/>
          <w:bCs/>
        </w:rPr>
        <w:t>6 preguntas</w:t>
      </w:r>
      <w:r>
        <w:t>, todas ellas relevantes para el tema. Todas se concentran en el bloque de infraestructura física y clasificaciones de CPD; ninguna pregunta del banco trata todavía sobre producción ni sobre la organización del SAS, lo que no significa que no puedan aparecer: el enunciado las incluye y el documento las desarrolla igualmente.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000"/>
        <w:gridCol w:w="3626"/>
        <w:gridCol w:w="1700"/>
      </w:tblGrid>
      <w:tr w:rsidR="001C0CEA" w14:paraId="6D310683" w14:textId="77777777">
        <w:trPr>
          <w:tblHeader/>
        </w:trPr>
        <w:tc>
          <w:tcPr>
            <w:tcW w:w="7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274ECA29" w14:textId="77777777" w:rsidR="001C0CEA" w:rsidRDefault="00000000">
            <w:r>
              <w:rPr>
                <w:b/>
                <w:bCs/>
                <w:color w:val="FFFFFF"/>
                <w:sz w:val="19"/>
                <w:szCs w:val="19"/>
              </w:rPr>
              <w:t>ID</w:t>
            </w:r>
          </w:p>
        </w:tc>
        <w:tc>
          <w:tcPr>
            <w:tcW w:w="30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14AE51AD" w14:textId="77777777" w:rsidR="001C0CEA" w:rsidRDefault="00000000">
            <w:r>
              <w:rPr>
                <w:b/>
                <w:bCs/>
                <w:color w:val="FFFFFF"/>
                <w:sz w:val="19"/>
                <w:szCs w:val="19"/>
              </w:rPr>
              <w:t>Concepto evaluado</w:t>
            </w:r>
          </w:p>
        </w:tc>
        <w:tc>
          <w:tcPr>
            <w:tcW w:w="3626"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7E8017F6" w14:textId="77777777" w:rsidR="001C0CEA" w:rsidRDefault="00000000">
            <w:r>
              <w:rPr>
                <w:b/>
                <w:bCs/>
                <w:color w:val="FFFFFF"/>
                <w:sz w:val="19"/>
                <w:szCs w:val="19"/>
              </w:rPr>
              <w:t>Respuesta correcta</w:t>
            </w:r>
          </w:p>
        </w:tc>
        <w:tc>
          <w:tcPr>
            <w:tcW w:w="17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13242877" w14:textId="77777777" w:rsidR="001C0CEA" w:rsidRDefault="00000000">
            <w:r>
              <w:rPr>
                <w:b/>
                <w:bCs/>
                <w:color w:val="FFFFFF"/>
                <w:sz w:val="19"/>
                <w:szCs w:val="19"/>
              </w:rPr>
              <w:t>Apartado</w:t>
            </w:r>
          </w:p>
        </w:tc>
      </w:tr>
      <w:tr w:rsidR="001C0CEA" w14:paraId="5C586DB3" w14:textId="77777777">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CD3D304" w14:textId="77777777" w:rsidR="001C0CEA" w:rsidRDefault="00000000">
            <w:r>
              <w:rPr>
                <w:sz w:val="19"/>
                <w:szCs w:val="19"/>
              </w:rPr>
              <w:t>780</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5530B02" w14:textId="77777777" w:rsidR="001C0CEA" w:rsidRDefault="00000000">
            <w:r>
              <w:rPr>
                <w:sz w:val="19"/>
                <w:szCs w:val="19"/>
              </w:rPr>
              <w:t>Green CPD: free cooling</w:t>
            </w:r>
          </w:p>
        </w:tc>
        <w:tc>
          <w:tcPr>
            <w:tcW w:w="36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DDA1B4D" w14:textId="77777777" w:rsidR="001C0CEA" w:rsidRDefault="00000000">
            <w:r>
              <w:rPr>
                <w:sz w:val="19"/>
                <w:szCs w:val="19"/>
              </w:rPr>
              <w:t>Usar el aire exterior frío para climatizar cuando su temperatura es inferior a la necesaria</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3562F11" w14:textId="77777777" w:rsidR="001C0CEA" w:rsidRDefault="00000000">
            <w:r>
              <w:rPr>
                <w:sz w:val="19"/>
                <w:szCs w:val="19"/>
              </w:rPr>
              <w:t>6.5</w:t>
            </w:r>
          </w:p>
        </w:tc>
      </w:tr>
      <w:tr w:rsidR="001C0CEA" w14:paraId="648C56B4" w14:textId="77777777">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77553A7" w14:textId="77777777" w:rsidR="001C0CEA" w:rsidRDefault="00000000">
            <w:r>
              <w:rPr>
                <w:sz w:val="19"/>
                <w:szCs w:val="19"/>
              </w:rPr>
              <w:t>974</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B170F85" w14:textId="77777777" w:rsidR="001C0CEA" w:rsidRDefault="00000000">
            <w:r>
              <w:rPr>
                <w:sz w:val="19"/>
                <w:szCs w:val="19"/>
              </w:rPr>
              <w:t>Validez de la certificación ANSI/TIA-942 de un CPD operativo</w:t>
            </w:r>
          </w:p>
        </w:tc>
        <w:tc>
          <w:tcPr>
            <w:tcW w:w="36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EBB6A10" w14:textId="77777777" w:rsidR="001C0CEA" w:rsidRDefault="00000000">
            <w:r>
              <w:rPr>
                <w:sz w:val="19"/>
                <w:szCs w:val="19"/>
              </w:rPr>
              <w:t>3 años (con auditorías de vigilancia anuales)</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6E0AE52" w14:textId="77777777" w:rsidR="001C0CEA" w:rsidRDefault="00000000">
            <w:r>
              <w:rPr>
                <w:sz w:val="19"/>
                <w:szCs w:val="19"/>
              </w:rPr>
              <w:t>10.2</w:t>
            </w:r>
          </w:p>
        </w:tc>
      </w:tr>
      <w:tr w:rsidR="001C0CEA" w14:paraId="2683CD7D" w14:textId="77777777">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6E72C33" w14:textId="77777777" w:rsidR="001C0CEA" w:rsidRDefault="00000000">
            <w:r>
              <w:rPr>
                <w:sz w:val="19"/>
                <w:szCs w:val="19"/>
              </w:rPr>
              <w:t>1381</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D97A78D" w14:textId="77777777" w:rsidR="001C0CEA" w:rsidRDefault="00000000">
            <w:r>
              <w:rPr>
                <w:sz w:val="19"/>
                <w:szCs w:val="19"/>
              </w:rPr>
              <w:t>Significado de SAI/UPS</w:t>
            </w:r>
          </w:p>
        </w:tc>
        <w:tc>
          <w:tcPr>
            <w:tcW w:w="36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E038BFC" w14:textId="77777777" w:rsidR="001C0CEA" w:rsidRDefault="00000000">
            <w:r>
              <w:rPr>
                <w:sz w:val="19"/>
                <w:szCs w:val="19"/>
              </w:rPr>
              <w:t>Sistema de Alimentación Ininterrumpida</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91E327D" w14:textId="77777777" w:rsidR="001C0CEA" w:rsidRDefault="00000000">
            <w:r>
              <w:rPr>
                <w:sz w:val="19"/>
                <w:szCs w:val="19"/>
              </w:rPr>
              <w:t>5.3</w:t>
            </w:r>
          </w:p>
        </w:tc>
      </w:tr>
      <w:tr w:rsidR="001C0CEA" w14:paraId="3F2CAB7B" w14:textId="77777777">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96EF35A" w14:textId="77777777" w:rsidR="001C0CEA" w:rsidRDefault="00000000">
            <w:r>
              <w:rPr>
                <w:sz w:val="19"/>
                <w:szCs w:val="19"/>
              </w:rPr>
              <w:t>1424</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07A8D5A" w14:textId="77777777" w:rsidR="001C0CEA" w:rsidRDefault="00000000">
            <w:r>
              <w:rPr>
                <w:sz w:val="19"/>
                <w:szCs w:val="19"/>
              </w:rPr>
              <w:t>Pasillo frío / pasillo caliente</w:t>
            </w:r>
          </w:p>
        </w:tc>
        <w:tc>
          <w:tcPr>
            <w:tcW w:w="36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88D7E61" w14:textId="77777777" w:rsidR="001C0CEA" w:rsidRDefault="00000000">
            <w:r>
              <w:rPr>
                <w:sz w:val="19"/>
                <w:szCs w:val="19"/>
              </w:rPr>
              <w:t>Optimiza la climatización</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7360A10" w14:textId="77777777" w:rsidR="001C0CEA" w:rsidRDefault="00000000">
            <w:r>
              <w:rPr>
                <w:sz w:val="19"/>
                <w:szCs w:val="19"/>
              </w:rPr>
              <w:t>6.4</w:t>
            </w:r>
          </w:p>
        </w:tc>
      </w:tr>
      <w:tr w:rsidR="001C0CEA" w14:paraId="1D528B42" w14:textId="77777777">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FBB52D8" w14:textId="77777777" w:rsidR="001C0CEA" w:rsidRDefault="00000000">
            <w:r>
              <w:rPr>
                <w:sz w:val="19"/>
                <w:szCs w:val="19"/>
              </w:rPr>
              <w:t>6348</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065F50C" w14:textId="77777777" w:rsidR="001C0CEA" w:rsidRDefault="00000000">
            <w:r>
              <w:rPr>
                <w:sz w:val="19"/>
                <w:szCs w:val="19"/>
              </w:rPr>
              <w:t>Redundancia asociada a Tier IV</w:t>
            </w:r>
          </w:p>
        </w:tc>
        <w:tc>
          <w:tcPr>
            <w:tcW w:w="36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2769944" w14:textId="77777777" w:rsidR="001C0CEA" w:rsidRDefault="00000000">
            <w:r>
              <w:rPr>
                <w:sz w:val="19"/>
                <w:szCs w:val="19"/>
              </w:rPr>
              <w:t>2N</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AE27941" w14:textId="77777777" w:rsidR="001C0CEA" w:rsidRDefault="00000000">
            <w:r>
              <w:rPr>
                <w:sz w:val="19"/>
                <w:szCs w:val="19"/>
              </w:rPr>
              <w:t>9.3 y 10.3</w:t>
            </w:r>
          </w:p>
        </w:tc>
      </w:tr>
      <w:tr w:rsidR="001C0CEA" w14:paraId="09D65610" w14:textId="77777777">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2B511E3" w14:textId="77777777" w:rsidR="001C0CEA" w:rsidRDefault="00000000">
            <w:r>
              <w:rPr>
                <w:sz w:val="19"/>
                <w:szCs w:val="19"/>
              </w:rPr>
              <w:t>6619</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77BD9B3" w14:textId="77777777" w:rsidR="001C0CEA" w:rsidRDefault="00000000">
            <w:r>
              <w:rPr>
                <w:sz w:val="19"/>
                <w:szCs w:val="19"/>
              </w:rPr>
              <w:t>Concepto TIER</w:t>
            </w:r>
          </w:p>
        </w:tc>
        <w:tc>
          <w:tcPr>
            <w:tcW w:w="36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55B969F" w14:textId="77777777" w:rsidR="001C0CEA" w:rsidRDefault="00000000">
            <w:r>
              <w:rPr>
                <w:sz w:val="19"/>
                <w:szCs w:val="19"/>
              </w:rPr>
              <w:t>Indica la fiabilidad de un CPD asociada a cuatro niveles de disponibilidad</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5AE4694" w14:textId="77777777" w:rsidR="001C0CEA" w:rsidRDefault="00000000">
            <w:r>
              <w:rPr>
                <w:sz w:val="19"/>
                <w:szCs w:val="19"/>
              </w:rPr>
              <w:t>10.3</w:t>
            </w:r>
          </w:p>
        </w:tc>
      </w:tr>
    </w:tbl>
    <w:p w14:paraId="7EB0636C" w14:textId="77777777" w:rsidR="001C0CEA" w:rsidRDefault="001C0CEA">
      <w:pPr>
        <w:spacing w:after="120"/>
      </w:pPr>
    </w:p>
    <w:p w14:paraId="4FE32E9A" w14:textId="77777777" w:rsidR="001C0CEA" w:rsidRDefault="00000000">
      <w:pPr>
        <w:spacing w:after="120"/>
        <w:jc w:val="both"/>
      </w:pPr>
      <w:r>
        <w:t xml:space="preserve">Patrones detectados: (a) preguntas de </w:t>
      </w:r>
      <w:r>
        <w:rPr>
          <w:b/>
          <w:bCs/>
        </w:rPr>
        <w:t>definición y acrónimos</w:t>
      </w:r>
      <w:r>
        <w:t xml:space="preserve"> (SAI/UPS, TIER); (b) preguntas de </w:t>
      </w:r>
      <w:r>
        <w:rPr>
          <w:b/>
          <w:bCs/>
        </w:rPr>
        <w:t>eficiencia energética</w:t>
      </w:r>
      <w:r>
        <w:t xml:space="preserve"> (free cooling, pasillos); (c) preguntas de </w:t>
      </w:r>
      <w:r>
        <w:rPr>
          <w:b/>
          <w:bCs/>
        </w:rPr>
        <w:t>clasificación y redundancia</w:t>
      </w:r>
      <w:r>
        <w:t xml:space="preserve"> (Tier IV = 2N); y (d) una pregunta de </w:t>
      </w:r>
      <w:r>
        <w:rPr>
          <w:b/>
          <w:bCs/>
        </w:rPr>
        <w:t>dato concreto sobre certificación</w:t>
      </w:r>
      <w:r>
        <w:t xml:space="preserve"> (3 años). Este patrón aconseja memorizar cifras, acrónimos y equivalencias, y distinguir con precisión entre </w:t>
      </w:r>
      <w:r>
        <w:rPr>
          <w:b/>
          <w:bCs/>
        </w:rPr>
        <w:t>norma, clasificación y certificación</w:t>
      </w:r>
      <w: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C0CEA" w14:paraId="068B477F" w14:textId="77777777">
        <w:trPr>
          <w:cantSplit/>
        </w:trPr>
        <w:tc>
          <w:tcPr>
            <w:tcW w:w="9026" w:type="dxa"/>
            <w:tcBorders>
              <w:top w:val="single" w:sz="12" w:space="0" w:color="BF9000"/>
              <w:left w:val="single" w:sz="12" w:space="0" w:color="BF9000"/>
              <w:bottom w:val="single" w:sz="12" w:space="0" w:color="BF9000"/>
              <w:right w:val="single" w:sz="12" w:space="0" w:color="BF9000"/>
            </w:tcBorders>
            <w:shd w:val="clear" w:color="auto" w:fill="FFF2CC"/>
            <w:tcMar>
              <w:top w:w="120" w:type="dxa"/>
              <w:left w:w="160" w:type="dxa"/>
              <w:bottom w:w="120" w:type="dxa"/>
              <w:right w:w="160" w:type="dxa"/>
            </w:tcMar>
          </w:tcPr>
          <w:p w14:paraId="597FBA43" w14:textId="77777777" w:rsidR="001C0CEA" w:rsidRDefault="00000000">
            <w:pPr>
              <w:spacing w:after="80"/>
            </w:pPr>
            <w:r>
              <w:rPr>
                <w:b/>
                <w:bCs/>
                <w:color w:val="7F6000"/>
              </w:rPr>
              <w:t>Claves para el examen</w:t>
            </w:r>
          </w:p>
          <w:p w14:paraId="141980E6" w14:textId="77777777" w:rsidR="001C0CEA" w:rsidRDefault="00000000">
            <w:pPr>
              <w:pStyle w:val="Prrafodelista"/>
              <w:numPr>
                <w:ilvl w:val="0"/>
                <w:numId w:val="2"/>
              </w:numPr>
              <w:spacing w:after="40"/>
            </w:pPr>
            <w:r>
              <w:rPr>
                <w:sz w:val="20"/>
                <w:szCs w:val="20"/>
              </w:rPr>
              <w:t xml:space="preserve">El banco actual pregunta sobre todo por </w:t>
            </w:r>
            <w:r>
              <w:rPr>
                <w:b/>
                <w:bCs/>
                <w:sz w:val="20"/>
                <w:szCs w:val="20"/>
              </w:rPr>
              <w:t>infraestructura física</w:t>
            </w:r>
            <w:r>
              <w:rPr>
                <w:sz w:val="20"/>
                <w:szCs w:val="20"/>
              </w:rPr>
              <w:t xml:space="preserve"> (clima, energía, Tiers). Es el núcleo mínimo que hay que dominar al detalle.</w:t>
            </w:r>
          </w:p>
          <w:p w14:paraId="3172A1E4" w14:textId="77777777" w:rsidR="001C0CEA" w:rsidRDefault="00000000">
            <w:pPr>
              <w:pStyle w:val="Prrafodelista"/>
              <w:numPr>
                <w:ilvl w:val="0"/>
                <w:numId w:val="2"/>
              </w:numPr>
              <w:spacing w:after="40"/>
            </w:pPr>
            <w:r>
              <w:rPr>
                <w:sz w:val="20"/>
                <w:szCs w:val="20"/>
              </w:rPr>
              <w:t>Estudia también producción y organización del SAS: forman parte del enunciado y son fáciles de preguntar en convocatorias futuras.</w:t>
            </w:r>
          </w:p>
          <w:p w14:paraId="15B9735C" w14:textId="77777777" w:rsidR="001C0CEA" w:rsidRDefault="00000000">
            <w:pPr>
              <w:pStyle w:val="Prrafodelista"/>
              <w:numPr>
                <w:ilvl w:val="0"/>
                <w:numId w:val="2"/>
              </w:numPr>
              <w:spacing w:after="40"/>
            </w:pPr>
            <w:r>
              <w:rPr>
                <w:sz w:val="20"/>
                <w:szCs w:val="20"/>
              </w:rPr>
              <w:t xml:space="preserve">La organización TIC del SAS ha cambiado </w:t>
            </w:r>
            <w:r>
              <w:rPr>
                <w:b/>
                <w:bCs/>
                <w:sz w:val="20"/>
                <w:szCs w:val="20"/>
              </w:rPr>
              <w:t>tres veces entre 2024 y 2026</w:t>
            </w:r>
            <w:r>
              <w:rPr>
                <w:sz w:val="20"/>
                <w:szCs w:val="20"/>
              </w:rPr>
              <w:t>: memoriza la denominación vigente y las anteriores (apartado 26 y 27).</w:t>
            </w:r>
          </w:p>
        </w:tc>
      </w:tr>
    </w:tbl>
    <w:p w14:paraId="28429A05" w14:textId="77777777" w:rsidR="001C0CEA" w:rsidRDefault="001C0CEA">
      <w:pPr>
        <w:spacing w:after="120"/>
      </w:pPr>
    </w:p>
    <w:p w14:paraId="1E1B8537" w14:textId="77777777" w:rsidR="001C0CEA" w:rsidRDefault="00000000">
      <w:pPr>
        <w:pStyle w:val="Ttulo1"/>
        <w:pageBreakBefore/>
      </w:pPr>
      <w:bookmarkStart w:id="3" w:name="_Toc241337884"/>
      <w:r>
        <w:lastRenderedPageBreak/>
        <w:t>2. Concepto, finalidad y tipologías de centro de proceso de datos</w:t>
      </w:r>
      <w:bookmarkEnd w:id="3"/>
    </w:p>
    <w:p w14:paraId="20D248D4" w14:textId="77777777" w:rsidR="001C0CEA" w:rsidRDefault="00000000">
      <w:pPr>
        <w:pStyle w:val="Ttulo2"/>
      </w:pPr>
      <w:bookmarkStart w:id="4" w:name="_Toc241337885"/>
      <w:r>
        <w:t>2.1. Concepto</w:t>
      </w:r>
      <w:bookmarkEnd w:id="4"/>
    </w:p>
    <w:p w14:paraId="3E40A92F" w14:textId="77777777" w:rsidR="001C0CEA" w:rsidRDefault="00000000">
      <w:pPr>
        <w:spacing w:after="120"/>
        <w:jc w:val="both"/>
      </w:pPr>
      <w:r>
        <w:t xml:space="preserve">Un </w:t>
      </w:r>
      <w:r>
        <w:rPr>
          <w:b/>
          <w:bCs/>
        </w:rPr>
        <w:t>centro de proceso de datos (CPD)</w:t>
      </w:r>
      <w:r>
        <w:t xml:space="preserve"> —también llamado centro de datos, </w:t>
      </w:r>
      <w:r>
        <w:rPr>
          <w:i/>
          <w:iCs/>
        </w:rPr>
        <w:t>data center</w:t>
      </w:r>
      <w:r>
        <w:t xml:space="preserve"> o centro de cálculo— es el espacio físico, con sus instalaciones de soporte, donde se concentran los recursos necesarios para el procesamiento de la información de una organización: servidores, almacenamiento, equipos de comunicaciones y seguridad, junto con la infraestructura que garantiza su funcionamiento continuo (energía, climatización, protección contra incendios, control de acceso y monitorización).</w:t>
      </w:r>
    </w:p>
    <w:p w14:paraId="51A74471" w14:textId="77777777" w:rsidR="001C0CEA" w:rsidRDefault="00000000">
      <w:pPr>
        <w:spacing w:after="120"/>
        <w:jc w:val="both"/>
      </w:pPr>
      <w:r>
        <w:t xml:space="preserve">Su </w:t>
      </w:r>
      <w:r>
        <w:rPr>
          <w:b/>
          <w:bCs/>
        </w:rPr>
        <w:t>finalidad</w:t>
      </w:r>
      <w:r>
        <w:t xml:space="preserve"> es asegurar que los sistemas de información estén disponibles, íntegros, confidenciales y con el rendimiento adecuado, de forma centralizada, controlada y económicamente eficiente. En una organización sanitaria como el SAS, el CPD sostiene servicios críticos para la asistencia (historia clínica electrónica, receta, citación, imagen diagnóstica, laboratorio), por lo que su disponibilidad tiene impacto directo en la atención al paciente.</w:t>
      </w:r>
    </w:p>
    <w:p w14:paraId="18F99120" w14:textId="77777777" w:rsidR="001C0CEA" w:rsidRDefault="00000000">
      <w:pPr>
        <w:pStyle w:val="Ttulo2"/>
      </w:pPr>
      <w:bookmarkStart w:id="5" w:name="_Toc241337886"/>
      <w:r>
        <w:t>2.2. Componentes de un CPD</w:t>
      </w:r>
      <w:bookmarkEnd w:id="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1C0CEA" w14:paraId="570762CD" w14:textId="77777777">
        <w:trPr>
          <w:tblHeader/>
        </w:trPr>
        <w:tc>
          <w:tcPr>
            <w:tcW w:w="26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39412595" w14:textId="77777777" w:rsidR="001C0CEA" w:rsidRDefault="00000000">
            <w:r>
              <w:rPr>
                <w:b/>
                <w:bCs/>
                <w:color w:val="FFFFFF"/>
                <w:sz w:val="19"/>
                <w:szCs w:val="19"/>
              </w:rPr>
              <w:t>Capa</w:t>
            </w:r>
          </w:p>
        </w:tc>
        <w:tc>
          <w:tcPr>
            <w:tcW w:w="6426"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134B9E5F" w14:textId="77777777" w:rsidR="001C0CEA" w:rsidRDefault="00000000">
            <w:r>
              <w:rPr>
                <w:b/>
                <w:bCs/>
                <w:color w:val="FFFFFF"/>
                <w:sz w:val="19"/>
                <w:szCs w:val="19"/>
              </w:rPr>
              <w:t>Elementos</w:t>
            </w:r>
          </w:p>
        </w:tc>
      </w:tr>
      <w:tr w:rsidR="001C0CEA" w14:paraId="34002437" w14:textId="77777777">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1662677" w14:textId="77777777" w:rsidR="001C0CEA" w:rsidRDefault="00000000">
            <w:r>
              <w:rPr>
                <w:sz w:val="19"/>
                <w:szCs w:val="19"/>
              </w:rPr>
              <w:t>Edificio y espacios</w:t>
            </w:r>
          </w:p>
        </w:tc>
        <w:tc>
          <w:tcPr>
            <w:tcW w:w="64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6DE94D2" w14:textId="77777777" w:rsidR="001C0CEA" w:rsidRDefault="00000000">
            <w:r>
              <w:rPr>
                <w:sz w:val="19"/>
                <w:szCs w:val="19"/>
              </w:rPr>
              <w:t>Sala de equipos (sala blanca), salas técnicas (eléctrica, SAI, baterías), sala de telecomunicaciones/entrada de operadores, zona de operación (NOC), almacén, muelle de carga</w:t>
            </w:r>
          </w:p>
        </w:tc>
      </w:tr>
      <w:tr w:rsidR="001C0CEA" w14:paraId="20B5585E" w14:textId="77777777">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47A295A" w14:textId="77777777" w:rsidR="001C0CEA" w:rsidRDefault="00000000">
            <w:r>
              <w:rPr>
                <w:sz w:val="19"/>
                <w:szCs w:val="19"/>
              </w:rPr>
              <w:t>Infraestructura de soporte (facilities)</w:t>
            </w:r>
          </w:p>
        </w:tc>
        <w:tc>
          <w:tcPr>
            <w:tcW w:w="64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D910D3A" w14:textId="77777777" w:rsidR="001C0CEA" w:rsidRDefault="00000000">
            <w:r>
              <w:rPr>
                <w:sz w:val="19"/>
                <w:szCs w:val="19"/>
              </w:rPr>
              <w:t>Acometidas eléctricas, cuadros, SAI, grupos electrógenos, distribución (PDU), climatización, detección y extinción de incendios, detección de agua, control de accesos, CCTV</w:t>
            </w:r>
          </w:p>
        </w:tc>
      </w:tr>
      <w:tr w:rsidR="001C0CEA" w14:paraId="00321E83" w14:textId="77777777">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80BD002" w14:textId="77777777" w:rsidR="001C0CEA" w:rsidRDefault="00000000">
            <w:r>
              <w:rPr>
                <w:sz w:val="19"/>
                <w:szCs w:val="19"/>
              </w:rPr>
              <w:t>Infraestructura TIC</w:t>
            </w:r>
          </w:p>
        </w:tc>
        <w:tc>
          <w:tcPr>
            <w:tcW w:w="64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837CFF8" w14:textId="77777777" w:rsidR="001C0CEA" w:rsidRDefault="00000000">
            <w:r>
              <w:rPr>
                <w:sz w:val="19"/>
                <w:szCs w:val="19"/>
              </w:rPr>
              <w:t>Servidores físicos y virtuales, almacenamiento (SAN, NAS), sistemas de copia, red LAN/SAN/WAN, cortafuegos, balanceadores</w:t>
            </w:r>
          </w:p>
        </w:tc>
      </w:tr>
      <w:tr w:rsidR="001C0CEA" w14:paraId="59E1F28D" w14:textId="77777777">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DC92AA9" w14:textId="77777777" w:rsidR="001C0CEA" w:rsidRDefault="00000000">
            <w:r>
              <w:rPr>
                <w:sz w:val="19"/>
                <w:szCs w:val="19"/>
              </w:rPr>
              <w:t>Gestión</w:t>
            </w:r>
          </w:p>
        </w:tc>
        <w:tc>
          <w:tcPr>
            <w:tcW w:w="64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976492C" w14:textId="77777777" w:rsidR="001C0CEA" w:rsidRDefault="00000000">
            <w:r>
              <w:rPr>
                <w:sz w:val="19"/>
                <w:szCs w:val="19"/>
              </w:rPr>
              <w:t>Monitorización (DCIM, NMS), herramientas de planificación de trabajos, gestión de servicios (incidencias, cambios, CMDB), procedimientos y personal</w:t>
            </w:r>
          </w:p>
        </w:tc>
      </w:tr>
    </w:tbl>
    <w:p w14:paraId="4C22F5B2" w14:textId="77777777" w:rsidR="001C0CEA" w:rsidRDefault="001C0CEA">
      <w:pPr>
        <w:spacing w:after="120"/>
      </w:pPr>
    </w:p>
    <w:p w14:paraId="74388BC5" w14:textId="77777777" w:rsidR="001C0CEA" w:rsidRDefault="00000000">
      <w:pPr>
        <w:pStyle w:val="Ttulo2"/>
      </w:pPr>
      <w:bookmarkStart w:id="6" w:name="_Toc241337887"/>
      <w:r>
        <w:t>2.3. Tipologías</w:t>
      </w:r>
      <w:bookmarkEnd w:id="6"/>
    </w:p>
    <w:p w14:paraId="38570A2A" w14:textId="77777777" w:rsidR="001C0CEA" w:rsidRDefault="00000000">
      <w:pPr>
        <w:pStyle w:val="Prrafodelista"/>
        <w:numPr>
          <w:ilvl w:val="0"/>
          <w:numId w:val="2"/>
        </w:numPr>
        <w:spacing w:after="60"/>
      </w:pPr>
      <w:r>
        <w:rPr>
          <w:b/>
          <w:bCs/>
        </w:rPr>
        <w:t>Por titularidad y uso:</w:t>
      </w:r>
      <w:r>
        <w:t xml:space="preserve"> CPD corporativo o empresarial (propio, al servicio de una organización), CPD de proveedor o </w:t>
      </w:r>
      <w:r>
        <w:rPr>
          <w:i/>
          <w:iCs/>
        </w:rPr>
        <w:t>colocation</w:t>
      </w:r>
      <w:r>
        <w:t xml:space="preserve"> (el proveedor aloja equipos de terceros), CPD de proveedor cloud/hiperescala.</w:t>
      </w:r>
    </w:p>
    <w:p w14:paraId="7E2DC200" w14:textId="77777777" w:rsidR="001C0CEA" w:rsidRDefault="00000000">
      <w:pPr>
        <w:pStyle w:val="Prrafodelista"/>
        <w:numPr>
          <w:ilvl w:val="0"/>
          <w:numId w:val="2"/>
        </w:numPr>
        <w:spacing w:after="60"/>
      </w:pPr>
      <w:r>
        <w:rPr>
          <w:b/>
          <w:bCs/>
        </w:rPr>
        <w:t>Por función dentro de la organización:</w:t>
      </w:r>
      <w:r>
        <w:t xml:space="preserve"> CPD principal o de producción, CPD de respaldo (alternativo o de recuperación), CPD secundarios o de sede (hospitales, centros provinciales) y salas técnicas locales.</w:t>
      </w:r>
    </w:p>
    <w:p w14:paraId="3C78648C" w14:textId="77777777" w:rsidR="001C0CEA" w:rsidRDefault="00000000">
      <w:pPr>
        <w:pStyle w:val="Prrafodelista"/>
        <w:numPr>
          <w:ilvl w:val="0"/>
          <w:numId w:val="2"/>
        </w:numPr>
        <w:spacing w:after="60"/>
      </w:pPr>
      <w:r>
        <w:rPr>
          <w:b/>
          <w:bCs/>
        </w:rPr>
        <w:t>Por nivel de disponibilidad:</w:t>
      </w:r>
      <w:r>
        <w:t xml:space="preserve"> desde CPD básicos sin redundancia hasta CPD de alta disponibilidad tolerantes a fallos (niveles Tier/Rated/clases de disponibilidad; apartado 10).</w:t>
      </w:r>
    </w:p>
    <w:p w14:paraId="71B63416" w14:textId="77777777" w:rsidR="001C0CEA" w:rsidRDefault="00000000">
      <w:pPr>
        <w:pStyle w:val="Prrafodelista"/>
        <w:numPr>
          <w:ilvl w:val="0"/>
          <w:numId w:val="2"/>
        </w:numPr>
        <w:spacing w:after="60"/>
      </w:pPr>
      <w:r>
        <w:rPr>
          <w:b/>
          <w:bCs/>
        </w:rPr>
        <w:t>Por modelo tecnológico:</w:t>
      </w:r>
      <w:r>
        <w:t xml:space="preserve"> CPD tradicional (servidores físicos dedicados por aplicación), CPD virtualizado (consolidación sobre hipervisores), CPD definido por software (SDDC: cómputo, red y almacenamiento virtualizados y automatizados) y modelos híbridos con nube.</w:t>
      </w:r>
    </w:p>
    <w:p w14:paraId="75F9190A" w14:textId="77777777" w:rsidR="001C0CEA" w:rsidRDefault="00000000">
      <w:pPr>
        <w:pStyle w:val="Prrafodelista"/>
        <w:numPr>
          <w:ilvl w:val="0"/>
          <w:numId w:val="2"/>
        </w:numPr>
        <w:spacing w:after="60"/>
      </w:pPr>
      <w:r>
        <w:rPr>
          <w:b/>
          <w:bCs/>
        </w:rPr>
        <w:t>Edge computing / micro-CPD:</w:t>
      </w:r>
      <w:r>
        <w:t xml:space="preserve"> pequeños centros próximos al lugar donde se generan o consumen los datos (p. ej., un hospital) para reducir latencia o dependencia de la red WAN. La revisión ANSI/TIA-942-C incorpora clasificaciones específicas para micro-CPD de borde.</w:t>
      </w:r>
    </w:p>
    <w:p w14:paraId="704287F2" w14:textId="77777777" w:rsidR="001C0CEA" w:rsidRDefault="00000000">
      <w:pPr>
        <w:pStyle w:val="Ttulo2"/>
      </w:pPr>
      <w:bookmarkStart w:id="7" w:name="_Toc241337888"/>
      <w:r>
        <w:t>2.4. CPD físico, virtual y nube</w:t>
      </w:r>
      <w:bookmarkEnd w:id="7"/>
    </w:p>
    <w:p w14:paraId="43663DBC" w14:textId="77777777" w:rsidR="001C0CEA" w:rsidRDefault="00000000">
      <w:pPr>
        <w:spacing w:after="120"/>
        <w:jc w:val="both"/>
      </w:pPr>
      <w:r>
        <w:lastRenderedPageBreak/>
        <w:t xml:space="preserve">La </w:t>
      </w:r>
      <w:r>
        <w:rPr>
          <w:b/>
          <w:bCs/>
        </w:rPr>
        <w:t>nube</w:t>
      </w:r>
      <w:r>
        <w:t xml:space="preserve"> no elimina el CPD: traslada su propiedad y gestión a un proveedor. Según el NIST (SP 800-145), la computación en nube se caracteriza por autoservicio bajo demanda, acceso amplio por red, agrupación de recursos, elasticidad rápida y servicio medido; se presta en modelos </w:t>
      </w:r>
      <w:r>
        <w:rPr>
          <w:b/>
          <w:bCs/>
        </w:rPr>
        <w:t>IaaS</w:t>
      </w:r>
      <w:r>
        <w:t xml:space="preserve"> (infraestructura: máquinas virtuales, red, almacenamiento), </w:t>
      </w:r>
      <w:r>
        <w:rPr>
          <w:b/>
          <w:bCs/>
        </w:rPr>
        <w:t>PaaS</w:t>
      </w:r>
      <w:r>
        <w:t xml:space="preserve"> (plataforma: bases de datos, entornos de ejecución) y </w:t>
      </w:r>
      <w:r>
        <w:rPr>
          <w:b/>
          <w:bCs/>
        </w:rPr>
        <w:t>SaaS</w:t>
      </w:r>
      <w:r>
        <w:t xml:space="preserve"> (aplicación completa), y se despliega como nube </w:t>
      </w:r>
      <w:r>
        <w:rPr>
          <w:b/>
          <w:bCs/>
        </w:rPr>
        <w:t>privada, pública, comunitaria o híbrida</w:t>
      </w:r>
      <w: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513"/>
        <w:gridCol w:w="3513"/>
      </w:tblGrid>
      <w:tr w:rsidR="001C0CEA" w14:paraId="14F91ADD" w14:textId="77777777">
        <w:trPr>
          <w:tblHeader/>
        </w:trPr>
        <w:tc>
          <w:tcPr>
            <w:tcW w:w="20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445B21A6" w14:textId="77777777" w:rsidR="001C0CEA" w:rsidRDefault="00000000">
            <w:r>
              <w:rPr>
                <w:b/>
                <w:bCs/>
                <w:color w:val="FFFFFF"/>
                <w:sz w:val="19"/>
                <w:szCs w:val="19"/>
              </w:rPr>
              <w:t>Aspecto</w:t>
            </w:r>
          </w:p>
        </w:tc>
        <w:tc>
          <w:tcPr>
            <w:tcW w:w="3513"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7726BAAA" w14:textId="77777777" w:rsidR="001C0CEA" w:rsidRDefault="00000000">
            <w:r>
              <w:rPr>
                <w:b/>
                <w:bCs/>
                <w:color w:val="FFFFFF"/>
                <w:sz w:val="19"/>
                <w:szCs w:val="19"/>
              </w:rPr>
              <w:t>CPD tradicional (propio)</w:t>
            </w:r>
          </w:p>
        </w:tc>
        <w:tc>
          <w:tcPr>
            <w:tcW w:w="3513"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23D3F209" w14:textId="77777777" w:rsidR="001C0CEA" w:rsidRDefault="00000000">
            <w:r>
              <w:rPr>
                <w:b/>
                <w:bCs/>
                <w:color w:val="FFFFFF"/>
                <w:sz w:val="19"/>
                <w:szCs w:val="19"/>
              </w:rPr>
              <w:t>Nube (pública)</w:t>
            </w:r>
          </w:p>
        </w:tc>
      </w:tr>
      <w:tr w:rsidR="001C0CEA" w14:paraId="0512197E" w14:textId="77777777">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38850B9" w14:textId="77777777" w:rsidR="001C0CEA" w:rsidRDefault="00000000">
            <w:r>
              <w:rPr>
                <w:sz w:val="19"/>
                <w:szCs w:val="19"/>
              </w:rPr>
              <w:t>Inversión</w:t>
            </w:r>
          </w:p>
        </w:tc>
        <w:tc>
          <w:tcPr>
            <w:tcW w:w="351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F8DAB24" w14:textId="77777777" w:rsidR="001C0CEA" w:rsidRDefault="00000000">
            <w:r>
              <w:rPr>
                <w:sz w:val="19"/>
                <w:szCs w:val="19"/>
              </w:rPr>
              <w:t>Capex elevado (edificio, instalaciones, equipos)</w:t>
            </w:r>
          </w:p>
        </w:tc>
        <w:tc>
          <w:tcPr>
            <w:tcW w:w="351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8EB4710" w14:textId="77777777" w:rsidR="001C0CEA" w:rsidRDefault="00000000">
            <w:r>
              <w:rPr>
                <w:sz w:val="19"/>
                <w:szCs w:val="19"/>
              </w:rPr>
              <w:t>Opex: pago por uso</w:t>
            </w:r>
          </w:p>
        </w:tc>
      </w:tr>
      <w:tr w:rsidR="001C0CEA" w14:paraId="771EC519" w14:textId="77777777">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268A0BC" w14:textId="77777777" w:rsidR="001C0CEA" w:rsidRDefault="00000000">
            <w:r>
              <w:rPr>
                <w:sz w:val="19"/>
                <w:szCs w:val="19"/>
              </w:rPr>
              <w:t>Escalabilidad</w:t>
            </w:r>
          </w:p>
        </w:tc>
        <w:tc>
          <w:tcPr>
            <w:tcW w:w="351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2EB1B59" w14:textId="77777777" w:rsidR="001C0CEA" w:rsidRDefault="00000000">
            <w:r>
              <w:rPr>
                <w:sz w:val="19"/>
                <w:szCs w:val="19"/>
              </w:rPr>
              <w:t>Limitada por espacio, potencia y compras</w:t>
            </w:r>
          </w:p>
        </w:tc>
        <w:tc>
          <w:tcPr>
            <w:tcW w:w="351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084F103" w14:textId="77777777" w:rsidR="001C0CEA" w:rsidRDefault="00000000">
            <w:r>
              <w:rPr>
                <w:sz w:val="19"/>
                <w:szCs w:val="19"/>
              </w:rPr>
              <w:t>Elástica, casi inmediata</w:t>
            </w:r>
          </w:p>
        </w:tc>
      </w:tr>
      <w:tr w:rsidR="001C0CEA" w14:paraId="1C4BFB4B" w14:textId="77777777">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27C3515" w14:textId="77777777" w:rsidR="001C0CEA" w:rsidRDefault="00000000">
            <w:r>
              <w:rPr>
                <w:sz w:val="19"/>
                <w:szCs w:val="19"/>
              </w:rPr>
              <w:t>Control y soberanía</w:t>
            </w:r>
          </w:p>
        </w:tc>
        <w:tc>
          <w:tcPr>
            <w:tcW w:w="351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20D6124" w14:textId="77777777" w:rsidR="001C0CEA" w:rsidRDefault="00000000">
            <w:r>
              <w:rPr>
                <w:sz w:val="19"/>
                <w:szCs w:val="19"/>
              </w:rPr>
              <w:t>Máximo control físico y lógico</w:t>
            </w:r>
          </w:p>
        </w:tc>
        <w:tc>
          <w:tcPr>
            <w:tcW w:w="351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65454F4" w14:textId="77777777" w:rsidR="001C0CEA" w:rsidRDefault="00000000">
            <w:r>
              <w:rPr>
                <w:sz w:val="19"/>
                <w:szCs w:val="19"/>
              </w:rPr>
              <w:t>Compartido; depende del contrato y ubicación del proveedor</w:t>
            </w:r>
          </w:p>
        </w:tc>
      </w:tr>
      <w:tr w:rsidR="001C0CEA" w14:paraId="502DFA9E" w14:textId="77777777">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9F44064" w14:textId="77777777" w:rsidR="001C0CEA" w:rsidRDefault="00000000">
            <w:r>
              <w:rPr>
                <w:sz w:val="19"/>
                <w:szCs w:val="19"/>
              </w:rPr>
              <w:t>Responsabilidad de seguridad</w:t>
            </w:r>
          </w:p>
        </w:tc>
        <w:tc>
          <w:tcPr>
            <w:tcW w:w="351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A57157F" w14:textId="77777777" w:rsidR="001C0CEA" w:rsidRDefault="00000000">
            <w:r>
              <w:rPr>
                <w:sz w:val="19"/>
                <w:szCs w:val="19"/>
              </w:rPr>
              <w:t>Íntegramente propia</w:t>
            </w:r>
          </w:p>
        </w:tc>
        <w:tc>
          <w:tcPr>
            <w:tcW w:w="351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9E06276" w14:textId="77777777" w:rsidR="001C0CEA" w:rsidRDefault="00000000">
            <w:r>
              <w:rPr>
                <w:sz w:val="19"/>
                <w:szCs w:val="19"/>
              </w:rPr>
              <w:t>Compartida (modelo de responsabilidad compartida)</w:t>
            </w:r>
          </w:p>
        </w:tc>
      </w:tr>
      <w:tr w:rsidR="001C0CEA" w14:paraId="74F3610D" w14:textId="77777777">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EF4709E" w14:textId="77777777" w:rsidR="001C0CEA" w:rsidRDefault="00000000">
            <w:r>
              <w:rPr>
                <w:sz w:val="19"/>
                <w:szCs w:val="19"/>
              </w:rPr>
              <w:t>Disponibilidad</w:t>
            </w:r>
          </w:p>
        </w:tc>
        <w:tc>
          <w:tcPr>
            <w:tcW w:w="351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291227B" w14:textId="77777777" w:rsidR="001C0CEA" w:rsidRDefault="00000000">
            <w:r>
              <w:rPr>
                <w:sz w:val="19"/>
                <w:szCs w:val="19"/>
              </w:rPr>
              <w:t>La que se diseñe y financie</w:t>
            </w:r>
          </w:p>
        </w:tc>
        <w:tc>
          <w:tcPr>
            <w:tcW w:w="351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4E4B4A8" w14:textId="77777777" w:rsidR="001C0CEA" w:rsidRDefault="00000000">
            <w:r>
              <w:rPr>
                <w:sz w:val="19"/>
                <w:szCs w:val="19"/>
              </w:rPr>
              <w:t>Según SLA del proveedor y la arquitectura elegida (zonas/regiones)</w:t>
            </w:r>
          </w:p>
        </w:tc>
      </w:tr>
      <w:tr w:rsidR="001C0CEA" w14:paraId="48667C4F" w14:textId="77777777">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7DF2FA0" w14:textId="77777777" w:rsidR="001C0CEA" w:rsidRDefault="00000000">
            <w:r>
              <w:rPr>
                <w:sz w:val="19"/>
                <w:szCs w:val="19"/>
              </w:rPr>
              <w:t>Encaje sanitario</w:t>
            </w:r>
          </w:p>
        </w:tc>
        <w:tc>
          <w:tcPr>
            <w:tcW w:w="351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832E95E" w14:textId="77777777" w:rsidR="001C0CEA" w:rsidRDefault="00000000">
            <w:r>
              <w:rPr>
                <w:sz w:val="19"/>
                <w:szCs w:val="19"/>
              </w:rPr>
              <w:t>Datos de salud bajo control directo</w:t>
            </w:r>
          </w:p>
        </w:tc>
        <w:tc>
          <w:tcPr>
            <w:tcW w:w="351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42F5F44" w14:textId="77777777" w:rsidR="001C0CEA" w:rsidRDefault="00000000">
            <w:r>
              <w:rPr>
                <w:sz w:val="19"/>
                <w:szCs w:val="19"/>
              </w:rPr>
              <w:t>Requiere garantías RGPD/ENS y, en su caso, certificación ENS del proveedor</w:t>
            </w:r>
          </w:p>
        </w:tc>
      </w:tr>
    </w:tbl>
    <w:p w14:paraId="1EBBBCEA" w14:textId="77777777" w:rsidR="001C0CEA" w:rsidRDefault="001C0CEA">
      <w:pPr>
        <w:spacing w:after="120"/>
      </w:pPr>
    </w:p>
    <w:p w14:paraId="234B2B29" w14:textId="77777777" w:rsidR="001C0CEA" w:rsidRDefault="00000000">
      <w:pPr>
        <w:spacing w:after="120"/>
        <w:jc w:val="both"/>
      </w:pPr>
      <w:r>
        <w:t xml:space="preserve">La </w:t>
      </w:r>
      <w:r>
        <w:rPr>
          <w:b/>
          <w:bCs/>
        </w:rPr>
        <w:t>Junta de Andalucía</w:t>
      </w:r>
      <w:r>
        <w:t xml:space="preserve"> ha apostado por un modelo de </w:t>
      </w:r>
      <w:r>
        <w:rPr>
          <w:b/>
          <w:bCs/>
        </w:rPr>
        <w:t>nube híbrida</w:t>
      </w:r>
      <w:r>
        <w:t xml:space="preserve"> (Estrategia Cloud de Andalucía 2030 y nuevo CPD corporativo en la Cartuja de Sevilla; apartado 26.6), mientras que el SAS mantiene sus propios CPD centrales (apartado 26.3).</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C0CEA" w14:paraId="08725280" w14:textId="77777777">
        <w:trPr>
          <w:cantSplit/>
        </w:trPr>
        <w:tc>
          <w:tcPr>
            <w:tcW w:w="9026" w:type="dxa"/>
            <w:tcBorders>
              <w:top w:val="single" w:sz="12" w:space="0" w:color="BF9000"/>
              <w:left w:val="single" w:sz="12" w:space="0" w:color="BF9000"/>
              <w:bottom w:val="single" w:sz="12" w:space="0" w:color="BF9000"/>
              <w:right w:val="single" w:sz="12" w:space="0" w:color="BF9000"/>
            </w:tcBorders>
            <w:shd w:val="clear" w:color="auto" w:fill="FFF2CC"/>
            <w:tcMar>
              <w:top w:w="120" w:type="dxa"/>
              <w:left w:w="160" w:type="dxa"/>
              <w:bottom w:w="120" w:type="dxa"/>
              <w:right w:w="160" w:type="dxa"/>
            </w:tcMar>
          </w:tcPr>
          <w:p w14:paraId="15C388AE" w14:textId="77777777" w:rsidR="001C0CEA" w:rsidRDefault="00000000">
            <w:pPr>
              <w:spacing w:after="80"/>
            </w:pPr>
            <w:r>
              <w:rPr>
                <w:b/>
                <w:bCs/>
                <w:color w:val="7F6000"/>
              </w:rPr>
              <w:t>Claves para el examen</w:t>
            </w:r>
          </w:p>
          <w:p w14:paraId="095F4B50" w14:textId="77777777" w:rsidR="001C0CEA" w:rsidRDefault="00000000">
            <w:pPr>
              <w:pStyle w:val="Prrafodelista"/>
              <w:numPr>
                <w:ilvl w:val="0"/>
                <w:numId w:val="2"/>
              </w:numPr>
              <w:spacing w:after="40"/>
            </w:pPr>
            <w:r>
              <w:rPr>
                <w:sz w:val="20"/>
                <w:szCs w:val="20"/>
              </w:rPr>
              <w:t>CPD = espacio + instalaciones de soporte + equipamiento TIC + gestión.</w:t>
            </w:r>
          </w:p>
          <w:p w14:paraId="27D8F635" w14:textId="77777777" w:rsidR="001C0CEA" w:rsidRDefault="00000000">
            <w:pPr>
              <w:pStyle w:val="Prrafodelista"/>
              <w:numPr>
                <w:ilvl w:val="0"/>
                <w:numId w:val="2"/>
              </w:numPr>
              <w:spacing w:after="40"/>
            </w:pPr>
            <w:r>
              <w:rPr>
                <w:sz w:val="20"/>
                <w:szCs w:val="20"/>
              </w:rPr>
              <w:t xml:space="preserve">IaaS/PaaS/SaaS son </w:t>
            </w:r>
            <w:r>
              <w:rPr>
                <w:b/>
                <w:bCs/>
                <w:sz w:val="20"/>
                <w:szCs w:val="20"/>
              </w:rPr>
              <w:t>modelos de servicio</w:t>
            </w:r>
            <w:r>
              <w:rPr>
                <w:sz w:val="20"/>
                <w:szCs w:val="20"/>
              </w:rPr>
              <w:t xml:space="preserve">; pública/privada/híbrida/comunitaria son </w:t>
            </w:r>
            <w:r>
              <w:rPr>
                <w:b/>
                <w:bCs/>
                <w:sz w:val="20"/>
                <w:szCs w:val="20"/>
              </w:rPr>
              <w:t>modelos de despliegue</w:t>
            </w:r>
            <w:r>
              <w:rPr>
                <w:sz w:val="20"/>
                <w:szCs w:val="20"/>
              </w:rPr>
              <w:t xml:space="preserve"> (NIST SP 800-145).</w:t>
            </w:r>
          </w:p>
          <w:p w14:paraId="496A274B" w14:textId="77777777" w:rsidR="001C0CEA" w:rsidRDefault="00000000">
            <w:pPr>
              <w:pStyle w:val="Prrafodelista"/>
              <w:numPr>
                <w:ilvl w:val="0"/>
                <w:numId w:val="2"/>
              </w:numPr>
              <w:spacing w:after="40"/>
            </w:pPr>
            <w:r>
              <w:rPr>
                <w:sz w:val="20"/>
                <w:szCs w:val="20"/>
              </w:rPr>
              <w:t>Edge = procesamiento cerca del origen del dato; no sustituye al CPD central, lo complementa.</w:t>
            </w:r>
          </w:p>
        </w:tc>
      </w:tr>
    </w:tbl>
    <w:p w14:paraId="24D39B58" w14:textId="77777777" w:rsidR="001C0CEA" w:rsidRDefault="001C0CEA">
      <w:pPr>
        <w:spacing w:after="120"/>
      </w:pPr>
    </w:p>
    <w:p w14:paraId="64FB4433" w14:textId="77777777" w:rsidR="001C0CEA" w:rsidRDefault="00000000">
      <w:pPr>
        <w:pStyle w:val="Ttulo1"/>
        <w:pageBreakBefore/>
      </w:pPr>
      <w:bookmarkStart w:id="8" w:name="_Toc241337889"/>
      <w:r>
        <w:lastRenderedPageBreak/>
        <w:t>3. Planificación de un centro de proceso de datos</w:t>
      </w:r>
      <w:bookmarkEnd w:id="8"/>
    </w:p>
    <w:p w14:paraId="16745270" w14:textId="77777777" w:rsidR="001C0CEA" w:rsidRDefault="00000000">
      <w:pPr>
        <w:spacing w:after="120"/>
        <w:jc w:val="both"/>
      </w:pPr>
      <w:r>
        <w:t xml:space="preserve">Planificar un CPD es un proceso de ingeniería y de gestión que parte de las necesidades del negocio y termina en un diseño que equilibra </w:t>
      </w:r>
      <w:r>
        <w:rPr>
          <w:b/>
          <w:bCs/>
        </w:rPr>
        <w:t>disponibilidad, capacidad, seguridad, eficiencia y coste</w:t>
      </w:r>
      <w:r>
        <w:t xml:space="preserve"> durante toda la vida útil de la instalación (habitualmente más de 10–15 años para el edificio y sus instalaciones, y 4–6 años para el equipamiento TIC). Sus fases típicas son: análisis de necesidades → dimensionamiento → selección de ubicación → diseño (físico y lógico) → construcción e instalación → pruebas de aceptación (</w:t>
      </w:r>
      <w:r>
        <w:rPr>
          <w:i/>
          <w:iCs/>
        </w:rPr>
        <w:t>commissioning</w:t>
      </w:r>
      <w:r>
        <w:t>) → puesta en producción y migración → operación y mejora continua.</w:t>
      </w:r>
    </w:p>
    <w:p w14:paraId="078B5A79" w14:textId="77777777" w:rsidR="001C0CEA" w:rsidRDefault="00000000">
      <w:pPr>
        <w:pStyle w:val="Ttulo2"/>
      </w:pPr>
      <w:bookmarkStart w:id="9" w:name="_Toc241337890"/>
      <w:r>
        <w:t>3.1. Análisis de necesidades</w:t>
      </w:r>
      <w:bookmarkEnd w:id="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6726"/>
      </w:tblGrid>
      <w:tr w:rsidR="001C0CEA" w14:paraId="151D5160" w14:textId="77777777">
        <w:trPr>
          <w:tblHeader/>
        </w:trPr>
        <w:tc>
          <w:tcPr>
            <w:tcW w:w="23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081A87E3" w14:textId="77777777" w:rsidR="001C0CEA" w:rsidRDefault="00000000">
            <w:r>
              <w:rPr>
                <w:b/>
                <w:bCs/>
                <w:color w:val="FFFFFF"/>
                <w:sz w:val="19"/>
                <w:szCs w:val="19"/>
              </w:rPr>
              <w:t>Ámbito</w:t>
            </w:r>
          </w:p>
        </w:tc>
        <w:tc>
          <w:tcPr>
            <w:tcW w:w="6726"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7CDBBE37" w14:textId="77777777" w:rsidR="001C0CEA" w:rsidRDefault="00000000">
            <w:r>
              <w:rPr>
                <w:b/>
                <w:bCs/>
                <w:color w:val="FFFFFF"/>
                <w:sz w:val="19"/>
                <w:szCs w:val="19"/>
              </w:rPr>
              <w:t>Preguntas que debe responder</w:t>
            </w:r>
          </w:p>
        </w:tc>
      </w:tr>
      <w:tr w:rsidR="001C0CEA" w14:paraId="367ED619" w14:textId="77777777">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0C77A10" w14:textId="77777777" w:rsidR="001C0CEA" w:rsidRDefault="00000000">
            <w:r>
              <w:rPr>
                <w:sz w:val="19"/>
                <w:szCs w:val="19"/>
              </w:rPr>
              <w:t>Negocio</w:t>
            </w:r>
          </w:p>
        </w:tc>
        <w:tc>
          <w:tcPr>
            <w:tcW w:w="67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FA27568" w14:textId="77777777" w:rsidR="001C0CEA" w:rsidRDefault="00000000">
            <w:r>
              <w:rPr>
                <w:sz w:val="19"/>
                <w:szCs w:val="19"/>
              </w:rPr>
              <w:t>¿Qué servicios soportará? ¿Cuáles son críticos? ¿Qué impacto tiene su caída (BIA)?</w:t>
            </w:r>
          </w:p>
        </w:tc>
      </w:tr>
      <w:tr w:rsidR="001C0CEA" w14:paraId="4A2A3EED" w14:textId="77777777">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AE84337" w14:textId="77777777" w:rsidR="001C0CEA" w:rsidRDefault="00000000">
            <w:r>
              <w:rPr>
                <w:sz w:val="19"/>
                <w:szCs w:val="19"/>
              </w:rPr>
              <w:t>Tecnología</w:t>
            </w:r>
          </w:p>
        </w:tc>
        <w:tc>
          <w:tcPr>
            <w:tcW w:w="67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B676F6A" w14:textId="77777777" w:rsidR="001C0CEA" w:rsidRDefault="00000000">
            <w:r>
              <w:rPr>
                <w:sz w:val="19"/>
                <w:szCs w:val="19"/>
              </w:rPr>
              <w:t>Aplicaciones, bases de datos, sistemas operativos, arquitectura (físico, virtual, contenedores, nube)</w:t>
            </w:r>
          </w:p>
        </w:tc>
      </w:tr>
      <w:tr w:rsidR="001C0CEA" w14:paraId="022FD4E1" w14:textId="77777777">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1BCE908" w14:textId="77777777" w:rsidR="001C0CEA" w:rsidRDefault="00000000">
            <w:r>
              <w:rPr>
                <w:sz w:val="19"/>
                <w:szCs w:val="19"/>
              </w:rPr>
              <w:t>Usuarios y carga</w:t>
            </w:r>
          </w:p>
        </w:tc>
        <w:tc>
          <w:tcPr>
            <w:tcW w:w="67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744B710" w14:textId="77777777" w:rsidR="001C0CEA" w:rsidRDefault="00000000">
            <w:r>
              <w:rPr>
                <w:sz w:val="19"/>
                <w:szCs w:val="19"/>
              </w:rPr>
              <w:t>Número de usuarios concurrentes, picos (p. ej., citación a primera hora), procesos batch nocturnos</w:t>
            </w:r>
          </w:p>
        </w:tc>
      </w:tr>
      <w:tr w:rsidR="001C0CEA" w14:paraId="58E916D4" w14:textId="77777777">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0067D14" w14:textId="77777777" w:rsidR="001C0CEA" w:rsidRDefault="00000000">
            <w:r>
              <w:rPr>
                <w:sz w:val="19"/>
                <w:szCs w:val="19"/>
              </w:rPr>
              <w:t>Datos</w:t>
            </w:r>
          </w:p>
        </w:tc>
        <w:tc>
          <w:tcPr>
            <w:tcW w:w="67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3F92ABB" w14:textId="77777777" w:rsidR="001C0CEA" w:rsidRDefault="00000000">
            <w:r>
              <w:rPr>
                <w:sz w:val="19"/>
                <w:szCs w:val="19"/>
              </w:rPr>
              <w:t>Volumen actual, crecimiento anual, retención legal (en sanidad, conservación de la historia clínica), copias</w:t>
            </w:r>
          </w:p>
        </w:tc>
      </w:tr>
      <w:tr w:rsidR="001C0CEA" w14:paraId="53A7EEAC" w14:textId="77777777">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11D9627" w14:textId="77777777" w:rsidR="001C0CEA" w:rsidRDefault="00000000">
            <w:r>
              <w:rPr>
                <w:sz w:val="19"/>
                <w:szCs w:val="19"/>
              </w:rPr>
              <w:t>Comunicaciones</w:t>
            </w:r>
          </w:p>
        </w:tc>
        <w:tc>
          <w:tcPr>
            <w:tcW w:w="67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7160AC4" w14:textId="77777777" w:rsidR="001C0CEA" w:rsidRDefault="00000000">
            <w:r>
              <w:rPr>
                <w:sz w:val="19"/>
                <w:szCs w:val="19"/>
              </w:rPr>
              <w:t>Enlaces WAN con centros, redundancia de operadores, latencia exigible, interconexión con CPD de respaldo</w:t>
            </w:r>
          </w:p>
        </w:tc>
      </w:tr>
      <w:tr w:rsidR="001C0CEA" w14:paraId="71D57935" w14:textId="77777777">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C7C303F" w14:textId="77777777" w:rsidR="001C0CEA" w:rsidRDefault="00000000">
            <w:r>
              <w:rPr>
                <w:sz w:val="19"/>
                <w:szCs w:val="19"/>
              </w:rPr>
              <w:t>Disponibilidad y continuidad</w:t>
            </w:r>
          </w:p>
        </w:tc>
        <w:tc>
          <w:tcPr>
            <w:tcW w:w="67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353D313" w14:textId="77777777" w:rsidR="001C0CEA" w:rsidRDefault="00000000">
            <w:r>
              <w:rPr>
                <w:sz w:val="19"/>
                <w:szCs w:val="19"/>
              </w:rPr>
              <w:t>Nivel objetivo (horas de parada admisibles), RTO/RPO por servicio, necesidad de centro alternativo</w:t>
            </w:r>
          </w:p>
        </w:tc>
      </w:tr>
      <w:tr w:rsidR="001C0CEA" w14:paraId="748B4B3B" w14:textId="77777777">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597E975" w14:textId="77777777" w:rsidR="001C0CEA" w:rsidRDefault="00000000">
            <w:r>
              <w:rPr>
                <w:sz w:val="19"/>
                <w:szCs w:val="19"/>
              </w:rPr>
              <w:t>Seguridad y cumplimiento</w:t>
            </w:r>
          </w:p>
        </w:tc>
        <w:tc>
          <w:tcPr>
            <w:tcW w:w="67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FE3E314" w14:textId="77777777" w:rsidR="001C0CEA" w:rsidRDefault="00000000">
            <w:r>
              <w:rPr>
                <w:sz w:val="19"/>
                <w:szCs w:val="19"/>
              </w:rPr>
              <w:t>Categoría ENS del sistema, RGPD (datos de salud = categoría especial), normativa sectorial</w:t>
            </w:r>
          </w:p>
        </w:tc>
      </w:tr>
      <w:tr w:rsidR="001C0CEA" w14:paraId="675E66D1" w14:textId="77777777">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ED215E4" w14:textId="77777777" w:rsidR="001C0CEA" w:rsidRDefault="00000000">
            <w:r>
              <w:rPr>
                <w:sz w:val="19"/>
                <w:szCs w:val="19"/>
              </w:rPr>
              <w:t>Presupuesto</w:t>
            </w:r>
          </w:p>
        </w:tc>
        <w:tc>
          <w:tcPr>
            <w:tcW w:w="67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C9E7E40" w14:textId="77777777" w:rsidR="001C0CEA" w:rsidRDefault="00000000">
            <w:r>
              <w:rPr>
                <w:sz w:val="19"/>
                <w:szCs w:val="19"/>
              </w:rPr>
              <w:t>Coste total de propiedad (TCO): construcción, equipamiento, energía, mantenimiento, personal</w:t>
            </w:r>
          </w:p>
        </w:tc>
      </w:tr>
    </w:tbl>
    <w:p w14:paraId="2B9B4CA6" w14:textId="77777777" w:rsidR="001C0CEA" w:rsidRDefault="001C0CEA">
      <w:pPr>
        <w:spacing w:after="120"/>
      </w:pPr>
    </w:p>
    <w:p w14:paraId="7FD84548" w14:textId="77777777" w:rsidR="001C0CEA" w:rsidRDefault="00000000">
      <w:pPr>
        <w:pStyle w:val="Ttulo2"/>
      </w:pPr>
      <w:bookmarkStart w:id="10" w:name="_Toc241337891"/>
      <w:r>
        <w:t>3.2. Dimensionamiento</w:t>
      </w:r>
      <w:bookmarkEnd w:id="10"/>
    </w:p>
    <w:p w14:paraId="26E6D837" w14:textId="77777777" w:rsidR="001C0CEA" w:rsidRDefault="00000000">
      <w:pPr>
        <w:spacing w:after="120"/>
        <w:jc w:val="both"/>
      </w:pPr>
      <w:r>
        <w:t xml:space="preserve">El dimensionamiento traduce las necesidades en capacidades concretas, siempre con una </w:t>
      </w:r>
      <w:r>
        <w:rPr>
          <w:b/>
          <w:bCs/>
        </w:rPr>
        <w:t>reserva de crecimiento</w:t>
      </w:r>
      <w:r>
        <w:t xml:space="preserve"> (típicamente para 3–5 años de TI y una previsión modular para la vida del edificio):</w:t>
      </w:r>
    </w:p>
    <w:p w14:paraId="01016F9B" w14:textId="77777777" w:rsidR="001C0CEA" w:rsidRDefault="00000000">
      <w:pPr>
        <w:pStyle w:val="Prrafodelista"/>
        <w:numPr>
          <w:ilvl w:val="0"/>
          <w:numId w:val="2"/>
        </w:numPr>
        <w:spacing w:after="60"/>
      </w:pPr>
      <w:r>
        <w:rPr>
          <w:b/>
          <w:bCs/>
        </w:rPr>
        <w:t>Procesamiento:</w:t>
      </w:r>
      <w:r>
        <w:t xml:space="preserve"> núcleos/vCPU necesarios según carga medida o estimada, con margen para picos y para absorber la caída de un nodo (criterio N+1 en clústeres).</w:t>
      </w:r>
    </w:p>
    <w:p w14:paraId="2F233493" w14:textId="77777777" w:rsidR="001C0CEA" w:rsidRDefault="00000000">
      <w:pPr>
        <w:pStyle w:val="Prrafodelista"/>
        <w:numPr>
          <w:ilvl w:val="0"/>
          <w:numId w:val="2"/>
        </w:numPr>
        <w:spacing w:after="60"/>
      </w:pPr>
      <w:r>
        <w:rPr>
          <w:b/>
          <w:bCs/>
        </w:rPr>
        <w:t>Memoria:</w:t>
      </w:r>
      <w:r>
        <w:t xml:space="preserve"> GB por servidor/VM; en virtualización suele ser el recurso limitante.</w:t>
      </w:r>
    </w:p>
    <w:p w14:paraId="74A4A5C5" w14:textId="77777777" w:rsidR="001C0CEA" w:rsidRDefault="00000000">
      <w:pPr>
        <w:pStyle w:val="Prrafodelista"/>
        <w:numPr>
          <w:ilvl w:val="0"/>
          <w:numId w:val="2"/>
        </w:numPr>
        <w:spacing w:after="60"/>
      </w:pPr>
      <w:r>
        <w:rPr>
          <w:b/>
          <w:bCs/>
        </w:rPr>
        <w:t>Almacenamiento:</w:t>
      </w:r>
      <w:r>
        <w:t xml:space="preserve"> capacidad útil (TB) tras RAID, replicación, instantáneas y crecimiento; </w:t>
      </w:r>
      <w:r>
        <w:rPr>
          <w:b/>
          <w:bCs/>
        </w:rPr>
        <w:t>rendimiento</w:t>
      </w:r>
      <w:r>
        <w:t xml:space="preserve"> en </w:t>
      </w:r>
      <w:r>
        <w:rPr>
          <w:b/>
          <w:bCs/>
        </w:rPr>
        <w:t>IOPS</w:t>
      </w:r>
      <w:r>
        <w:t>, latencia (ms) y ancho de banda (MB/s).</w:t>
      </w:r>
    </w:p>
    <w:p w14:paraId="6B786F03" w14:textId="77777777" w:rsidR="001C0CEA" w:rsidRDefault="00000000">
      <w:pPr>
        <w:pStyle w:val="Prrafodelista"/>
        <w:numPr>
          <w:ilvl w:val="0"/>
          <w:numId w:val="2"/>
        </w:numPr>
        <w:spacing w:after="60"/>
      </w:pPr>
      <w:r>
        <w:rPr>
          <w:b/>
          <w:bCs/>
        </w:rPr>
        <w:t>Red:</w:t>
      </w:r>
      <w:r>
        <w:t xml:space="preserve"> ancho de banda LAN y WAN, puertos, latencia; tráfico este-oeste (entre servidores) y norte-sur (hacia usuarios).</w:t>
      </w:r>
    </w:p>
    <w:p w14:paraId="0647B2AA" w14:textId="77777777" w:rsidR="001C0CEA" w:rsidRDefault="00000000">
      <w:pPr>
        <w:pStyle w:val="Prrafodelista"/>
        <w:numPr>
          <w:ilvl w:val="0"/>
          <w:numId w:val="2"/>
        </w:numPr>
        <w:spacing w:after="60"/>
      </w:pPr>
      <w:r>
        <w:rPr>
          <w:b/>
          <w:bCs/>
        </w:rPr>
        <w:t>Capacidad eléctrica:</w:t>
      </w:r>
      <w:r>
        <w:t xml:space="preserve"> potencia TI por rack (kW/rack) y total; potencia de climatización y pérdidas; dimensionamiento de SAI, grupos y acometidas.</w:t>
      </w:r>
    </w:p>
    <w:p w14:paraId="079DDEE1" w14:textId="77777777" w:rsidR="001C0CEA" w:rsidRDefault="00000000">
      <w:pPr>
        <w:pStyle w:val="Prrafodelista"/>
        <w:numPr>
          <w:ilvl w:val="0"/>
          <w:numId w:val="2"/>
        </w:numPr>
        <w:spacing w:after="60"/>
      </w:pPr>
      <w:r>
        <w:rPr>
          <w:b/>
          <w:bCs/>
        </w:rPr>
        <w:t>Refrigeración:</w:t>
      </w:r>
      <w:r>
        <w:t xml:space="preserve"> la práctica totalidad de la energía eléctrica consumida por los equipos se disipa como calor; la capacidad frigorífica debe igualar la carga térmica con redundancia.</w:t>
      </w:r>
    </w:p>
    <w:p w14:paraId="4E7C1D47" w14:textId="77777777" w:rsidR="001C0CEA" w:rsidRDefault="00000000">
      <w:pPr>
        <w:pStyle w:val="Prrafodelista"/>
        <w:numPr>
          <w:ilvl w:val="0"/>
          <w:numId w:val="2"/>
        </w:numPr>
        <w:spacing w:after="60"/>
      </w:pPr>
      <w:r>
        <w:rPr>
          <w:b/>
          <w:bCs/>
        </w:rPr>
        <w:t>Espacio físico:</w:t>
      </w:r>
      <w:r>
        <w:t xml:space="preserve"> número de racks, pasillos, zonas de servicio, crecimiento; </w:t>
      </w:r>
      <w:r>
        <w:rPr>
          <w:b/>
          <w:bCs/>
        </w:rPr>
        <w:t>carga estructural</w:t>
      </w:r>
      <w:r>
        <w:t xml:space="preserve"> del forjado (racks cargados, baterías, SAI).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C0CEA" w14:paraId="518D3F7C" w14:textId="77777777">
        <w:trPr>
          <w:cantSplit/>
        </w:trPr>
        <w:tc>
          <w:tcPr>
            <w:tcW w:w="9026" w:type="dxa"/>
            <w:tcBorders>
              <w:top w:val="single" w:sz="12" w:space="0" w:color="548235"/>
              <w:left w:val="single" w:sz="12" w:space="0" w:color="548235"/>
              <w:bottom w:val="single" w:sz="12" w:space="0" w:color="548235"/>
              <w:right w:val="single" w:sz="12" w:space="0" w:color="548235"/>
            </w:tcBorders>
            <w:shd w:val="clear" w:color="auto" w:fill="E2EFD9"/>
            <w:tcMar>
              <w:top w:w="120" w:type="dxa"/>
              <w:left w:w="160" w:type="dxa"/>
              <w:bottom w:w="120" w:type="dxa"/>
              <w:right w:w="160" w:type="dxa"/>
            </w:tcMar>
          </w:tcPr>
          <w:p w14:paraId="0A7C07D6" w14:textId="77777777" w:rsidR="001C0CEA" w:rsidRDefault="00000000">
            <w:pPr>
              <w:spacing w:after="80"/>
            </w:pPr>
            <w:r>
              <w:rPr>
                <w:b/>
                <w:bCs/>
                <w:color w:val="548235"/>
              </w:rPr>
              <w:lastRenderedPageBreak/>
              <w:t>Ejemplo sencillo de dimensionamiento</w:t>
            </w:r>
          </w:p>
          <w:p w14:paraId="53454474" w14:textId="77777777" w:rsidR="001C0CEA" w:rsidRDefault="00000000">
            <w:pPr>
              <w:pStyle w:val="Prrafodelista"/>
              <w:numPr>
                <w:ilvl w:val="0"/>
                <w:numId w:val="2"/>
              </w:numPr>
              <w:spacing w:after="40"/>
            </w:pPr>
            <w:r>
              <w:rPr>
                <w:sz w:val="20"/>
                <w:szCs w:val="20"/>
              </w:rPr>
              <w:t xml:space="preserve">Necesidad: 40 racks a 6 kW de media → </w:t>
            </w:r>
            <w:r>
              <w:rPr>
                <w:b/>
                <w:bCs/>
                <w:sz w:val="20"/>
                <w:szCs w:val="20"/>
              </w:rPr>
              <w:t>carga TI = 240 kW</w:t>
            </w:r>
            <w:r>
              <w:rPr>
                <w:sz w:val="20"/>
                <w:szCs w:val="20"/>
              </w:rPr>
              <w:t xml:space="preserve">. Crecimiento previsto 30 % → diseño para </w:t>
            </w:r>
            <w:r>
              <w:rPr>
                <w:b/>
                <w:bCs/>
                <w:sz w:val="20"/>
                <w:szCs w:val="20"/>
              </w:rPr>
              <w:t>~312 kW TI</w:t>
            </w:r>
            <w:r>
              <w:rPr>
                <w:sz w:val="20"/>
                <w:szCs w:val="20"/>
              </w:rPr>
              <w:t>.</w:t>
            </w:r>
          </w:p>
          <w:p w14:paraId="235FFA52" w14:textId="77777777" w:rsidR="001C0CEA" w:rsidRDefault="00000000">
            <w:pPr>
              <w:pStyle w:val="Prrafodelista"/>
              <w:numPr>
                <w:ilvl w:val="0"/>
                <w:numId w:val="2"/>
              </w:numPr>
              <w:spacing w:after="40"/>
            </w:pPr>
            <w:r>
              <w:rPr>
                <w:sz w:val="20"/>
                <w:szCs w:val="20"/>
              </w:rPr>
              <w:t xml:space="preserve">Refrigeración: se necesita al menos ~312 kW de capacidad frigorífica. Si cada unidad de clima aporta 80 kW, N = 4 unidades (320 kW). Con redundancia </w:t>
            </w:r>
            <w:r>
              <w:rPr>
                <w:b/>
                <w:bCs/>
                <w:sz w:val="20"/>
                <w:szCs w:val="20"/>
              </w:rPr>
              <w:t>N+1 → 5 unidades</w:t>
            </w:r>
            <w:r>
              <w:rPr>
                <w:sz w:val="20"/>
                <w:szCs w:val="20"/>
              </w:rPr>
              <w:t>.</w:t>
            </w:r>
          </w:p>
          <w:p w14:paraId="3412F002" w14:textId="77777777" w:rsidR="001C0CEA" w:rsidRDefault="00000000">
            <w:pPr>
              <w:pStyle w:val="Prrafodelista"/>
              <w:numPr>
                <w:ilvl w:val="0"/>
                <w:numId w:val="2"/>
              </w:numPr>
              <w:spacing w:after="40"/>
            </w:pPr>
            <w:r>
              <w:rPr>
                <w:sz w:val="20"/>
                <w:szCs w:val="20"/>
              </w:rPr>
              <w:t xml:space="preserve">SAI: con módulos de 100 kW, N = 4 módulos; en </w:t>
            </w:r>
            <w:r>
              <w:rPr>
                <w:b/>
                <w:bCs/>
                <w:sz w:val="20"/>
                <w:szCs w:val="20"/>
              </w:rPr>
              <w:t>N+1</w:t>
            </w:r>
            <w:r>
              <w:rPr>
                <w:sz w:val="20"/>
                <w:szCs w:val="20"/>
              </w:rPr>
              <w:t xml:space="preserve">, 5 módulos; en </w:t>
            </w:r>
            <w:r>
              <w:rPr>
                <w:b/>
                <w:bCs/>
                <w:sz w:val="20"/>
                <w:szCs w:val="20"/>
              </w:rPr>
              <w:t>2N</w:t>
            </w:r>
            <w:r>
              <w:rPr>
                <w:sz w:val="20"/>
                <w:szCs w:val="20"/>
              </w:rPr>
              <w:t>, dos sistemas independientes de 4 módulos cada uno (8 en total).</w:t>
            </w:r>
          </w:p>
          <w:p w14:paraId="558E5CDC" w14:textId="77777777" w:rsidR="001C0CEA" w:rsidRDefault="00000000">
            <w:pPr>
              <w:pStyle w:val="Prrafodelista"/>
              <w:numPr>
                <w:ilvl w:val="0"/>
                <w:numId w:val="2"/>
              </w:numPr>
              <w:spacing w:after="40"/>
            </w:pPr>
            <w:r>
              <w:rPr>
                <w:sz w:val="20"/>
                <w:szCs w:val="20"/>
              </w:rPr>
              <w:t xml:space="preserve">Si el PUE objetivo es 1,4, el consumo total estimado es 312 × 1,4 ≈ </w:t>
            </w:r>
            <w:r>
              <w:rPr>
                <w:b/>
                <w:bCs/>
                <w:sz w:val="20"/>
                <w:szCs w:val="20"/>
              </w:rPr>
              <w:t>437 kW</w:t>
            </w:r>
            <w:r>
              <w:rPr>
                <w:sz w:val="20"/>
                <w:szCs w:val="20"/>
              </w:rPr>
              <w:t>, cifra que condiciona la acometida y el grupo electrógeno.</w:t>
            </w:r>
          </w:p>
        </w:tc>
      </w:tr>
    </w:tbl>
    <w:p w14:paraId="32C9508A" w14:textId="77777777" w:rsidR="001C0CEA" w:rsidRDefault="001C0CEA">
      <w:pPr>
        <w:spacing w:after="120"/>
      </w:pPr>
    </w:p>
    <w:p w14:paraId="70238576" w14:textId="77777777" w:rsidR="001C0CEA" w:rsidRDefault="00000000">
      <w:pPr>
        <w:pStyle w:val="Ttulo2"/>
      </w:pPr>
      <w:bookmarkStart w:id="11" w:name="_Toc241337892"/>
      <w:r>
        <w:t>3.3. Ubicación</w:t>
      </w:r>
      <w:bookmarkEnd w:id="11"/>
    </w:p>
    <w:p w14:paraId="1DC3FD13" w14:textId="77777777" w:rsidR="001C0CEA" w:rsidRDefault="00000000">
      <w:pPr>
        <w:spacing w:after="120"/>
        <w:jc w:val="both"/>
      </w:pPr>
      <w:r>
        <w:t>La elección del emplazamiento condiciona riesgos que después son muy caros de corregir. Factores a analizar:</w:t>
      </w:r>
    </w:p>
    <w:p w14:paraId="02D08977" w14:textId="77777777" w:rsidR="001C0CEA" w:rsidRDefault="00000000">
      <w:pPr>
        <w:pStyle w:val="Prrafodelista"/>
        <w:numPr>
          <w:ilvl w:val="0"/>
          <w:numId w:val="2"/>
        </w:numPr>
        <w:spacing w:after="60"/>
      </w:pPr>
      <w:r>
        <w:rPr>
          <w:b/>
          <w:bCs/>
        </w:rPr>
        <w:t>Riesgos naturales:</w:t>
      </w:r>
      <w:r>
        <w:t xml:space="preserve"> inundación (evitar zonas inundables y sótanos; valorar cotas y cauces), sismicidad (relevante en parte de Andalucía oriental), tormentas, temperaturas extremas.</w:t>
      </w:r>
    </w:p>
    <w:p w14:paraId="15363941" w14:textId="77777777" w:rsidR="001C0CEA" w:rsidRDefault="00000000">
      <w:pPr>
        <w:pStyle w:val="Prrafodelista"/>
        <w:numPr>
          <w:ilvl w:val="0"/>
          <w:numId w:val="2"/>
        </w:numPr>
        <w:spacing w:after="60"/>
      </w:pPr>
      <w:r>
        <w:rPr>
          <w:b/>
          <w:bCs/>
        </w:rPr>
        <w:t>Riesgos del entorno:</w:t>
      </w:r>
      <w:r>
        <w:t xml:space="preserve"> proximidad a industrias peligrosas, gasolineras, aeropuertos, vías de transporte de mercancías peligrosas, zonas de interferencias electromagnéticas.</w:t>
      </w:r>
    </w:p>
    <w:p w14:paraId="5C3F2DBC" w14:textId="77777777" w:rsidR="001C0CEA" w:rsidRDefault="00000000">
      <w:pPr>
        <w:pStyle w:val="Prrafodelista"/>
        <w:numPr>
          <w:ilvl w:val="0"/>
          <w:numId w:val="2"/>
        </w:numPr>
        <w:spacing w:after="60"/>
      </w:pPr>
      <w:r>
        <w:rPr>
          <w:b/>
          <w:bCs/>
        </w:rPr>
        <w:t>Suministros:</w:t>
      </w:r>
      <w:r>
        <w:t xml:space="preserve"> disponibilidad de potencia eléctrica suficiente y, preferiblemente, de </w:t>
      </w:r>
      <w:r>
        <w:rPr>
          <w:b/>
          <w:bCs/>
        </w:rPr>
        <w:t>dos acometidas</w:t>
      </w:r>
      <w:r>
        <w:t xml:space="preserve"> desde subestaciones distintas; suministro de agua si la refrigeración lo requiere.</w:t>
      </w:r>
    </w:p>
    <w:p w14:paraId="7ECA5BD6" w14:textId="77777777" w:rsidR="001C0CEA" w:rsidRDefault="00000000">
      <w:pPr>
        <w:pStyle w:val="Prrafodelista"/>
        <w:numPr>
          <w:ilvl w:val="0"/>
          <w:numId w:val="2"/>
        </w:numPr>
        <w:spacing w:after="60"/>
      </w:pPr>
      <w:r>
        <w:rPr>
          <w:b/>
          <w:bCs/>
        </w:rPr>
        <w:t>Comunicaciones:</w:t>
      </w:r>
      <w:r>
        <w:t xml:space="preserve"> acceso a varios operadores por </w:t>
      </w:r>
      <w:r>
        <w:rPr>
          <w:b/>
          <w:bCs/>
        </w:rPr>
        <w:t>rutas físicamente diversas</w:t>
      </w:r>
      <w:r>
        <w:t>.</w:t>
      </w:r>
    </w:p>
    <w:p w14:paraId="34321914" w14:textId="77777777" w:rsidR="001C0CEA" w:rsidRDefault="00000000">
      <w:pPr>
        <w:pStyle w:val="Prrafodelista"/>
        <w:numPr>
          <w:ilvl w:val="0"/>
          <w:numId w:val="2"/>
        </w:numPr>
        <w:spacing w:after="60"/>
      </w:pPr>
      <w:r>
        <w:rPr>
          <w:b/>
          <w:bCs/>
        </w:rPr>
        <w:t>Accesibilidad y seguridad:</w:t>
      </w:r>
      <w:r>
        <w:t xml:space="preserve"> accesos para mantenimiento y suministro de gasóleo, pero discreción y protección perimetral; dentro del edificio, evitar plantas bajo cubierta (filtraciones) y sótanos (inundación), y alejarse de conducciones de agua.</w:t>
      </w:r>
    </w:p>
    <w:p w14:paraId="00F8E352" w14:textId="77777777" w:rsidR="001C0CEA" w:rsidRDefault="00000000">
      <w:pPr>
        <w:pStyle w:val="Prrafodelista"/>
        <w:numPr>
          <w:ilvl w:val="0"/>
          <w:numId w:val="2"/>
        </w:numPr>
        <w:spacing w:after="60"/>
      </w:pPr>
      <w:r>
        <w:rPr>
          <w:b/>
          <w:bCs/>
        </w:rPr>
        <w:t>Ampliación:</w:t>
      </w:r>
      <w:r>
        <w:t xml:space="preserve"> espacio y potencia disponibles para crecer de forma modular.</w:t>
      </w:r>
    </w:p>
    <w:p w14:paraId="6735661A" w14:textId="77777777" w:rsidR="001C0CEA" w:rsidRDefault="00000000">
      <w:pPr>
        <w:pStyle w:val="Prrafodelista"/>
        <w:numPr>
          <w:ilvl w:val="0"/>
          <w:numId w:val="2"/>
        </w:numPr>
        <w:spacing w:after="60"/>
      </w:pPr>
      <w:r>
        <w:rPr>
          <w:b/>
          <w:bCs/>
        </w:rPr>
        <w:t>Distancia al CPD de respaldo:</w:t>
      </w:r>
      <w:r>
        <w:t xml:space="preserve"> suficiente para que un mismo desastre no afecte a ambos, pero compatible con la replicación elegida (la replicación </w:t>
      </w:r>
      <w:r>
        <w:rPr>
          <w:b/>
          <w:bCs/>
        </w:rPr>
        <w:t>síncrona</w:t>
      </w:r>
      <w:r>
        <w:t xml:space="preserve"> exige baja latencia y, por tanto, distancias cortas, del orden de decenas de km; la </w:t>
      </w:r>
      <w:r>
        <w:rPr>
          <w:b/>
          <w:bCs/>
        </w:rPr>
        <w:t>asíncrona</w:t>
      </w:r>
      <w:r>
        <w:t xml:space="preserve"> admite distancias mayores).</w:t>
      </w:r>
    </w:p>
    <w:p w14:paraId="069ADED3" w14:textId="77777777" w:rsidR="001C0CEA" w:rsidRDefault="00000000">
      <w:pPr>
        <w:pStyle w:val="Prrafodelista"/>
        <w:numPr>
          <w:ilvl w:val="0"/>
          <w:numId w:val="2"/>
        </w:numPr>
        <w:spacing w:after="60"/>
      </w:pPr>
      <w:r>
        <w:rPr>
          <w:b/>
          <w:bCs/>
        </w:rPr>
        <w:t>Riesgo de concentración:</w:t>
      </w:r>
      <w:r>
        <w:t xml:space="preserve"> no ubicar todos los servicios críticos en un único edificio ni depender de un único punto de suministro o de un único operador.</w:t>
      </w:r>
    </w:p>
    <w:p w14:paraId="7E62E864" w14:textId="77777777" w:rsidR="001C0CEA" w:rsidRDefault="00000000">
      <w:pPr>
        <w:pStyle w:val="Ttulo2"/>
      </w:pPr>
      <w:bookmarkStart w:id="12" w:name="_Toc241337893"/>
      <w:r>
        <w:t>3.4. Diseño</w:t>
      </w:r>
      <w:bookmarkEnd w:id="12"/>
    </w:p>
    <w:p w14:paraId="337A36D2" w14:textId="77777777" w:rsidR="001C0CEA" w:rsidRDefault="00000000">
      <w:pPr>
        <w:spacing w:after="120"/>
        <w:jc w:val="both"/>
      </w:pPr>
      <w:r>
        <w:t>El diseño se aborda en dos planos complementarios:</w:t>
      </w:r>
    </w:p>
    <w:p w14:paraId="7295DEBE" w14:textId="77777777" w:rsidR="001C0CEA" w:rsidRDefault="00000000">
      <w:pPr>
        <w:pStyle w:val="Prrafodelista"/>
        <w:numPr>
          <w:ilvl w:val="0"/>
          <w:numId w:val="2"/>
        </w:numPr>
        <w:spacing w:after="60"/>
      </w:pPr>
      <w:r>
        <w:rPr>
          <w:b/>
          <w:bCs/>
        </w:rPr>
        <w:t>Diseño físico:</w:t>
      </w:r>
      <w:r>
        <w:t xml:space="preserve"> zonificación, distribución de la sala, instalaciones eléctricas y mecánicas, cableado, seguridad física, protección contra incendios. Se apoya en estándares como ANSI/TIA-942 o EN 50600/ISO/IEC 22237.</w:t>
      </w:r>
    </w:p>
    <w:p w14:paraId="7A8F11A9" w14:textId="77777777" w:rsidR="001C0CEA" w:rsidRDefault="00000000">
      <w:pPr>
        <w:pStyle w:val="Prrafodelista"/>
        <w:numPr>
          <w:ilvl w:val="0"/>
          <w:numId w:val="2"/>
        </w:numPr>
        <w:spacing w:after="60"/>
      </w:pPr>
      <w:r>
        <w:rPr>
          <w:b/>
          <w:bCs/>
        </w:rPr>
        <w:t>Diseño lógico:</w:t>
      </w:r>
      <w:r>
        <w:t xml:space="preserve"> arquitectura de red (segmentación, zonas de seguridad, DMZ), arquitectura de cómputo y almacenamiento, virtualización, arquitectura de alta disponibilidad y de recuperación, servicios de directorio y gestión.</w:t>
      </w:r>
    </w:p>
    <w:p w14:paraId="5DA57D4C" w14:textId="77777777" w:rsidR="001C0CEA" w:rsidRDefault="00000000">
      <w:pPr>
        <w:pStyle w:val="Ttulo3"/>
      </w:pPr>
      <w:r>
        <w:t>Zonificación y áreas</w:t>
      </w:r>
    </w:p>
    <w:p w14:paraId="30C4C505" w14:textId="77777777" w:rsidR="001C0CEA" w:rsidRDefault="00000000">
      <w:pPr>
        <w:spacing w:after="120"/>
        <w:jc w:val="both"/>
      </w:pPr>
      <w:r>
        <w:t>ANSI/TIA-942 define espacios funcionales normalizados que conviene conocer por su acrónimo: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426"/>
      </w:tblGrid>
      <w:tr w:rsidR="001C0CEA" w14:paraId="42772693" w14:textId="77777777">
        <w:trPr>
          <w:tblHeader/>
        </w:trPr>
        <w:tc>
          <w:tcPr>
            <w:tcW w:w="36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07C726B0" w14:textId="77777777" w:rsidR="001C0CEA" w:rsidRDefault="00000000">
            <w:r>
              <w:rPr>
                <w:b/>
                <w:bCs/>
                <w:color w:val="FFFFFF"/>
                <w:sz w:val="19"/>
                <w:szCs w:val="19"/>
              </w:rPr>
              <w:t>Espacio (TIA-942)</w:t>
            </w:r>
          </w:p>
        </w:tc>
        <w:tc>
          <w:tcPr>
            <w:tcW w:w="5426"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7E23E78E" w14:textId="77777777" w:rsidR="001C0CEA" w:rsidRDefault="00000000">
            <w:r>
              <w:rPr>
                <w:b/>
                <w:bCs/>
                <w:color w:val="FFFFFF"/>
                <w:sz w:val="19"/>
                <w:szCs w:val="19"/>
              </w:rPr>
              <w:t>Función</w:t>
            </w:r>
          </w:p>
        </w:tc>
      </w:tr>
      <w:tr w:rsidR="001C0CEA" w14:paraId="7D15F8A4" w14:textId="77777777">
        <w:tc>
          <w:tcPr>
            <w:tcW w:w="3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00FB622" w14:textId="77777777" w:rsidR="001C0CEA" w:rsidRDefault="00000000">
            <w:r>
              <w:rPr>
                <w:sz w:val="19"/>
                <w:szCs w:val="19"/>
              </w:rPr>
              <w:t>Entrance Room (ER) – sala de entrada</w:t>
            </w:r>
          </w:p>
        </w:tc>
        <w:tc>
          <w:tcPr>
            <w:tcW w:w="54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5CB234D" w14:textId="77777777" w:rsidR="001C0CEA" w:rsidRDefault="00000000">
            <w:r>
              <w:rPr>
                <w:sz w:val="19"/>
                <w:szCs w:val="19"/>
              </w:rPr>
              <w:t>Punto de entrada de los operadores de telecomunicaciones y demarcación con ellos</w:t>
            </w:r>
          </w:p>
        </w:tc>
      </w:tr>
      <w:tr w:rsidR="001C0CEA" w14:paraId="061524F2" w14:textId="77777777">
        <w:tc>
          <w:tcPr>
            <w:tcW w:w="3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EF0AA35" w14:textId="77777777" w:rsidR="001C0CEA" w:rsidRDefault="00000000">
            <w:r>
              <w:rPr>
                <w:sz w:val="19"/>
                <w:szCs w:val="19"/>
              </w:rPr>
              <w:lastRenderedPageBreak/>
              <w:t>Main Distribution Area (MDA)</w:t>
            </w:r>
          </w:p>
        </w:tc>
        <w:tc>
          <w:tcPr>
            <w:tcW w:w="54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1BE8C33" w14:textId="77777777" w:rsidR="001C0CEA" w:rsidRDefault="00000000">
            <w:r>
              <w:rPr>
                <w:sz w:val="19"/>
                <w:szCs w:val="19"/>
              </w:rPr>
              <w:t>Distribución principal: núcleo de red y cross-connect principal</w:t>
            </w:r>
          </w:p>
        </w:tc>
      </w:tr>
      <w:tr w:rsidR="001C0CEA" w14:paraId="5A922B39" w14:textId="77777777">
        <w:tc>
          <w:tcPr>
            <w:tcW w:w="3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4371607" w14:textId="77777777" w:rsidR="001C0CEA" w:rsidRDefault="00000000">
            <w:r>
              <w:rPr>
                <w:sz w:val="19"/>
                <w:szCs w:val="19"/>
              </w:rPr>
              <w:t>Intermediate Distribution Area (IDA)</w:t>
            </w:r>
          </w:p>
        </w:tc>
        <w:tc>
          <w:tcPr>
            <w:tcW w:w="54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05511A2" w14:textId="77777777" w:rsidR="001C0CEA" w:rsidRDefault="00000000">
            <w:r>
              <w:rPr>
                <w:sz w:val="19"/>
                <w:szCs w:val="19"/>
              </w:rPr>
              <w:t>Distribución intermedia en CPD grandes</w:t>
            </w:r>
          </w:p>
        </w:tc>
      </w:tr>
      <w:tr w:rsidR="001C0CEA" w14:paraId="51A5D1F4" w14:textId="77777777">
        <w:tc>
          <w:tcPr>
            <w:tcW w:w="3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4910C77" w14:textId="77777777" w:rsidR="001C0CEA" w:rsidRDefault="00000000">
            <w:r>
              <w:rPr>
                <w:sz w:val="19"/>
                <w:szCs w:val="19"/>
              </w:rPr>
              <w:t>Horizontal Distribution Area (HDA)</w:t>
            </w:r>
          </w:p>
        </w:tc>
        <w:tc>
          <w:tcPr>
            <w:tcW w:w="54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B980287" w14:textId="77777777" w:rsidR="001C0CEA" w:rsidRDefault="00000000">
            <w:r>
              <w:rPr>
                <w:sz w:val="19"/>
                <w:szCs w:val="19"/>
              </w:rPr>
              <w:t>Distribución hacia las filas de equipos (switches de fila)</w:t>
            </w:r>
          </w:p>
        </w:tc>
      </w:tr>
      <w:tr w:rsidR="001C0CEA" w14:paraId="1B89AE55" w14:textId="77777777">
        <w:tc>
          <w:tcPr>
            <w:tcW w:w="3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1746078" w14:textId="77777777" w:rsidR="001C0CEA" w:rsidRDefault="00000000">
            <w:r>
              <w:rPr>
                <w:sz w:val="19"/>
                <w:szCs w:val="19"/>
              </w:rPr>
              <w:t>Zone Distribution Area (ZDA)</w:t>
            </w:r>
          </w:p>
        </w:tc>
        <w:tc>
          <w:tcPr>
            <w:tcW w:w="54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8A5CBD6" w14:textId="77777777" w:rsidR="001C0CEA" w:rsidRDefault="00000000">
            <w:r>
              <w:rPr>
                <w:sz w:val="19"/>
                <w:szCs w:val="19"/>
              </w:rPr>
              <w:t>Punto de consolidación opcional</w:t>
            </w:r>
          </w:p>
        </w:tc>
      </w:tr>
      <w:tr w:rsidR="001C0CEA" w14:paraId="26D8A2A7" w14:textId="77777777">
        <w:tc>
          <w:tcPr>
            <w:tcW w:w="3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BF1A157" w14:textId="77777777" w:rsidR="001C0CEA" w:rsidRDefault="00000000">
            <w:r>
              <w:rPr>
                <w:sz w:val="19"/>
                <w:szCs w:val="19"/>
              </w:rPr>
              <w:t>Equipment Distribution Area (EDA)</w:t>
            </w:r>
          </w:p>
        </w:tc>
        <w:tc>
          <w:tcPr>
            <w:tcW w:w="54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FC72B65" w14:textId="77777777" w:rsidR="001C0CEA" w:rsidRDefault="00000000">
            <w:r>
              <w:rPr>
                <w:sz w:val="19"/>
                <w:szCs w:val="19"/>
              </w:rPr>
              <w:t>Racks y armarios con los equipos finales (servidores, cabinas)</w:t>
            </w:r>
          </w:p>
        </w:tc>
      </w:tr>
      <w:tr w:rsidR="001C0CEA" w14:paraId="1C544886" w14:textId="77777777">
        <w:tc>
          <w:tcPr>
            <w:tcW w:w="3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FE495CA" w14:textId="77777777" w:rsidR="001C0CEA" w:rsidRDefault="00000000">
            <w:r>
              <w:rPr>
                <w:sz w:val="19"/>
                <w:szCs w:val="19"/>
              </w:rPr>
              <w:t>Telecommunications Room (TR)</w:t>
            </w:r>
          </w:p>
        </w:tc>
        <w:tc>
          <w:tcPr>
            <w:tcW w:w="54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F535E44" w14:textId="77777777" w:rsidR="001C0CEA" w:rsidRDefault="00000000">
            <w:r>
              <w:rPr>
                <w:sz w:val="19"/>
                <w:szCs w:val="19"/>
              </w:rPr>
              <w:t>Sala de telecomunicaciones que da servicio a áreas fuera de la sala de equipos</w:t>
            </w:r>
          </w:p>
        </w:tc>
      </w:tr>
    </w:tbl>
    <w:p w14:paraId="686EECC8" w14:textId="77777777" w:rsidR="001C0CEA" w:rsidRDefault="001C0CEA">
      <w:pPr>
        <w:spacing w:after="120"/>
      </w:pPr>
    </w:p>
    <w:p w14:paraId="027EA607" w14:textId="77777777" w:rsidR="001C0CEA" w:rsidRDefault="00000000">
      <w:pPr>
        <w:spacing w:after="120"/>
        <w:jc w:val="both"/>
      </w:pPr>
      <w:r>
        <w:t xml:space="preserve">Además del espacio de cómputo se diseñan: salas eléctricas y de SAI, sala de baterías (ventilada), zona de grupos electrógenos y depósitos, zona de climatización, sala de operación/NOC, almacenes y zona de recepción de equipos, separadas por </w:t>
      </w:r>
      <w:r>
        <w:rPr>
          <w:b/>
          <w:bCs/>
        </w:rPr>
        <w:t>niveles de seguridad</w:t>
      </w:r>
      <w:r>
        <w:t xml:space="preserve"> crecientes hacia el núcleo.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C0CEA" w14:paraId="65E90165" w14:textId="77777777">
        <w:trPr>
          <w:cantSplit/>
        </w:trPr>
        <w:tc>
          <w:tcPr>
            <w:tcW w:w="9026" w:type="dxa"/>
            <w:tcBorders>
              <w:top w:val="single" w:sz="12" w:space="0" w:color="BF9000"/>
              <w:left w:val="single" w:sz="12" w:space="0" w:color="BF9000"/>
              <w:bottom w:val="single" w:sz="12" w:space="0" w:color="BF9000"/>
              <w:right w:val="single" w:sz="12" w:space="0" w:color="BF9000"/>
            </w:tcBorders>
            <w:shd w:val="clear" w:color="auto" w:fill="FFF2CC"/>
            <w:tcMar>
              <w:top w:w="120" w:type="dxa"/>
              <w:left w:w="160" w:type="dxa"/>
              <w:bottom w:w="120" w:type="dxa"/>
              <w:right w:w="160" w:type="dxa"/>
            </w:tcMar>
          </w:tcPr>
          <w:p w14:paraId="4FB40733" w14:textId="77777777" w:rsidR="001C0CEA" w:rsidRDefault="00000000">
            <w:pPr>
              <w:spacing w:after="80"/>
            </w:pPr>
            <w:r>
              <w:rPr>
                <w:b/>
                <w:bCs/>
                <w:color w:val="7F6000"/>
              </w:rPr>
              <w:t>Claves para el examen</w:t>
            </w:r>
          </w:p>
          <w:p w14:paraId="48851342" w14:textId="77777777" w:rsidR="001C0CEA" w:rsidRDefault="00000000">
            <w:pPr>
              <w:pStyle w:val="Prrafodelista"/>
              <w:numPr>
                <w:ilvl w:val="0"/>
                <w:numId w:val="2"/>
              </w:numPr>
              <w:spacing w:after="40"/>
            </w:pPr>
            <w:r>
              <w:rPr>
                <w:sz w:val="20"/>
                <w:szCs w:val="20"/>
              </w:rPr>
              <w:t>Fases: necesidades → dimensionamiento → ubicación → diseño → instalación → pruebas (</w:t>
            </w:r>
            <w:r>
              <w:rPr>
                <w:i/>
                <w:iCs/>
                <w:sz w:val="20"/>
                <w:szCs w:val="20"/>
              </w:rPr>
              <w:t>commissioning</w:t>
            </w:r>
            <w:r>
              <w:rPr>
                <w:sz w:val="20"/>
                <w:szCs w:val="20"/>
              </w:rPr>
              <w:t>) → operación.</w:t>
            </w:r>
          </w:p>
          <w:p w14:paraId="3440B2C1" w14:textId="77777777" w:rsidR="001C0CEA" w:rsidRDefault="00000000">
            <w:pPr>
              <w:pStyle w:val="Prrafodelista"/>
              <w:numPr>
                <w:ilvl w:val="0"/>
                <w:numId w:val="2"/>
              </w:numPr>
              <w:spacing w:after="40"/>
            </w:pPr>
            <w:r>
              <w:rPr>
                <w:sz w:val="20"/>
                <w:szCs w:val="20"/>
              </w:rPr>
              <w:t>IOPS = operaciones de entrada/salida por segundo (rendimiento del almacenamiento), no capacidad.</w:t>
            </w:r>
          </w:p>
          <w:p w14:paraId="31165F8B" w14:textId="77777777" w:rsidR="001C0CEA" w:rsidRDefault="00000000">
            <w:pPr>
              <w:pStyle w:val="Prrafodelista"/>
              <w:numPr>
                <w:ilvl w:val="0"/>
                <w:numId w:val="2"/>
              </w:numPr>
              <w:spacing w:after="40"/>
            </w:pPr>
            <w:r>
              <w:rPr>
                <w:sz w:val="20"/>
                <w:szCs w:val="20"/>
              </w:rPr>
              <w:t>Replicación síncrona → distancias cortas y RPO ≈ 0; asíncrona → distancias largas y RPO &gt; 0.</w:t>
            </w:r>
          </w:p>
          <w:p w14:paraId="425C31A3" w14:textId="77777777" w:rsidR="001C0CEA" w:rsidRDefault="00000000">
            <w:pPr>
              <w:pStyle w:val="Prrafodelista"/>
              <w:numPr>
                <w:ilvl w:val="0"/>
                <w:numId w:val="2"/>
              </w:numPr>
              <w:spacing w:after="40"/>
            </w:pPr>
            <w:r>
              <w:rPr>
                <w:sz w:val="20"/>
                <w:szCs w:val="20"/>
              </w:rPr>
              <w:t>MDA/HDA/EDA son áreas de distribución del cableado según TIA-942.</w:t>
            </w:r>
          </w:p>
        </w:tc>
      </w:tr>
    </w:tbl>
    <w:p w14:paraId="36E76EF6" w14:textId="77777777" w:rsidR="001C0CEA" w:rsidRDefault="001C0CEA">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C0CEA" w14:paraId="24EABA44" w14:textId="77777777">
        <w:trPr>
          <w:cantSplit/>
        </w:trPr>
        <w:tc>
          <w:tcPr>
            <w:tcW w:w="9026" w:type="dxa"/>
            <w:tcBorders>
              <w:top w:val="single" w:sz="12" w:space="0" w:color="C00000"/>
              <w:left w:val="single" w:sz="12" w:space="0" w:color="C00000"/>
              <w:bottom w:val="single" w:sz="12" w:space="0" w:color="C00000"/>
              <w:right w:val="single" w:sz="12" w:space="0" w:color="C00000"/>
            </w:tcBorders>
            <w:shd w:val="clear" w:color="auto" w:fill="FBE4E4"/>
            <w:tcMar>
              <w:top w:w="120" w:type="dxa"/>
              <w:left w:w="160" w:type="dxa"/>
              <w:bottom w:w="120" w:type="dxa"/>
              <w:right w:w="160" w:type="dxa"/>
            </w:tcMar>
          </w:tcPr>
          <w:p w14:paraId="6798A317" w14:textId="77777777" w:rsidR="001C0CEA" w:rsidRDefault="00000000">
            <w:pPr>
              <w:spacing w:after="80"/>
            </w:pPr>
            <w:r>
              <w:rPr>
                <w:b/>
                <w:bCs/>
                <w:color w:val="C00000"/>
              </w:rPr>
              <w:t>Posibles trampas de test</w:t>
            </w:r>
          </w:p>
          <w:p w14:paraId="65B58D62" w14:textId="77777777" w:rsidR="001C0CEA" w:rsidRDefault="00000000">
            <w:pPr>
              <w:pStyle w:val="Prrafodelista"/>
              <w:numPr>
                <w:ilvl w:val="0"/>
                <w:numId w:val="2"/>
              </w:numPr>
              <w:spacing w:after="40"/>
            </w:pPr>
            <w:r>
              <w:rPr>
                <w:sz w:val="20"/>
                <w:szCs w:val="20"/>
              </w:rPr>
              <w:t xml:space="preserve">No confundir </w:t>
            </w:r>
            <w:r>
              <w:rPr>
                <w:b/>
                <w:bCs/>
                <w:sz w:val="20"/>
                <w:szCs w:val="20"/>
              </w:rPr>
              <w:t>capacidad</w:t>
            </w:r>
            <w:r>
              <w:rPr>
                <w:sz w:val="20"/>
                <w:szCs w:val="20"/>
              </w:rPr>
              <w:t xml:space="preserve"> (TB) con </w:t>
            </w:r>
            <w:r>
              <w:rPr>
                <w:b/>
                <w:bCs/>
                <w:sz w:val="20"/>
                <w:szCs w:val="20"/>
              </w:rPr>
              <w:t>rendimiento</w:t>
            </w:r>
            <w:r>
              <w:rPr>
                <w:sz w:val="20"/>
                <w:szCs w:val="20"/>
              </w:rPr>
              <w:t xml:space="preserve"> (IOPS, latencia, throughput).</w:t>
            </w:r>
          </w:p>
          <w:p w14:paraId="00FDD540" w14:textId="77777777" w:rsidR="001C0CEA" w:rsidRDefault="00000000">
            <w:pPr>
              <w:pStyle w:val="Prrafodelista"/>
              <w:numPr>
                <w:ilvl w:val="0"/>
                <w:numId w:val="2"/>
              </w:numPr>
              <w:spacing w:after="40"/>
            </w:pPr>
            <w:r>
              <w:rPr>
                <w:sz w:val="20"/>
                <w:szCs w:val="20"/>
              </w:rPr>
              <w:t>Un sótano no es mejor ubicación «por ser más seguro»: aumenta el riesgo de inundación.</w:t>
            </w:r>
          </w:p>
        </w:tc>
      </w:tr>
    </w:tbl>
    <w:p w14:paraId="5BF87727" w14:textId="77777777" w:rsidR="001C0CEA" w:rsidRDefault="001C0CEA">
      <w:pPr>
        <w:spacing w:after="120"/>
      </w:pPr>
    </w:p>
    <w:p w14:paraId="65FFFE33" w14:textId="77777777" w:rsidR="001C0CEA" w:rsidRDefault="00000000">
      <w:pPr>
        <w:pStyle w:val="Ttulo1"/>
        <w:pageBreakBefore/>
      </w:pPr>
      <w:bookmarkStart w:id="13" w:name="_Toc241337894"/>
      <w:r>
        <w:lastRenderedPageBreak/>
        <w:t>4. Infraestructura física: espacio, estructura y cableado</w:t>
      </w:r>
      <w:bookmarkEnd w:id="13"/>
    </w:p>
    <w:p w14:paraId="28C7E9C2" w14:textId="77777777" w:rsidR="001C0CEA" w:rsidRDefault="00000000">
      <w:pPr>
        <w:pStyle w:val="Ttulo2"/>
      </w:pPr>
      <w:bookmarkStart w:id="14" w:name="_Toc241337895"/>
      <w:r>
        <w:t>4.1. Sala de equipos y distribución</w:t>
      </w:r>
      <w:bookmarkEnd w:id="14"/>
    </w:p>
    <w:p w14:paraId="185F7B4A" w14:textId="77777777" w:rsidR="001C0CEA" w:rsidRDefault="00000000">
      <w:pPr>
        <w:spacing w:after="120"/>
        <w:jc w:val="both"/>
      </w:pPr>
      <w:r>
        <w:t xml:space="preserve">La sala de equipos (o sala blanca) alberga los racks en </w:t>
      </w:r>
      <w:r>
        <w:rPr>
          <w:b/>
          <w:bCs/>
        </w:rPr>
        <w:t>filas</w:t>
      </w:r>
      <w:r>
        <w:t xml:space="preserve"> que se enfrentan para formar pasillos alternos fríos y calientes (apartado 6.4). Se reservan pasillos de servicio suficientes para abrir puertas de armarios y mover equipos, y zonas libres alrededor de los cuadros y unidades de clima.</w:t>
      </w:r>
    </w:p>
    <w:p w14:paraId="2209881F" w14:textId="77777777" w:rsidR="001C0CEA" w:rsidRDefault="00000000">
      <w:pPr>
        <w:pStyle w:val="Ttulo2"/>
      </w:pPr>
      <w:bookmarkStart w:id="15" w:name="_Toc241337896"/>
      <w:r>
        <w:t>4.2. Racks y armarios</w:t>
      </w:r>
      <w:bookmarkEnd w:id="15"/>
    </w:p>
    <w:p w14:paraId="62B7D69D" w14:textId="77777777" w:rsidR="001C0CEA" w:rsidRDefault="00000000">
      <w:pPr>
        <w:pStyle w:val="Prrafodelista"/>
        <w:numPr>
          <w:ilvl w:val="0"/>
          <w:numId w:val="2"/>
        </w:numPr>
        <w:spacing w:after="60"/>
      </w:pPr>
      <w:r>
        <w:t xml:space="preserve">Estándar de </w:t>
      </w:r>
      <w:r>
        <w:rPr>
          <w:b/>
          <w:bCs/>
        </w:rPr>
        <w:t>19 pulgadas</w:t>
      </w:r>
      <w:r>
        <w:t xml:space="preserve"> de anchura útil para equipos; altura medida en </w:t>
      </w:r>
      <w:r>
        <w:rPr>
          <w:b/>
          <w:bCs/>
        </w:rPr>
        <w:t>unidades de rack (U)</w:t>
      </w:r>
      <w:r>
        <w:t xml:space="preserve">, donde </w:t>
      </w:r>
      <w:r>
        <w:rPr>
          <w:b/>
          <w:bCs/>
        </w:rPr>
        <w:t>1U = 1,75 pulgadas (44,45 mm)</w:t>
      </w:r>
      <w:r>
        <w:t>. Son habituales armarios de 42U a 48U.</w:t>
      </w:r>
    </w:p>
    <w:p w14:paraId="41B13E92" w14:textId="77777777" w:rsidR="001C0CEA" w:rsidRDefault="00000000">
      <w:pPr>
        <w:pStyle w:val="Prrafodelista"/>
        <w:numPr>
          <w:ilvl w:val="0"/>
          <w:numId w:val="2"/>
        </w:numPr>
        <w:spacing w:after="60"/>
      </w:pPr>
      <w:r>
        <w:t xml:space="preserve">Profundidad de 1.000–1.200 mm para servidores actuales; ANSI/TIA-942-C exige armarios de </w:t>
      </w:r>
      <w:r>
        <w:rPr>
          <w:b/>
          <w:bCs/>
        </w:rPr>
        <w:t>al menos 800 mm de ancho</w:t>
      </w:r>
      <w:r>
        <w:t xml:space="preserve"> en las áreas de distribución (MDA, IDA, HDA) para facilitar la gestión del cableado.</w:t>
      </w:r>
    </w:p>
    <w:p w14:paraId="47BA3258" w14:textId="77777777" w:rsidR="001C0CEA" w:rsidRDefault="00000000">
      <w:pPr>
        <w:pStyle w:val="Prrafodelista"/>
        <w:numPr>
          <w:ilvl w:val="0"/>
          <w:numId w:val="2"/>
        </w:numPr>
        <w:spacing w:after="60"/>
      </w:pPr>
      <w:r>
        <w:t>Elementos: paneles ciegos (evitan recirculación de aire), puertas perforadas, PDU de rack (a menudo dobles, fuentes A y B), organizadores de cableado, cerraduras.</w:t>
      </w:r>
    </w:p>
    <w:p w14:paraId="4D2A2280" w14:textId="77777777" w:rsidR="001C0CEA" w:rsidRDefault="00000000">
      <w:pPr>
        <w:pStyle w:val="Ttulo2"/>
      </w:pPr>
      <w:bookmarkStart w:id="16" w:name="_Toc241337897"/>
      <w:r>
        <w:t>4.3. Suelo técnico, techo técnico y carga estructural</w:t>
      </w:r>
      <w:bookmarkEnd w:id="16"/>
    </w:p>
    <w:p w14:paraId="647A5BBE" w14:textId="77777777" w:rsidR="001C0CEA" w:rsidRDefault="00000000">
      <w:pPr>
        <w:spacing w:after="120"/>
        <w:jc w:val="both"/>
      </w:pPr>
      <w:r>
        <w:t xml:space="preserve">El </w:t>
      </w:r>
      <w:r>
        <w:rPr>
          <w:b/>
          <w:bCs/>
        </w:rPr>
        <w:t>suelo técnico</w:t>
      </w:r>
      <w:r>
        <w:t xml:space="preserve"> (falso suelo o suelo elevado) está formado por baldosas modulares (típicamente 600 × 600 mm) sobre pedestales, y permite distribuir cableado y, sobre todo, usar el espacio inferior como </w:t>
      </w:r>
      <w:r>
        <w:rPr>
          <w:b/>
          <w:bCs/>
        </w:rPr>
        <w:t>plenum</w:t>
      </w:r>
      <w:r>
        <w:t xml:space="preserve"> de impulsión de aire frío, que sale por baldosas perforadas o rejillas situadas en los pasillos fríos. Su altura depende del caudal de aire y del volumen de cableado. Muchos CPD modernos prescinden del suelo elevado y distribuyen cableado por bandejas aéreas y aire por contención o refrigeración de proximidad.</w:t>
      </w:r>
    </w:p>
    <w:p w14:paraId="451E80A8" w14:textId="77777777" w:rsidR="001C0CEA" w:rsidRDefault="00000000">
      <w:pPr>
        <w:spacing w:after="120"/>
        <w:jc w:val="both"/>
      </w:pPr>
      <w:r>
        <w:t xml:space="preserve">La </w:t>
      </w:r>
      <w:r>
        <w:rPr>
          <w:b/>
          <w:bCs/>
        </w:rPr>
        <w:t>carga estructural</w:t>
      </w:r>
      <w:r>
        <w:t xml:space="preserve"> debe verificarse: racks con equipos pueden superar los 1.000 kg y las salas de baterías tienen cargas concentradas muy altas.</w:t>
      </w:r>
    </w:p>
    <w:p w14:paraId="3E3A97CE" w14:textId="77777777" w:rsidR="001C0CEA" w:rsidRDefault="00000000">
      <w:pPr>
        <w:pStyle w:val="Ttulo2"/>
      </w:pPr>
      <w:bookmarkStart w:id="17" w:name="_Toc241337898"/>
      <w:r>
        <w:t>4.4. Cableado estructurado</w:t>
      </w:r>
      <w:bookmarkEnd w:id="17"/>
    </w:p>
    <w:p w14:paraId="68DE8D74" w14:textId="77777777" w:rsidR="001C0CEA" w:rsidRDefault="00000000">
      <w:pPr>
        <w:pStyle w:val="Prrafodelista"/>
        <w:numPr>
          <w:ilvl w:val="0"/>
          <w:numId w:val="2"/>
        </w:numPr>
        <w:spacing w:after="60"/>
      </w:pPr>
      <w:r>
        <w:t xml:space="preserve">Separación entre cableado de </w:t>
      </w:r>
      <w:r>
        <w:rPr>
          <w:b/>
          <w:bCs/>
        </w:rPr>
        <w:t>datos</w:t>
      </w:r>
      <w:r>
        <w:t xml:space="preserve"> y de </w:t>
      </w:r>
      <w:r>
        <w:rPr>
          <w:b/>
          <w:bCs/>
        </w:rPr>
        <w:t>energía</w:t>
      </w:r>
      <w:r>
        <w:t xml:space="preserve"> (bandejas distintas y distancias mínimas) para evitar interferencias.</w:t>
      </w:r>
    </w:p>
    <w:p w14:paraId="3CE59041" w14:textId="77777777" w:rsidR="001C0CEA" w:rsidRDefault="00000000">
      <w:pPr>
        <w:pStyle w:val="Prrafodelista"/>
        <w:numPr>
          <w:ilvl w:val="0"/>
          <w:numId w:val="2"/>
        </w:numPr>
        <w:spacing w:after="60"/>
      </w:pPr>
      <w:r>
        <w:t xml:space="preserve">Cobre (categorías 6A o superiores) y </w:t>
      </w:r>
      <w:r>
        <w:rPr>
          <w:b/>
          <w:bCs/>
        </w:rPr>
        <w:t>fibra óptica</w:t>
      </w:r>
      <w:r>
        <w:t xml:space="preserve"> (multimodo OM3/OM4/OM5 para distancias cortas, monomodo para largas). La revisión TIA-942-C recomienda un mínimo de dos fibras en cableado horizontal y troncal.</w:t>
      </w:r>
    </w:p>
    <w:p w14:paraId="4DDBE3C8" w14:textId="77777777" w:rsidR="001C0CEA" w:rsidRDefault="00000000">
      <w:pPr>
        <w:pStyle w:val="Prrafodelista"/>
        <w:numPr>
          <w:ilvl w:val="0"/>
          <w:numId w:val="2"/>
        </w:numPr>
        <w:spacing w:after="60"/>
      </w:pPr>
      <w:r>
        <w:t xml:space="preserve">Cableado </w:t>
      </w:r>
      <w:r>
        <w:rPr>
          <w:b/>
          <w:bCs/>
        </w:rPr>
        <w:t>etiquetado y documentado</w:t>
      </w:r>
      <w:r>
        <w:t>, con topología en estrella jerárquica (MDA → HDA → EDA), rutas redundantes para enlaces críticos y trazabilidad en la CMDB.</w:t>
      </w:r>
    </w:p>
    <w:p w14:paraId="07BE4527" w14:textId="77777777" w:rsidR="001C0CEA" w:rsidRDefault="00000000">
      <w:pPr>
        <w:pStyle w:val="Prrafodelista"/>
        <w:numPr>
          <w:ilvl w:val="0"/>
          <w:numId w:val="2"/>
        </w:numPr>
        <w:spacing w:after="60"/>
      </w:pPr>
      <w:r>
        <w:t>Bandejas aéreas o bajo suelo, sin obstruir el flujo de aire.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C0CEA" w14:paraId="12A61B15" w14:textId="77777777">
        <w:trPr>
          <w:cantSplit/>
        </w:trPr>
        <w:tc>
          <w:tcPr>
            <w:tcW w:w="9026" w:type="dxa"/>
            <w:tcBorders>
              <w:top w:val="single" w:sz="12" w:space="0" w:color="BF9000"/>
              <w:left w:val="single" w:sz="12" w:space="0" w:color="BF9000"/>
              <w:bottom w:val="single" w:sz="12" w:space="0" w:color="BF9000"/>
              <w:right w:val="single" w:sz="12" w:space="0" w:color="BF9000"/>
            </w:tcBorders>
            <w:shd w:val="clear" w:color="auto" w:fill="FFF2CC"/>
            <w:tcMar>
              <w:top w:w="120" w:type="dxa"/>
              <w:left w:w="160" w:type="dxa"/>
              <w:bottom w:w="120" w:type="dxa"/>
              <w:right w:w="160" w:type="dxa"/>
            </w:tcMar>
          </w:tcPr>
          <w:p w14:paraId="296FA650" w14:textId="77777777" w:rsidR="001C0CEA" w:rsidRDefault="00000000">
            <w:pPr>
              <w:spacing w:after="80"/>
            </w:pPr>
            <w:r>
              <w:rPr>
                <w:b/>
                <w:bCs/>
                <w:color w:val="7F6000"/>
              </w:rPr>
              <w:t>Claves para el examen</w:t>
            </w:r>
          </w:p>
          <w:p w14:paraId="3B4C06EE" w14:textId="77777777" w:rsidR="001C0CEA" w:rsidRDefault="00000000">
            <w:pPr>
              <w:pStyle w:val="Prrafodelista"/>
              <w:numPr>
                <w:ilvl w:val="0"/>
                <w:numId w:val="2"/>
              </w:numPr>
              <w:spacing w:after="40"/>
            </w:pPr>
            <w:r>
              <w:rPr>
                <w:sz w:val="20"/>
                <w:szCs w:val="20"/>
              </w:rPr>
              <w:t>1U = 44,45 mm (1,75″); rack estándar de 19″.</w:t>
            </w:r>
          </w:p>
          <w:p w14:paraId="6EB2B751" w14:textId="77777777" w:rsidR="001C0CEA" w:rsidRDefault="00000000">
            <w:pPr>
              <w:pStyle w:val="Prrafodelista"/>
              <w:numPr>
                <w:ilvl w:val="0"/>
                <w:numId w:val="2"/>
              </w:numPr>
              <w:spacing w:after="40"/>
            </w:pPr>
            <w:r>
              <w:rPr>
                <w:sz w:val="20"/>
                <w:szCs w:val="20"/>
              </w:rPr>
              <w:t>El suelo técnico sirve de plenum de aire frío y de canalización.</w:t>
            </w:r>
          </w:p>
          <w:p w14:paraId="592F9CFA" w14:textId="77777777" w:rsidR="001C0CEA" w:rsidRDefault="00000000">
            <w:pPr>
              <w:pStyle w:val="Prrafodelista"/>
              <w:numPr>
                <w:ilvl w:val="0"/>
                <w:numId w:val="2"/>
              </w:numPr>
              <w:spacing w:after="40"/>
            </w:pPr>
            <w:r>
              <w:rPr>
                <w:sz w:val="20"/>
                <w:szCs w:val="20"/>
              </w:rPr>
              <w:t>Datos y energía, por rutas separadas.</w:t>
            </w:r>
          </w:p>
        </w:tc>
      </w:tr>
    </w:tbl>
    <w:p w14:paraId="0969BC90" w14:textId="77777777" w:rsidR="001C0CEA" w:rsidRDefault="001C0CEA">
      <w:pPr>
        <w:spacing w:after="120"/>
      </w:pPr>
    </w:p>
    <w:p w14:paraId="3873A22D" w14:textId="77777777" w:rsidR="001C0CEA" w:rsidRDefault="00000000">
      <w:pPr>
        <w:pStyle w:val="Ttulo1"/>
        <w:pageBreakBefore/>
      </w:pPr>
      <w:bookmarkStart w:id="18" w:name="_Toc241337899"/>
      <w:r>
        <w:lastRenderedPageBreak/>
        <w:t>5. Alimentación eléctrica</w:t>
      </w:r>
      <w:bookmarkEnd w:id="18"/>
    </w:p>
    <w:p w14:paraId="47216539" w14:textId="77777777" w:rsidR="001C0CEA" w:rsidRDefault="00000000">
      <w:pPr>
        <w:spacing w:after="120"/>
        <w:jc w:val="both"/>
      </w:pPr>
      <w:r>
        <w:t xml:space="preserve">La energía es el recurso del que dependen todos los demás. Una interrupción de milisegundos basta para apagar servidores; por eso la cadena eléctrica de un CPD se diseña para </w:t>
      </w:r>
      <w:r>
        <w:rPr>
          <w:b/>
          <w:bCs/>
        </w:rPr>
        <w:t>no tener puntos únicos de fallo</w:t>
      </w:r>
      <w:r>
        <w:t xml:space="preserve"> en la medida que exija el nivel de disponibilidad objetivo.</w:t>
      </w:r>
    </w:p>
    <w:p w14:paraId="6735237B" w14:textId="77777777" w:rsidR="001C0CEA" w:rsidRDefault="00000000">
      <w:pPr>
        <w:jc w:val="center"/>
      </w:pPr>
      <w:r>
        <w:rPr>
          <w:noProof/>
        </w:rPr>
        <w:drawing>
          <wp:inline distT="0" distB="0" distL="0" distR="0" wp14:anchorId="42A127AF" wp14:editId="3B7C460E">
            <wp:extent cx="5715000" cy="2609850"/>
            <wp:effectExtent l="0" t="0" r="0" b="0"/>
            <wp:docPr id="1" name="Figura 1. Cadena de alimentación típica de un CPD." descr="Figura 1. Cadena de alimentación típica de un CPD." title="Figura 1. Cadena de alimentación típica de un CP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2609850"/>
                    </a:xfrm>
                    <a:prstGeom prst="rect">
                      <a:avLst/>
                    </a:prstGeom>
                  </pic:spPr>
                </pic:pic>
              </a:graphicData>
            </a:graphic>
          </wp:inline>
        </w:drawing>
      </w:r>
    </w:p>
    <w:p w14:paraId="7C9F1579" w14:textId="77777777" w:rsidR="001C0CEA" w:rsidRDefault="00000000">
      <w:pPr>
        <w:spacing w:after="160"/>
        <w:jc w:val="center"/>
      </w:pPr>
      <w:r>
        <w:rPr>
          <w:i/>
          <w:iCs/>
          <w:color w:val="595959"/>
          <w:sz w:val="18"/>
          <w:szCs w:val="18"/>
        </w:rPr>
        <w:t>Figura 1. Cadena de alimentación típica de un CPD.</w:t>
      </w:r>
    </w:p>
    <w:p w14:paraId="7E07C375" w14:textId="77777777" w:rsidR="001C0CEA" w:rsidRDefault="00000000">
      <w:pPr>
        <w:pStyle w:val="Ttulo2"/>
      </w:pPr>
      <w:bookmarkStart w:id="19" w:name="_Toc241337900"/>
      <w:r>
        <w:t>5.1. Suministro y distribución</w:t>
      </w:r>
      <w:bookmarkEnd w:id="19"/>
    </w:p>
    <w:p w14:paraId="0AE24D21" w14:textId="77777777" w:rsidR="001C0CEA" w:rsidRDefault="00000000">
      <w:pPr>
        <w:pStyle w:val="Prrafodelista"/>
        <w:numPr>
          <w:ilvl w:val="0"/>
          <w:numId w:val="2"/>
        </w:numPr>
        <w:spacing w:after="60"/>
      </w:pPr>
      <w:r>
        <w:rPr>
          <w:b/>
          <w:bCs/>
        </w:rPr>
        <w:t>Acometidas:</w:t>
      </w:r>
      <w:r>
        <w:t xml:space="preserve"> conexión a la red de la compañía, en media tensión en CPD grandes (con centro de transformación propio). Lo deseable son </w:t>
      </w:r>
      <w:r>
        <w:rPr>
          <w:b/>
          <w:bCs/>
        </w:rPr>
        <w:t>dos acometidas independientes</w:t>
      </w:r>
      <w:r>
        <w:t xml:space="preserve"> de subestaciones distintas.</w:t>
      </w:r>
    </w:p>
    <w:p w14:paraId="26B59493" w14:textId="77777777" w:rsidR="001C0CEA" w:rsidRDefault="00000000">
      <w:pPr>
        <w:pStyle w:val="Prrafodelista"/>
        <w:numPr>
          <w:ilvl w:val="0"/>
          <w:numId w:val="2"/>
        </w:numPr>
        <w:spacing w:after="60"/>
      </w:pPr>
      <w:r>
        <w:rPr>
          <w:b/>
          <w:bCs/>
        </w:rPr>
        <w:t>Cuadro General de Baja Tensión (CGBT)</w:t>
      </w:r>
      <w:r>
        <w:t xml:space="preserve"> y cuadros secundarios; </w:t>
      </w:r>
      <w:r>
        <w:rPr>
          <w:b/>
          <w:bCs/>
        </w:rPr>
        <w:t>circuitos independientes</w:t>
      </w:r>
      <w:r>
        <w:t xml:space="preserve"> para TI, climatización y servicios generales, de modo que una avería en uno no afecte a los demás.</w:t>
      </w:r>
    </w:p>
    <w:p w14:paraId="1F119DFA" w14:textId="77777777" w:rsidR="001C0CEA" w:rsidRDefault="00000000">
      <w:pPr>
        <w:pStyle w:val="Prrafodelista"/>
        <w:numPr>
          <w:ilvl w:val="0"/>
          <w:numId w:val="2"/>
        </w:numPr>
        <w:spacing w:after="60"/>
      </w:pPr>
      <w:r>
        <w:rPr>
          <w:b/>
          <w:bCs/>
        </w:rPr>
        <w:t>Distribución hasta el rack</w:t>
      </w:r>
      <w:r>
        <w:t xml:space="preserve"> mediante cuadros de sala o </w:t>
      </w:r>
      <w:r>
        <w:rPr>
          <w:b/>
          <w:bCs/>
        </w:rPr>
        <w:t>PDU</w:t>
      </w:r>
      <w:r>
        <w:t xml:space="preserve"> (</w:t>
      </w:r>
      <w:r>
        <w:rPr>
          <w:i/>
          <w:iCs/>
        </w:rPr>
        <w:t>Power Distribution Unit</w:t>
      </w:r>
      <w:r>
        <w:t>) y regletas de rack; en diseños redundantes cada rack recibe dos alimentaciones (</w:t>
      </w:r>
      <w:r>
        <w:rPr>
          <w:b/>
          <w:bCs/>
        </w:rPr>
        <w:t>fuente A y fuente B</w:t>
      </w:r>
      <w:r>
        <w:t>) y los equipos con doble fuente se conectan a ambas.</w:t>
      </w:r>
    </w:p>
    <w:p w14:paraId="01E639BE" w14:textId="77777777" w:rsidR="001C0CEA" w:rsidRDefault="00000000">
      <w:pPr>
        <w:pStyle w:val="Prrafodelista"/>
        <w:numPr>
          <w:ilvl w:val="0"/>
          <w:numId w:val="2"/>
        </w:numPr>
        <w:spacing w:after="60"/>
      </w:pPr>
      <w:r>
        <w:t xml:space="preserve">La instalación debe cumplir el </w:t>
      </w:r>
      <w:r>
        <w:rPr>
          <w:b/>
          <w:bCs/>
        </w:rPr>
        <w:t>Reglamento Electrotécnico para Baja Tensión</w:t>
      </w:r>
      <w:r>
        <w:t xml:space="preserve"> (REBT, Real Decreto 842/2002) y sus instrucciones técnicas complementarias.</w:t>
      </w:r>
    </w:p>
    <w:p w14:paraId="7841F128" w14:textId="77777777" w:rsidR="001C0CEA" w:rsidRDefault="00000000">
      <w:pPr>
        <w:pStyle w:val="Ttulo2"/>
      </w:pPr>
      <w:bookmarkStart w:id="20" w:name="_Toc241337901"/>
      <w:r>
        <w:t>5.2. Calidad de la energía y protecciones</w:t>
      </w:r>
      <w:bookmarkEnd w:id="20"/>
    </w:p>
    <w:p w14:paraId="14CD8226" w14:textId="77777777" w:rsidR="001C0CEA" w:rsidRDefault="00000000">
      <w:pPr>
        <w:pStyle w:val="Prrafodelista"/>
        <w:numPr>
          <w:ilvl w:val="0"/>
          <w:numId w:val="2"/>
        </w:numPr>
        <w:spacing w:after="60"/>
      </w:pPr>
      <w:r>
        <w:rPr>
          <w:b/>
          <w:bCs/>
        </w:rPr>
        <w:t>Perturbaciones:</w:t>
      </w:r>
      <w:r>
        <w:t xml:space="preserve"> cortes, microcortes, huecos de tensión, sobretensiones (transitorias y permanentes), armónicos, variaciones de frecuencia.</w:t>
      </w:r>
    </w:p>
    <w:p w14:paraId="2B06A487" w14:textId="77777777" w:rsidR="001C0CEA" w:rsidRDefault="00000000">
      <w:pPr>
        <w:pStyle w:val="Prrafodelista"/>
        <w:numPr>
          <w:ilvl w:val="0"/>
          <w:numId w:val="2"/>
        </w:numPr>
        <w:spacing w:after="60"/>
      </w:pPr>
      <w:r>
        <w:rPr>
          <w:b/>
          <w:bCs/>
        </w:rPr>
        <w:t>Protección contra sobretensiones:</w:t>
      </w:r>
      <w:r>
        <w:t xml:space="preserve"> limitadores/descargadores escalonados (tipos 1, 2 y 3) desde la cabecera hasta los cuadros finales, además de protección contra el rayo del edificio.</w:t>
      </w:r>
    </w:p>
    <w:p w14:paraId="38E295C7" w14:textId="77777777" w:rsidR="001C0CEA" w:rsidRDefault="00000000">
      <w:pPr>
        <w:pStyle w:val="Prrafodelista"/>
        <w:numPr>
          <w:ilvl w:val="0"/>
          <w:numId w:val="2"/>
        </w:numPr>
        <w:spacing w:after="60"/>
      </w:pPr>
      <w:r>
        <w:rPr>
          <w:b/>
          <w:bCs/>
        </w:rPr>
        <w:t>Puesta a tierra:</w:t>
      </w:r>
      <w:r>
        <w:t xml:space="preserve"> sistema de tierras equipotencial que protege a las personas y a los equipos y reduce ruido eléctrico; los racks y bandejas se conectan a la red de tierra.</w:t>
      </w:r>
    </w:p>
    <w:p w14:paraId="6798B8C0" w14:textId="77777777" w:rsidR="001C0CEA" w:rsidRDefault="00000000">
      <w:pPr>
        <w:pStyle w:val="Prrafodelista"/>
        <w:numPr>
          <w:ilvl w:val="0"/>
          <w:numId w:val="2"/>
        </w:numPr>
        <w:spacing w:after="60"/>
      </w:pPr>
      <w:r>
        <w:rPr>
          <w:b/>
          <w:bCs/>
        </w:rPr>
        <w:t>Selectividad</w:t>
      </w:r>
      <w:r>
        <w:t xml:space="preserve"> de protecciones: que dispare solo el interruptor más próximo a la falta.</w:t>
      </w:r>
    </w:p>
    <w:p w14:paraId="68F48633" w14:textId="77777777" w:rsidR="001C0CEA" w:rsidRDefault="00000000">
      <w:pPr>
        <w:pStyle w:val="Ttulo2"/>
      </w:pPr>
      <w:bookmarkStart w:id="21" w:name="_Toc241337902"/>
      <w:r>
        <w:t>5.3. Sistemas de Alimentación Ininterrumpida (SAI / UPS)</w:t>
      </w:r>
      <w:bookmarkEnd w:id="21"/>
    </w:p>
    <w:p w14:paraId="07CD3450" w14:textId="77777777" w:rsidR="001C0CEA" w:rsidRDefault="00000000">
      <w:pPr>
        <w:spacing w:after="120"/>
        <w:jc w:val="both"/>
      </w:pPr>
      <w:r>
        <w:rPr>
          <w:b/>
          <w:bCs/>
        </w:rPr>
        <w:t>SAI</w:t>
      </w:r>
      <w:r>
        <w:t xml:space="preserve"> significa </w:t>
      </w:r>
      <w:r>
        <w:rPr>
          <w:b/>
          <w:bCs/>
        </w:rPr>
        <w:t>Sistema de Alimentación Ininterrumpida</w:t>
      </w:r>
      <w:r>
        <w:t xml:space="preserve">; en inglés </w:t>
      </w:r>
      <w:r>
        <w:rPr>
          <w:b/>
          <w:bCs/>
        </w:rPr>
        <w:t>UPS</w:t>
      </w:r>
      <w:r>
        <w:t xml:space="preserve">, </w:t>
      </w:r>
      <w:r>
        <w:rPr>
          <w:i/>
          <w:iCs/>
        </w:rPr>
        <w:t>Uninterruptible Power Supply</w:t>
      </w:r>
      <w:r>
        <w:t xml:space="preserve">. Es el equipo que, mediante baterías (u otros acumuladores), mantiene la alimentación de la carga sin interrupción cuando falla la red, y además la </w:t>
      </w:r>
      <w:r>
        <w:rPr>
          <w:b/>
          <w:bCs/>
        </w:rPr>
        <w:t>acondiciona</w:t>
      </w:r>
      <w:r>
        <w:t xml:space="preserve"> (filtra perturbaciones). Su misión principal </w:t>
      </w:r>
      <w:r>
        <w:lastRenderedPageBreak/>
        <w:t xml:space="preserve">en un CPD no es dar horas de autonomía, sino </w:t>
      </w:r>
      <w:r>
        <w:rPr>
          <w:b/>
          <w:bCs/>
        </w:rPr>
        <w:t>cubrir el hueco</w:t>
      </w:r>
      <w:r>
        <w:t xml:space="preserve"> entre el corte y la entrada del grupo electrógeno, o permitir un apagado ordenado.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0"/>
        <w:gridCol w:w="3726"/>
        <w:gridCol w:w="2200"/>
      </w:tblGrid>
      <w:tr w:rsidR="001C0CEA" w14:paraId="5508868D" w14:textId="77777777">
        <w:trPr>
          <w:tblHeader/>
        </w:trPr>
        <w:tc>
          <w:tcPr>
            <w:tcW w:w="31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665C961C" w14:textId="77777777" w:rsidR="001C0CEA" w:rsidRDefault="00000000">
            <w:r>
              <w:rPr>
                <w:b/>
                <w:bCs/>
                <w:color w:val="FFFFFF"/>
                <w:sz w:val="19"/>
                <w:szCs w:val="19"/>
              </w:rPr>
              <w:t>Tipo de SAI (clasificación EN/IEC 62040-3)</w:t>
            </w:r>
          </w:p>
        </w:tc>
        <w:tc>
          <w:tcPr>
            <w:tcW w:w="3726"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08F7A118" w14:textId="77777777" w:rsidR="001C0CEA" w:rsidRDefault="00000000">
            <w:r>
              <w:rPr>
                <w:b/>
                <w:bCs/>
                <w:color w:val="FFFFFF"/>
                <w:sz w:val="19"/>
                <w:szCs w:val="19"/>
              </w:rPr>
              <w:t>Funcionamiento</w:t>
            </w:r>
          </w:p>
        </w:tc>
        <w:tc>
          <w:tcPr>
            <w:tcW w:w="22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1EEBBEEF" w14:textId="77777777" w:rsidR="001C0CEA" w:rsidRDefault="00000000">
            <w:r>
              <w:rPr>
                <w:b/>
                <w:bCs/>
                <w:color w:val="FFFFFF"/>
                <w:sz w:val="19"/>
                <w:szCs w:val="19"/>
              </w:rPr>
              <w:t>Uso</w:t>
            </w:r>
          </w:p>
        </w:tc>
      </w:tr>
      <w:tr w:rsidR="001C0CEA" w14:paraId="58A8221C" w14:textId="77777777">
        <w:tc>
          <w:tcPr>
            <w:tcW w:w="3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31EC41C" w14:textId="77777777" w:rsidR="001C0CEA" w:rsidRDefault="00000000">
            <w:r>
              <w:rPr>
                <w:sz w:val="19"/>
                <w:szCs w:val="19"/>
              </w:rPr>
              <w:t>Off-line / standby (VFD)</w:t>
            </w:r>
          </w:p>
        </w:tc>
        <w:tc>
          <w:tcPr>
            <w:tcW w:w="37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E564DCD" w14:textId="77777777" w:rsidR="001C0CEA" w:rsidRDefault="00000000">
            <w:r>
              <w:rPr>
                <w:sz w:val="19"/>
                <w:szCs w:val="19"/>
              </w:rPr>
              <w:t>La carga se alimenta de la red; al fallar, conmuta a inversor con un breve tiempo de transferencia</w:t>
            </w:r>
          </w:p>
        </w:tc>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FF36CF8" w14:textId="77777777" w:rsidR="001C0CEA" w:rsidRDefault="00000000">
            <w:r>
              <w:rPr>
                <w:sz w:val="19"/>
                <w:szCs w:val="19"/>
              </w:rPr>
              <w:t>Puestos de trabajo, pequeños equipos</w:t>
            </w:r>
          </w:p>
        </w:tc>
      </w:tr>
      <w:tr w:rsidR="001C0CEA" w14:paraId="42BAD4F5" w14:textId="77777777">
        <w:tc>
          <w:tcPr>
            <w:tcW w:w="3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53178F8" w14:textId="77777777" w:rsidR="001C0CEA" w:rsidRDefault="00000000">
            <w:r>
              <w:rPr>
                <w:sz w:val="19"/>
                <w:szCs w:val="19"/>
              </w:rPr>
              <w:t>Línea interactiva (VI)</w:t>
            </w:r>
          </w:p>
        </w:tc>
        <w:tc>
          <w:tcPr>
            <w:tcW w:w="37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5FA920C" w14:textId="77777777" w:rsidR="001C0CEA" w:rsidRDefault="00000000">
            <w:r>
              <w:rPr>
                <w:sz w:val="19"/>
                <w:szCs w:val="19"/>
              </w:rPr>
              <w:t>Regula tensión con un autotransformador; conmuta a baterías en cortes</w:t>
            </w:r>
          </w:p>
        </w:tc>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8C18291" w14:textId="77777777" w:rsidR="001C0CEA" w:rsidRDefault="00000000">
            <w:r>
              <w:rPr>
                <w:sz w:val="19"/>
                <w:szCs w:val="19"/>
              </w:rPr>
              <w:t>Pequeños servidores, electrónica de red</w:t>
            </w:r>
          </w:p>
        </w:tc>
      </w:tr>
      <w:tr w:rsidR="001C0CEA" w14:paraId="70765E32" w14:textId="77777777">
        <w:tc>
          <w:tcPr>
            <w:tcW w:w="3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488A482" w14:textId="77777777" w:rsidR="001C0CEA" w:rsidRDefault="00000000">
            <w:r>
              <w:rPr>
                <w:sz w:val="19"/>
                <w:szCs w:val="19"/>
              </w:rPr>
              <w:t>On-line de doble conversión (VFI)</w:t>
            </w:r>
          </w:p>
        </w:tc>
        <w:tc>
          <w:tcPr>
            <w:tcW w:w="37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91BB91C" w14:textId="77777777" w:rsidR="001C0CEA" w:rsidRDefault="00000000">
            <w:r>
              <w:rPr>
                <w:sz w:val="19"/>
                <w:szCs w:val="19"/>
              </w:rPr>
              <w:t>La energía pasa siempre por rectificador e inversor: la salida es independiente de la entrada; transferencia cero</w:t>
            </w:r>
          </w:p>
        </w:tc>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799559E" w14:textId="77777777" w:rsidR="001C0CEA" w:rsidRDefault="00000000">
            <w:r>
              <w:rPr>
                <w:b/>
                <w:bCs/>
                <w:sz w:val="19"/>
                <w:szCs w:val="19"/>
              </w:rPr>
              <w:t>Estándar en CPD</w:t>
            </w:r>
          </w:p>
        </w:tc>
      </w:tr>
    </w:tbl>
    <w:p w14:paraId="08088F2A" w14:textId="77777777" w:rsidR="001C0CEA" w:rsidRDefault="001C0CEA">
      <w:pPr>
        <w:spacing w:after="120"/>
      </w:pPr>
    </w:p>
    <w:p w14:paraId="4B69006B" w14:textId="77777777" w:rsidR="001C0CEA" w:rsidRDefault="00000000">
      <w:pPr>
        <w:pStyle w:val="Prrafodelista"/>
        <w:numPr>
          <w:ilvl w:val="0"/>
          <w:numId w:val="2"/>
        </w:numPr>
        <w:spacing w:after="60"/>
      </w:pPr>
      <w:r>
        <w:rPr>
          <w:b/>
          <w:bCs/>
        </w:rPr>
        <w:t>Baterías:</w:t>
      </w:r>
      <w:r>
        <w:t xml:space="preserve"> tradicionalmente de plomo-ácido reguladas por válvula (VRLA); cada vez más de </w:t>
      </w:r>
      <w:r>
        <w:rPr>
          <w:b/>
          <w:bCs/>
        </w:rPr>
        <w:t>ion-litio</w:t>
      </w:r>
      <w:r>
        <w:t xml:space="preserve"> (menor peso y volumen, mayor vida útil). Requieren salas ventiladas y a temperatura controlada, y monitorización de su estado.</w:t>
      </w:r>
    </w:p>
    <w:p w14:paraId="1641F1A0" w14:textId="77777777" w:rsidR="001C0CEA" w:rsidRDefault="00000000">
      <w:pPr>
        <w:pStyle w:val="Prrafodelista"/>
        <w:numPr>
          <w:ilvl w:val="0"/>
          <w:numId w:val="2"/>
        </w:numPr>
        <w:spacing w:after="60"/>
      </w:pPr>
      <w:r>
        <w:rPr>
          <w:b/>
          <w:bCs/>
        </w:rPr>
        <w:t>By-pass</w:t>
      </w:r>
      <w:r>
        <w:t xml:space="preserve"> estático y de mantenimiento: permite alimentar la carga directamente desde la red si falla el SAI o para mantenerlo sin parar la carga.</w:t>
      </w:r>
    </w:p>
    <w:p w14:paraId="7ADF380D" w14:textId="77777777" w:rsidR="001C0CEA" w:rsidRDefault="00000000">
      <w:pPr>
        <w:pStyle w:val="Prrafodelista"/>
        <w:numPr>
          <w:ilvl w:val="0"/>
          <w:numId w:val="2"/>
        </w:numPr>
        <w:spacing w:after="60"/>
      </w:pPr>
      <w:r>
        <w:rPr>
          <w:b/>
          <w:bCs/>
        </w:rPr>
        <w:t>Configuraciones:</w:t>
      </w:r>
      <w:r>
        <w:t xml:space="preserve"> modulares (módulos en paralelo con redundancia N+1), paralelo redundante y sistemas </w:t>
      </w:r>
      <w:r>
        <w:rPr>
          <w:b/>
          <w:bCs/>
        </w:rPr>
        <w:t>2N</w:t>
      </w:r>
      <w:r>
        <w:t xml:space="preserve"> (dos SAI independientes alimentando fuentes A y B).</w:t>
      </w:r>
    </w:p>
    <w:p w14:paraId="60763C03" w14:textId="77777777" w:rsidR="001C0CEA" w:rsidRDefault="00000000">
      <w:pPr>
        <w:pStyle w:val="Prrafodelista"/>
        <w:numPr>
          <w:ilvl w:val="0"/>
          <w:numId w:val="2"/>
        </w:numPr>
        <w:spacing w:after="60"/>
      </w:pPr>
      <w:r>
        <w:rPr>
          <w:b/>
          <w:bCs/>
        </w:rPr>
        <w:t>STS</w:t>
      </w:r>
      <w:r>
        <w:t xml:space="preserve"> (</w:t>
      </w:r>
      <w:r>
        <w:rPr>
          <w:i/>
          <w:iCs/>
        </w:rPr>
        <w:t>Static Transfer Switch</w:t>
      </w:r>
      <w:r>
        <w:t>): conmutador estático que transfiere en milisegundos una carga de fuente única entre dos fuentes.</w:t>
      </w:r>
    </w:p>
    <w:p w14:paraId="32E93182" w14:textId="77777777" w:rsidR="001C0CEA" w:rsidRDefault="00000000">
      <w:pPr>
        <w:pStyle w:val="Ttulo2"/>
      </w:pPr>
      <w:bookmarkStart w:id="22" w:name="_Toc241337903"/>
      <w:r>
        <w:t>5.4. Grupos electrógenos</w:t>
      </w:r>
      <w:bookmarkEnd w:id="22"/>
    </w:p>
    <w:p w14:paraId="371D09B7" w14:textId="77777777" w:rsidR="001C0CEA" w:rsidRDefault="00000000">
      <w:pPr>
        <w:spacing w:after="120"/>
        <w:jc w:val="both"/>
      </w:pPr>
      <w:r>
        <w:t xml:space="preserve">El </w:t>
      </w:r>
      <w:r>
        <w:rPr>
          <w:b/>
          <w:bCs/>
        </w:rPr>
        <w:t>grupo electrógeno</w:t>
      </w:r>
      <w:r>
        <w:t xml:space="preserve"> (motor diésel o de gas acoplado a un alternador) proporciona energía de larga duración cuando falta la red. Arranca automáticamente al detectar el corte y, en unos segundos, alcanza tensión y frecuencia estables; el </w:t>
      </w:r>
      <w:r>
        <w:rPr>
          <w:b/>
          <w:bCs/>
        </w:rPr>
        <w:t>conmutador automático de transferencia (ATS)</w:t>
      </w:r>
      <w:r>
        <w:t xml:space="preserve"> pasa entonces la alimentación del CGBT a la salida del grupo. Durante ese intervalo la carga TI se sostiene gracias al SAI.</w:t>
      </w:r>
    </w:p>
    <w:p w14:paraId="700A81E0" w14:textId="77777777" w:rsidR="001C0CEA" w:rsidRDefault="00000000">
      <w:pPr>
        <w:pStyle w:val="Prrafodelista"/>
        <w:numPr>
          <w:ilvl w:val="0"/>
          <w:numId w:val="2"/>
        </w:numPr>
        <w:spacing w:after="60"/>
      </w:pPr>
      <w:r>
        <w:rPr>
          <w:b/>
          <w:bCs/>
        </w:rPr>
        <w:t>Autonomía:</w:t>
      </w:r>
      <w:r>
        <w:t xml:space="preserve"> depende del depósito de combustible (es habitual diseñar para decenas de horas) y de contratos de reabastecimiento.</w:t>
      </w:r>
    </w:p>
    <w:p w14:paraId="5E256AC1" w14:textId="77777777" w:rsidR="001C0CEA" w:rsidRDefault="00000000">
      <w:pPr>
        <w:pStyle w:val="Prrafodelista"/>
        <w:numPr>
          <w:ilvl w:val="0"/>
          <w:numId w:val="2"/>
        </w:numPr>
        <w:spacing w:after="60"/>
      </w:pPr>
      <w:r>
        <w:rPr>
          <w:b/>
          <w:bCs/>
        </w:rPr>
        <w:t>Redundancia:</w:t>
      </w:r>
      <w:r>
        <w:t xml:space="preserve"> varios grupos en paralelo (N+1) o dos sistemas independientes.</w:t>
      </w:r>
    </w:p>
    <w:p w14:paraId="5C7D5C08" w14:textId="77777777" w:rsidR="001C0CEA" w:rsidRDefault="00000000">
      <w:pPr>
        <w:pStyle w:val="Prrafodelista"/>
        <w:numPr>
          <w:ilvl w:val="0"/>
          <w:numId w:val="2"/>
        </w:numPr>
        <w:spacing w:after="60"/>
      </w:pPr>
      <w:r>
        <w:rPr>
          <w:b/>
          <w:bCs/>
        </w:rPr>
        <w:t>Mantenimiento y pruebas:</w:t>
      </w:r>
      <w:r>
        <w:t xml:space="preserve"> arranques periódicos y, sobre todo, </w:t>
      </w:r>
      <w:r>
        <w:rPr>
          <w:b/>
          <w:bCs/>
        </w:rPr>
        <w:t>pruebas con carga real</w:t>
      </w:r>
      <w:r>
        <w:t>; un grupo que nunca se prueba con carga es un riesgo.</w:t>
      </w:r>
    </w:p>
    <w:p w14:paraId="50408AA7" w14:textId="77777777" w:rsidR="001C0CEA" w:rsidRDefault="00000000">
      <w:pPr>
        <w:pStyle w:val="Prrafodelista"/>
        <w:numPr>
          <w:ilvl w:val="0"/>
          <w:numId w:val="2"/>
        </w:numPr>
        <w:spacing w:after="60"/>
      </w:pPr>
      <w:r>
        <w:rPr>
          <w:b/>
          <w:bCs/>
        </w:rPr>
        <w:t>Transferencia de retorno:</w:t>
      </w:r>
      <w:r>
        <w:t xml:space="preserve"> cuando vuelve la red, el ATS retorna tras un tiempo de estabilización.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C0CEA" w14:paraId="3BD467D0" w14:textId="77777777">
        <w:trPr>
          <w:cantSplit/>
        </w:trPr>
        <w:tc>
          <w:tcPr>
            <w:tcW w:w="9026" w:type="dxa"/>
            <w:tcBorders>
              <w:top w:val="single" w:sz="12" w:space="0" w:color="548235"/>
              <w:left w:val="single" w:sz="12" w:space="0" w:color="548235"/>
              <w:bottom w:val="single" w:sz="12" w:space="0" w:color="548235"/>
              <w:right w:val="single" w:sz="12" w:space="0" w:color="548235"/>
            </w:tcBorders>
            <w:shd w:val="clear" w:color="auto" w:fill="E2EFD9"/>
            <w:tcMar>
              <w:top w:w="120" w:type="dxa"/>
              <w:left w:w="160" w:type="dxa"/>
              <w:bottom w:w="120" w:type="dxa"/>
              <w:right w:w="160" w:type="dxa"/>
            </w:tcMar>
          </w:tcPr>
          <w:p w14:paraId="57140A26" w14:textId="77777777" w:rsidR="001C0CEA" w:rsidRDefault="00000000">
            <w:pPr>
              <w:spacing w:after="80"/>
            </w:pPr>
            <w:r>
              <w:rPr>
                <w:b/>
                <w:bCs/>
                <w:color w:val="548235"/>
              </w:rPr>
              <w:t>Caso práctico: fallo del suministro eléctrico</w:t>
            </w:r>
          </w:p>
          <w:p w14:paraId="36D639B5" w14:textId="77777777" w:rsidR="001C0CEA" w:rsidRDefault="00000000">
            <w:pPr>
              <w:pStyle w:val="Prrafodelista"/>
              <w:numPr>
                <w:ilvl w:val="0"/>
                <w:numId w:val="2"/>
              </w:numPr>
              <w:spacing w:after="40"/>
            </w:pPr>
            <w:r>
              <w:rPr>
                <w:sz w:val="20"/>
                <w:szCs w:val="20"/>
              </w:rPr>
              <w:t xml:space="preserve">Instante 0: cae la acometida. El SAI on-line sigue alimentando la carga desde baterías </w:t>
            </w:r>
            <w:r>
              <w:rPr>
                <w:b/>
                <w:bCs/>
                <w:sz w:val="20"/>
                <w:szCs w:val="20"/>
              </w:rPr>
              <w:t>sin ninguna interrupción</w:t>
            </w:r>
            <w:r>
              <w:rPr>
                <w:sz w:val="20"/>
                <w:szCs w:val="20"/>
              </w:rPr>
              <w:t>.</w:t>
            </w:r>
          </w:p>
          <w:p w14:paraId="5370AFCA" w14:textId="77777777" w:rsidR="001C0CEA" w:rsidRDefault="00000000">
            <w:pPr>
              <w:pStyle w:val="Prrafodelista"/>
              <w:numPr>
                <w:ilvl w:val="0"/>
                <w:numId w:val="2"/>
              </w:numPr>
              <w:spacing w:after="40"/>
            </w:pPr>
            <w:r>
              <w:rPr>
                <w:sz w:val="20"/>
                <w:szCs w:val="20"/>
              </w:rPr>
              <w:t>Segundos después: el grupo electrógeno arranca y se estabiliza; el ATS transfiere el CGBT al grupo. El SAI vuelve a alimentarse del grupo y recarga baterías.</w:t>
            </w:r>
          </w:p>
          <w:p w14:paraId="2514CCD3" w14:textId="77777777" w:rsidR="001C0CEA" w:rsidRDefault="00000000">
            <w:pPr>
              <w:pStyle w:val="Prrafodelista"/>
              <w:numPr>
                <w:ilvl w:val="0"/>
                <w:numId w:val="2"/>
              </w:numPr>
              <w:spacing w:after="40"/>
            </w:pPr>
            <w:r>
              <w:rPr>
                <w:sz w:val="20"/>
                <w:szCs w:val="20"/>
              </w:rPr>
              <w:t>Durante el evento: la monitorización (DCIM/BMS) genera alarmas; operación registra el evento y vigila autonomía de combustible y temperaturas (la climatización también depende del grupo).</w:t>
            </w:r>
          </w:p>
          <w:p w14:paraId="2A027878" w14:textId="77777777" w:rsidR="001C0CEA" w:rsidRDefault="00000000">
            <w:pPr>
              <w:pStyle w:val="Prrafodelista"/>
              <w:numPr>
                <w:ilvl w:val="0"/>
                <w:numId w:val="2"/>
              </w:numPr>
              <w:spacing w:after="40"/>
            </w:pPr>
            <w:r>
              <w:rPr>
                <w:sz w:val="20"/>
                <w:szCs w:val="20"/>
              </w:rPr>
              <w:t>Si el grupo no arranca: el SAI aguanta solo los minutos de autonomía de baterías → debe activarse el procedimiento de apagado ordenado por prioridades y, si procede, el plan de continuidad.</w:t>
            </w:r>
          </w:p>
        </w:tc>
      </w:tr>
    </w:tbl>
    <w:p w14:paraId="5E9F76B2" w14:textId="77777777" w:rsidR="001C0CEA" w:rsidRDefault="001C0CEA">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C0CEA" w14:paraId="510ABF47" w14:textId="77777777">
        <w:trPr>
          <w:cantSplit/>
        </w:trPr>
        <w:tc>
          <w:tcPr>
            <w:tcW w:w="9026" w:type="dxa"/>
            <w:tcBorders>
              <w:top w:val="single" w:sz="12" w:space="0" w:color="BF9000"/>
              <w:left w:val="single" w:sz="12" w:space="0" w:color="BF9000"/>
              <w:bottom w:val="single" w:sz="12" w:space="0" w:color="BF9000"/>
              <w:right w:val="single" w:sz="12" w:space="0" w:color="BF9000"/>
            </w:tcBorders>
            <w:shd w:val="clear" w:color="auto" w:fill="FFF2CC"/>
            <w:tcMar>
              <w:top w:w="120" w:type="dxa"/>
              <w:left w:w="160" w:type="dxa"/>
              <w:bottom w:w="120" w:type="dxa"/>
              <w:right w:w="160" w:type="dxa"/>
            </w:tcMar>
          </w:tcPr>
          <w:p w14:paraId="2699663A" w14:textId="77777777" w:rsidR="001C0CEA" w:rsidRDefault="00000000">
            <w:pPr>
              <w:spacing w:after="80"/>
            </w:pPr>
            <w:r>
              <w:rPr>
                <w:b/>
                <w:bCs/>
                <w:color w:val="7F6000"/>
              </w:rPr>
              <w:lastRenderedPageBreak/>
              <w:t>Claves para el examen</w:t>
            </w:r>
          </w:p>
          <w:p w14:paraId="65F3978F" w14:textId="77777777" w:rsidR="001C0CEA" w:rsidRDefault="00000000">
            <w:pPr>
              <w:pStyle w:val="Prrafodelista"/>
              <w:numPr>
                <w:ilvl w:val="0"/>
                <w:numId w:val="2"/>
              </w:numPr>
              <w:spacing w:after="40"/>
            </w:pPr>
            <w:r>
              <w:rPr>
                <w:b/>
                <w:bCs/>
                <w:sz w:val="20"/>
                <w:szCs w:val="20"/>
              </w:rPr>
              <w:t>SAI = Sistema de Alimentación Ininterrumpida (UPS, Uninterruptible Power Supply).</w:t>
            </w:r>
          </w:p>
          <w:p w14:paraId="4D0A36A5" w14:textId="77777777" w:rsidR="001C0CEA" w:rsidRDefault="00000000">
            <w:pPr>
              <w:pStyle w:val="Prrafodelista"/>
              <w:numPr>
                <w:ilvl w:val="0"/>
                <w:numId w:val="2"/>
              </w:numPr>
              <w:spacing w:after="40"/>
            </w:pPr>
            <w:r>
              <w:rPr>
                <w:sz w:val="20"/>
                <w:szCs w:val="20"/>
              </w:rPr>
              <w:t xml:space="preserve">En CPD se usa el SAI </w:t>
            </w:r>
            <w:r>
              <w:rPr>
                <w:b/>
                <w:bCs/>
                <w:sz w:val="20"/>
                <w:szCs w:val="20"/>
              </w:rPr>
              <w:t>on-line de doble conversión</w:t>
            </w:r>
            <w:r>
              <w:rPr>
                <w:sz w:val="20"/>
                <w:szCs w:val="20"/>
              </w:rPr>
              <w:t xml:space="preserve"> (VFI): transferencia cero.</w:t>
            </w:r>
          </w:p>
          <w:p w14:paraId="1BDF2EC9" w14:textId="77777777" w:rsidR="001C0CEA" w:rsidRDefault="00000000">
            <w:pPr>
              <w:pStyle w:val="Prrafodelista"/>
              <w:numPr>
                <w:ilvl w:val="0"/>
                <w:numId w:val="2"/>
              </w:numPr>
              <w:spacing w:after="40"/>
            </w:pPr>
            <w:r>
              <w:rPr>
                <w:sz w:val="20"/>
                <w:szCs w:val="20"/>
              </w:rPr>
              <w:t>SAI → cubre segundos/minutos; grupo electrógeno → cubre horas/días; ATS → conmuta red ↔ grupo; STS → conmuta estáticamente entre dos fuentes.</w:t>
            </w:r>
          </w:p>
          <w:p w14:paraId="5C129C80" w14:textId="77777777" w:rsidR="001C0CEA" w:rsidRDefault="00000000">
            <w:pPr>
              <w:pStyle w:val="Prrafodelista"/>
              <w:numPr>
                <w:ilvl w:val="0"/>
                <w:numId w:val="2"/>
              </w:numPr>
              <w:spacing w:after="40"/>
            </w:pPr>
            <w:r>
              <w:rPr>
                <w:sz w:val="20"/>
                <w:szCs w:val="20"/>
              </w:rPr>
              <w:t>Fuentes A/B en cada rack = redundancia hasta el equipo.</w:t>
            </w:r>
          </w:p>
        </w:tc>
      </w:tr>
    </w:tbl>
    <w:p w14:paraId="2458EC66" w14:textId="77777777" w:rsidR="001C0CEA" w:rsidRDefault="001C0CEA">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C0CEA" w14:paraId="35290CE4" w14:textId="77777777">
        <w:trPr>
          <w:cantSplit/>
        </w:trPr>
        <w:tc>
          <w:tcPr>
            <w:tcW w:w="9026" w:type="dxa"/>
            <w:tcBorders>
              <w:top w:val="single" w:sz="12" w:space="0" w:color="C00000"/>
              <w:left w:val="single" w:sz="12" w:space="0" w:color="C00000"/>
              <w:bottom w:val="single" w:sz="12" w:space="0" w:color="C00000"/>
              <w:right w:val="single" w:sz="12" w:space="0" w:color="C00000"/>
            </w:tcBorders>
            <w:shd w:val="clear" w:color="auto" w:fill="FBE4E4"/>
            <w:tcMar>
              <w:top w:w="120" w:type="dxa"/>
              <w:left w:w="160" w:type="dxa"/>
              <w:bottom w:w="120" w:type="dxa"/>
              <w:right w:w="160" w:type="dxa"/>
            </w:tcMar>
          </w:tcPr>
          <w:p w14:paraId="0271C439" w14:textId="77777777" w:rsidR="001C0CEA" w:rsidRDefault="00000000">
            <w:pPr>
              <w:spacing w:after="80"/>
            </w:pPr>
            <w:r>
              <w:rPr>
                <w:b/>
                <w:bCs/>
                <w:color w:val="C00000"/>
              </w:rPr>
              <w:t>Posibles trampas de test</w:t>
            </w:r>
          </w:p>
          <w:p w14:paraId="618176E7" w14:textId="77777777" w:rsidR="001C0CEA" w:rsidRDefault="00000000">
            <w:pPr>
              <w:pStyle w:val="Prrafodelista"/>
              <w:numPr>
                <w:ilvl w:val="0"/>
                <w:numId w:val="2"/>
              </w:numPr>
              <w:spacing w:after="40"/>
            </w:pPr>
            <w:r>
              <w:rPr>
                <w:sz w:val="20"/>
                <w:szCs w:val="20"/>
              </w:rPr>
              <w:t xml:space="preserve">Opciones como «Origen de alimentación ininterrumpido» o «Sistema de protección ininterrumpido» son distractores: la palabra correcta es </w:t>
            </w:r>
            <w:r>
              <w:rPr>
                <w:b/>
                <w:bCs/>
                <w:sz w:val="20"/>
                <w:szCs w:val="20"/>
              </w:rPr>
              <w:t>Sistema de Alimentación</w:t>
            </w:r>
            <w:r>
              <w:rPr>
                <w:sz w:val="20"/>
                <w:szCs w:val="20"/>
              </w:rPr>
              <w:t>.</w:t>
            </w:r>
          </w:p>
          <w:p w14:paraId="3EBB5E9A" w14:textId="77777777" w:rsidR="001C0CEA" w:rsidRDefault="00000000">
            <w:pPr>
              <w:pStyle w:val="Prrafodelista"/>
              <w:numPr>
                <w:ilvl w:val="0"/>
                <w:numId w:val="2"/>
              </w:numPr>
              <w:spacing w:after="40"/>
            </w:pPr>
            <w:r>
              <w:rPr>
                <w:sz w:val="20"/>
                <w:szCs w:val="20"/>
              </w:rPr>
              <w:t>El SAI no sustituye al grupo electrógeno; su autonomía es corta.</w:t>
            </w:r>
          </w:p>
        </w:tc>
      </w:tr>
    </w:tbl>
    <w:p w14:paraId="02E06398" w14:textId="77777777" w:rsidR="001C0CEA" w:rsidRDefault="001C0CEA">
      <w:pPr>
        <w:spacing w:after="120"/>
      </w:pPr>
    </w:p>
    <w:p w14:paraId="75596CBF" w14:textId="77777777" w:rsidR="001C0CEA" w:rsidRDefault="00000000">
      <w:pPr>
        <w:pStyle w:val="Ttulo1"/>
        <w:pageBreakBefore/>
      </w:pPr>
      <w:bookmarkStart w:id="23" w:name="_Toc241337904"/>
      <w:r>
        <w:lastRenderedPageBreak/>
        <w:t>6. Climatización</w:t>
      </w:r>
      <w:bookmarkEnd w:id="23"/>
    </w:p>
    <w:p w14:paraId="02ADD3E1" w14:textId="77777777" w:rsidR="001C0CEA" w:rsidRDefault="00000000">
      <w:pPr>
        <w:spacing w:after="120"/>
        <w:jc w:val="both"/>
      </w:pPr>
      <w:r>
        <w:t>Toda la energía que consumen los equipos TI se convierte en calor. La climatización debe evacuarlo manteniendo la temperatura y humedad del aire de entrada a los equipos dentro de márgenes seguros, con redundancia y con el menor consumo posible.</w:t>
      </w:r>
    </w:p>
    <w:p w14:paraId="61A605ED" w14:textId="77777777" w:rsidR="001C0CEA" w:rsidRDefault="00000000">
      <w:pPr>
        <w:pStyle w:val="Ttulo2"/>
      </w:pPr>
      <w:bookmarkStart w:id="24" w:name="_Toc241337905"/>
      <w:r>
        <w:t>6.1. Temperatura y humedad</w:t>
      </w:r>
      <w:bookmarkEnd w:id="24"/>
    </w:p>
    <w:p w14:paraId="393E2EDD" w14:textId="77777777" w:rsidR="001C0CEA" w:rsidRDefault="00000000">
      <w:pPr>
        <w:spacing w:after="120"/>
        <w:jc w:val="both"/>
      </w:pPr>
      <w:r>
        <w:t xml:space="preserve">La referencia internacional son las </w:t>
      </w:r>
      <w:r>
        <w:rPr>
          <w:b/>
          <w:bCs/>
        </w:rPr>
        <w:t>directrices térmicas de ASHRAE TC 9.9</w:t>
      </w:r>
      <w:r>
        <w:t xml:space="preserve">. Para la mayoría de equipos de clase A1–A4, la envolvente </w:t>
      </w:r>
      <w:r>
        <w:rPr>
          <w:b/>
          <w:bCs/>
        </w:rPr>
        <w:t>recomendada</w:t>
      </w:r>
      <w:r>
        <w:t xml:space="preserve"> de temperatura del aire de </w:t>
      </w:r>
      <w:r>
        <w:rPr>
          <w:b/>
          <w:bCs/>
        </w:rPr>
        <w:t>entrada</w:t>
      </w:r>
      <w:r>
        <w:t xml:space="preserve"> a los equipos es de aproximadamente </w:t>
      </w:r>
      <w:r>
        <w:rPr>
          <w:b/>
          <w:bCs/>
        </w:rPr>
        <w:t>18 °C a 27 °C</w:t>
      </w:r>
      <w:r>
        <w:t xml:space="preserve">, con límites de humedad expresados en punto de rocío y humedad relativa. ANSI/TIA-942-C convierte en </w:t>
      </w:r>
      <w:r>
        <w:rPr>
          <w:b/>
          <w:bCs/>
        </w:rPr>
        <w:t>requisito</w:t>
      </w:r>
      <w:r>
        <w:t xml:space="preserve"> cumplir las envolventes recomendadas de ASHRAE (y la clase H1 para equipos de alta densidad refrigerados por aire).</w:t>
      </w:r>
    </w:p>
    <w:p w14:paraId="2198B5FE" w14:textId="77777777" w:rsidR="001C0CEA" w:rsidRDefault="00000000">
      <w:pPr>
        <w:pStyle w:val="Prrafodelista"/>
        <w:numPr>
          <w:ilvl w:val="0"/>
          <w:numId w:val="2"/>
        </w:numPr>
        <w:spacing w:after="60"/>
      </w:pPr>
      <w:r>
        <w:t xml:space="preserve">Humedad demasiado </w:t>
      </w:r>
      <w:r>
        <w:rPr>
          <w:b/>
          <w:bCs/>
        </w:rPr>
        <w:t>baja</w:t>
      </w:r>
      <w:r>
        <w:t xml:space="preserve"> → riesgo de descargas electrostáticas.</w:t>
      </w:r>
    </w:p>
    <w:p w14:paraId="7A8AA5B7" w14:textId="77777777" w:rsidR="001C0CEA" w:rsidRDefault="00000000">
      <w:pPr>
        <w:pStyle w:val="Prrafodelista"/>
        <w:numPr>
          <w:ilvl w:val="0"/>
          <w:numId w:val="2"/>
        </w:numPr>
        <w:spacing w:after="60"/>
      </w:pPr>
      <w:r>
        <w:t xml:space="preserve">Humedad demasiado </w:t>
      </w:r>
      <w:r>
        <w:rPr>
          <w:b/>
          <w:bCs/>
        </w:rPr>
        <w:t>alta</w:t>
      </w:r>
      <w:r>
        <w:t xml:space="preserve"> → condensación y corrosión.</w:t>
      </w:r>
    </w:p>
    <w:p w14:paraId="34045285" w14:textId="77777777" w:rsidR="001C0CEA" w:rsidRDefault="00000000">
      <w:pPr>
        <w:pStyle w:val="Prrafodelista"/>
        <w:numPr>
          <w:ilvl w:val="0"/>
          <w:numId w:val="2"/>
        </w:numPr>
        <w:spacing w:after="60"/>
      </w:pPr>
      <w:r>
        <w:t xml:space="preserve">Lo que importa es la temperatura </w:t>
      </w:r>
      <w:r>
        <w:rPr>
          <w:b/>
          <w:bCs/>
        </w:rPr>
        <w:t>a la entrada del equipo</w:t>
      </w:r>
      <w:r>
        <w:t>, no la media de la sala.</w:t>
      </w:r>
    </w:p>
    <w:p w14:paraId="24DE87AB" w14:textId="77777777" w:rsidR="001C0CEA" w:rsidRDefault="00000000">
      <w:pPr>
        <w:pStyle w:val="Ttulo2"/>
      </w:pPr>
      <w:bookmarkStart w:id="25" w:name="_Toc241337906"/>
      <w:r>
        <w:t>6.2. Sistemas de refrigeración</w:t>
      </w:r>
      <w:bookmarkEnd w:id="2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526"/>
      </w:tblGrid>
      <w:tr w:rsidR="001C0CEA" w14:paraId="79F179FE" w14:textId="77777777">
        <w:trPr>
          <w:tblHeader/>
        </w:trPr>
        <w:tc>
          <w:tcPr>
            <w:tcW w:w="35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08076C50" w14:textId="77777777" w:rsidR="001C0CEA" w:rsidRDefault="00000000">
            <w:r>
              <w:rPr>
                <w:b/>
                <w:bCs/>
                <w:color w:val="FFFFFF"/>
                <w:sz w:val="19"/>
                <w:szCs w:val="19"/>
              </w:rPr>
              <w:t>Sistema</w:t>
            </w:r>
          </w:p>
        </w:tc>
        <w:tc>
          <w:tcPr>
            <w:tcW w:w="5526"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1FD2ED97" w14:textId="77777777" w:rsidR="001C0CEA" w:rsidRDefault="00000000">
            <w:r>
              <w:rPr>
                <w:b/>
                <w:bCs/>
                <w:color w:val="FFFFFF"/>
                <w:sz w:val="19"/>
                <w:szCs w:val="19"/>
              </w:rPr>
              <w:t>Descripción</w:t>
            </w:r>
          </w:p>
        </w:tc>
      </w:tr>
      <w:tr w:rsidR="001C0CEA" w14:paraId="1BC19867" w14:textId="77777777">
        <w:tc>
          <w:tcPr>
            <w:tcW w:w="3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FE1F1B2" w14:textId="77777777" w:rsidR="001C0CEA" w:rsidRDefault="00000000">
            <w:r>
              <w:rPr>
                <w:sz w:val="19"/>
                <w:szCs w:val="19"/>
              </w:rPr>
              <w:t>CRAC (Computer Room Air Conditioner)</w:t>
            </w:r>
          </w:p>
        </w:tc>
        <w:tc>
          <w:tcPr>
            <w:tcW w:w="55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A020D35" w14:textId="77777777" w:rsidR="001C0CEA" w:rsidRDefault="00000000">
            <w:r>
              <w:rPr>
                <w:sz w:val="19"/>
                <w:szCs w:val="19"/>
              </w:rPr>
              <w:t>Equipo de precisión con compresor propio (expansión directa)</w:t>
            </w:r>
          </w:p>
        </w:tc>
      </w:tr>
      <w:tr w:rsidR="001C0CEA" w14:paraId="0DB87706" w14:textId="77777777">
        <w:tc>
          <w:tcPr>
            <w:tcW w:w="3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D005B57" w14:textId="77777777" w:rsidR="001C0CEA" w:rsidRDefault="00000000">
            <w:r>
              <w:rPr>
                <w:sz w:val="19"/>
                <w:szCs w:val="19"/>
              </w:rPr>
              <w:t>CRAH (Computer Room Air Handler)</w:t>
            </w:r>
          </w:p>
        </w:tc>
        <w:tc>
          <w:tcPr>
            <w:tcW w:w="55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1BD1416" w14:textId="77777777" w:rsidR="001C0CEA" w:rsidRDefault="00000000">
            <w:r>
              <w:rPr>
                <w:sz w:val="19"/>
                <w:szCs w:val="19"/>
              </w:rPr>
              <w:t>Unidad de tratamiento de aire alimentada con agua fría de enfriadoras (chillers)</w:t>
            </w:r>
          </w:p>
        </w:tc>
      </w:tr>
      <w:tr w:rsidR="001C0CEA" w14:paraId="287BD886" w14:textId="77777777">
        <w:tc>
          <w:tcPr>
            <w:tcW w:w="3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8BACB49" w14:textId="77777777" w:rsidR="001C0CEA" w:rsidRDefault="00000000">
            <w:r>
              <w:rPr>
                <w:sz w:val="19"/>
                <w:szCs w:val="19"/>
              </w:rPr>
              <w:t>Refrigeración en fila (in-row)</w:t>
            </w:r>
          </w:p>
        </w:tc>
        <w:tc>
          <w:tcPr>
            <w:tcW w:w="55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115B2DF" w14:textId="77777777" w:rsidR="001C0CEA" w:rsidRDefault="00000000">
            <w:r>
              <w:rPr>
                <w:sz w:val="19"/>
                <w:szCs w:val="19"/>
              </w:rPr>
              <w:t>Unidades intercaladas entre racks, próximas a la carga</w:t>
            </w:r>
          </w:p>
        </w:tc>
      </w:tr>
      <w:tr w:rsidR="001C0CEA" w14:paraId="320BD96F" w14:textId="77777777">
        <w:tc>
          <w:tcPr>
            <w:tcW w:w="3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22E5968" w14:textId="77777777" w:rsidR="001C0CEA" w:rsidRDefault="00000000">
            <w:r>
              <w:rPr>
                <w:sz w:val="19"/>
                <w:szCs w:val="19"/>
              </w:rPr>
              <w:t>Puertas traseras refrigeradas</w:t>
            </w:r>
          </w:p>
        </w:tc>
        <w:tc>
          <w:tcPr>
            <w:tcW w:w="55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728C49F" w14:textId="77777777" w:rsidR="001C0CEA" w:rsidRDefault="00000000">
            <w:r>
              <w:rPr>
                <w:sz w:val="19"/>
                <w:szCs w:val="19"/>
              </w:rPr>
              <w:t>Intercambiador en la puerta del rack</w:t>
            </w:r>
          </w:p>
        </w:tc>
      </w:tr>
      <w:tr w:rsidR="001C0CEA" w14:paraId="5B18CD81" w14:textId="77777777">
        <w:tc>
          <w:tcPr>
            <w:tcW w:w="3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BA150B8" w14:textId="77777777" w:rsidR="001C0CEA" w:rsidRDefault="00000000">
            <w:r>
              <w:rPr>
                <w:sz w:val="19"/>
                <w:szCs w:val="19"/>
              </w:rPr>
              <w:t>Refrigeración líquida</w:t>
            </w:r>
          </w:p>
        </w:tc>
        <w:tc>
          <w:tcPr>
            <w:tcW w:w="55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6A24AB5" w14:textId="77777777" w:rsidR="001C0CEA" w:rsidRDefault="00000000">
            <w:r>
              <w:rPr>
                <w:sz w:val="19"/>
                <w:szCs w:val="19"/>
              </w:rPr>
              <w:t>Directa al chip o por inmersión, para densidades muy altas (IA, HPC)</w:t>
            </w:r>
          </w:p>
        </w:tc>
      </w:tr>
    </w:tbl>
    <w:p w14:paraId="6190C034" w14:textId="77777777" w:rsidR="001C0CEA" w:rsidRDefault="001C0CEA">
      <w:pPr>
        <w:spacing w:after="120"/>
      </w:pPr>
    </w:p>
    <w:p w14:paraId="092A6BC7" w14:textId="77777777" w:rsidR="001C0CEA" w:rsidRDefault="00000000">
      <w:pPr>
        <w:spacing w:after="120"/>
        <w:jc w:val="both"/>
      </w:pPr>
      <w:r>
        <w:t xml:space="preserve">Los equipos de </w:t>
      </w:r>
      <w:r>
        <w:rPr>
          <w:b/>
          <w:bCs/>
        </w:rPr>
        <w:t>aire acondicionado de precisión</w:t>
      </w:r>
      <w:r>
        <w:t xml:space="preserve"> se diferencian del confort en que trabajan 24×7, controlan con precisión temperatura y humedad y tienen alta relación de calor sensible. Se instalan con </w:t>
      </w:r>
      <w:r>
        <w:rPr>
          <w:b/>
          <w:bCs/>
        </w:rPr>
        <w:t>redundancia</w:t>
      </w:r>
      <w:r>
        <w:t xml:space="preserve"> (N+1 o superior) para que la avería o el mantenimiento de una unidad no comprometa la sala.</w:t>
      </w:r>
    </w:p>
    <w:p w14:paraId="3B755F73" w14:textId="77777777" w:rsidR="001C0CEA" w:rsidRDefault="00000000">
      <w:pPr>
        <w:pStyle w:val="Ttulo2"/>
      </w:pPr>
      <w:bookmarkStart w:id="26" w:name="_Toc241337907"/>
      <w:r>
        <w:t>6.3. Densidad</w:t>
      </w:r>
      <w:bookmarkEnd w:id="26"/>
    </w:p>
    <w:p w14:paraId="20DB946C" w14:textId="77777777" w:rsidR="001C0CEA" w:rsidRDefault="00000000">
      <w:pPr>
        <w:spacing w:after="120"/>
        <w:jc w:val="both"/>
      </w:pPr>
      <w:r>
        <w:t>La densidad de potencia por rack condiciona la solución: densidades bajas y medias se resuelven con aire y contención; densidades altas requieren refrigeración de proximidad o líquida.</w:t>
      </w:r>
    </w:p>
    <w:p w14:paraId="22D9BE51" w14:textId="77777777" w:rsidR="001C0CEA" w:rsidRDefault="00000000">
      <w:pPr>
        <w:pStyle w:val="Ttulo2"/>
      </w:pPr>
      <w:bookmarkStart w:id="27" w:name="_Toc241337908"/>
      <w:r>
        <w:t>6.4. Pasillo frío / pasillo caliente y contención</w:t>
      </w:r>
      <w:bookmarkEnd w:id="27"/>
    </w:p>
    <w:p w14:paraId="1666DD0E" w14:textId="77777777" w:rsidR="001C0CEA" w:rsidRDefault="00000000">
      <w:pPr>
        <w:spacing w:after="120"/>
        <w:jc w:val="both"/>
      </w:pPr>
      <w:r>
        <w:t xml:space="preserve">La técnica de </w:t>
      </w:r>
      <w:r>
        <w:rPr>
          <w:b/>
          <w:bCs/>
        </w:rPr>
        <w:t>pasillo frío / pasillo caliente</w:t>
      </w:r>
      <w:r>
        <w:t xml:space="preserve"> consiste en alinear los racks en filas enfrentadas de modo que los </w:t>
      </w:r>
      <w:r>
        <w:rPr>
          <w:b/>
          <w:bCs/>
        </w:rPr>
        <w:t>frontales</w:t>
      </w:r>
      <w:r>
        <w:t xml:space="preserve"> (tomas de aire) den a un pasillo por el que se impulsa el aire frío y las </w:t>
      </w:r>
      <w:r>
        <w:rPr>
          <w:b/>
          <w:bCs/>
        </w:rPr>
        <w:t>traseras</w:t>
      </w:r>
      <w:r>
        <w:t xml:space="preserve"> (expulsión) den a otro pasillo del que se retira el aire caliente hacia las unidades de clima. Su objetivo es </w:t>
      </w:r>
      <w:r>
        <w:rPr>
          <w:b/>
          <w:bCs/>
        </w:rPr>
        <w:t>optimizar la climatización</w:t>
      </w:r>
      <w:r>
        <w:t>: evita que el aire caliente se mezcle con el frío y se recircule hacia las entradas de los equipos.</w:t>
      </w:r>
    </w:p>
    <w:p w14:paraId="033B1B56" w14:textId="77777777" w:rsidR="001C0CEA" w:rsidRDefault="00000000">
      <w:pPr>
        <w:jc w:val="center"/>
      </w:pPr>
      <w:r>
        <w:rPr>
          <w:noProof/>
        </w:rPr>
        <w:lastRenderedPageBreak/>
        <w:drawing>
          <wp:inline distT="0" distB="0" distL="0" distR="0" wp14:anchorId="29986CFD" wp14:editId="579A00F2">
            <wp:extent cx="5334000" cy="2552700"/>
            <wp:effectExtent l="0" t="0" r="0" b="0"/>
            <wp:docPr id="934030338" name="Figura 2. Disposición de pasillos fríos y calientes." descr="Figura 2. Disposición de pasillos fríos y calientes." title="Figura 2. Disposición de pasillos fríos y calien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2552700"/>
                    </a:xfrm>
                    <a:prstGeom prst="rect">
                      <a:avLst/>
                    </a:prstGeom>
                  </pic:spPr>
                </pic:pic>
              </a:graphicData>
            </a:graphic>
          </wp:inline>
        </w:drawing>
      </w:r>
    </w:p>
    <w:p w14:paraId="0D945D08" w14:textId="77777777" w:rsidR="001C0CEA" w:rsidRDefault="00000000">
      <w:pPr>
        <w:spacing w:after="160"/>
        <w:jc w:val="center"/>
      </w:pPr>
      <w:r>
        <w:rPr>
          <w:i/>
          <w:iCs/>
          <w:color w:val="595959"/>
          <w:sz w:val="18"/>
          <w:szCs w:val="18"/>
        </w:rPr>
        <w:t>Figura 2. Disposición de pasillos fríos y calientes.</w:t>
      </w:r>
    </w:p>
    <w:p w14:paraId="0FC1A486" w14:textId="77777777" w:rsidR="001C0CEA" w:rsidRDefault="00000000">
      <w:pPr>
        <w:pStyle w:val="Prrafodelista"/>
        <w:numPr>
          <w:ilvl w:val="0"/>
          <w:numId w:val="2"/>
        </w:numPr>
        <w:spacing w:after="60"/>
      </w:pPr>
      <w:r>
        <w:rPr>
          <w:b/>
          <w:bCs/>
        </w:rPr>
        <w:t>Contención de pasillo frío</w:t>
      </w:r>
      <w:r>
        <w:t xml:space="preserve"> (se cierra el pasillo frío con techo y puertas) o </w:t>
      </w:r>
      <w:r>
        <w:rPr>
          <w:b/>
          <w:bCs/>
        </w:rPr>
        <w:t>de pasillo caliente</w:t>
      </w:r>
      <w:r>
        <w:t xml:space="preserve"> (se confina el aire caliente y se conduce al retorno). Ambas mejoran la eficiencia y permiten subir temperaturas de impulsión.</w:t>
      </w:r>
    </w:p>
    <w:p w14:paraId="12D15E08" w14:textId="77777777" w:rsidR="001C0CEA" w:rsidRDefault="00000000">
      <w:pPr>
        <w:pStyle w:val="Prrafodelista"/>
        <w:numPr>
          <w:ilvl w:val="0"/>
          <w:numId w:val="2"/>
        </w:numPr>
        <w:spacing w:after="60"/>
      </w:pPr>
      <w:r>
        <w:t xml:space="preserve">Complementos imprescindibles: </w:t>
      </w:r>
      <w:r>
        <w:rPr>
          <w:b/>
          <w:bCs/>
        </w:rPr>
        <w:t>paneles ciegos</w:t>
      </w:r>
      <w:r>
        <w:t xml:space="preserve"> en huecos de los racks, sellado de pasamuros del suelo técnico y colocación correcta de baldosas perforadas solo en pasillos fríos.</w:t>
      </w:r>
    </w:p>
    <w:p w14:paraId="051118F9" w14:textId="77777777" w:rsidR="001C0CEA" w:rsidRDefault="00000000">
      <w:pPr>
        <w:pStyle w:val="Ttulo2"/>
      </w:pPr>
      <w:bookmarkStart w:id="28" w:name="_Toc241337909"/>
      <w:r>
        <w:t>6.5. Eficiencia: free cooling y Green CPD</w:t>
      </w:r>
      <w:bookmarkEnd w:id="28"/>
    </w:p>
    <w:p w14:paraId="7BF7C78B" w14:textId="77777777" w:rsidR="001C0CEA" w:rsidRDefault="00000000">
      <w:pPr>
        <w:spacing w:after="120"/>
        <w:jc w:val="both"/>
      </w:pPr>
      <w:r>
        <w:t xml:space="preserve">El </w:t>
      </w:r>
      <w:r>
        <w:rPr>
          <w:b/>
          <w:bCs/>
        </w:rPr>
        <w:t>free cooling</w:t>
      </w:r>
      <w:r>
        <w:t xml:space="preserve"> (enfriamiento gratuito) consiste en </w:t>
      </w:r>
      <w:r>
        <w:rPr>
          <w:b/>
          <w:bCs/>
        </w:rPr>
        <w:t>aprovechar las bajas temperaturas del aire exterior para climatizar el CPD</w:t>
      </w:r>
      <w:r>
        <w:t xml:space="preserve">, reduciendo o eliminando el uso de compresores; obviamente solo es posible cuando la temperatura exterior es inferior a la necesaria en el interior. Puede ser </w:t>
      </w:r>
      <w:r>
        <w:rPr>
          <w:b/>
          <w:bCs/>
        </w:rPr>
        <w:t>directo</w:t>
      </w:r>
      <w:r>
        <w:t xml:space="preserve"> (se introduce aire exterior filtrado) o </w:t>
      </w:r>
      <w:r>
        <w:rPr>
          <w:b/>
          <w:bCs/>
        </w:rPr>
        <w:t>indirecto</w:t>
      </w:r>
      <w:r>
        <w:t xml:space="preserve"> (el aire o el agua exterior enfrían el circuito interno mediante intercambiadores, sin mezclar aires). También existe el enfriamiento adiabático/evaporativo.</w:t>
      </w:r>
    </w:p>
    <w:p w14:paraId="6BAF1D73" w14:textId="77777777" w:rsidR="001C0CEA" w:rsidRDefault="00000000">
      <w:pPr>
        <w:spacing w:after="120"/>
        <w:jc w:val="both"/>
      </w:pPr>
      <w:r>
        <w:t xml:space="preserve">Forma parte del concepto de </w:t>
      </w:r>
      <w:r>
        <w:rPr>
          <w:b/>
          <w:bCs/>
        </w:rPr>
        <w:t>Green CPD</w:t>
      </w:r>
      <w:r>
        <w:t xml:space="preserve"> (CPD eficiente o sostenible), junto con la contención de pasillos, el aumento de las temperaturas de consigna dentro del rango ASHRAE, los ventiladores de velocidad variable, la virtualización y consolidación, el uso de energías renovables y la reutilización del calor residual. La medida más conocida de eficiencia de la infraestructura es el </w:t>
      </w:r>
      <w:r>
        <w:rPr>
          <w:b/>
          <w:bCs/>
        </w:rPr>
        <w:t>PUE</w:t>
      </w:r>
      <w:r>
        <w:t xml:space="preserve"> (apartado 28).</w:t>
      </w:r>
    </w:p>
    <w:p w14:paraId="3809ABA8" w14:textId="77777777" w:rsidR="001C0CEA" w:rsidRDefault="00000000">
      <w:pPr>
        <w:pStyle w:val="Ttulo2"/>
      </w:pPr>
      <w:bookmarkStart w:id="29" w:name="_Toc241337910"/>
      <w:r>
        <w:t>6.6. Monitorización ambiental</w:t>
      </w:r>
      <w:bookmarkEnd w:id="29"/>
    </w:p>
    <w:p w14:paraId="660B0EA4" w14:textId="77777777" w:rsidR="001C0CEA" w:rsidRDefault="00000000">
      <w:pPr>
        <w:spacing w:after="120"/>
        <w:jc w:val="both"/>
      </w:pPr>
      <w:r>
        <w:t xml:space="preserve">Sensores de temperatura (idealmente en la entrada de los racks, en varias alturas), humedad, presión diferencial, detección de fugas de agua y consumo; integrados en un sistema </w:t>
      </w:r>
      <w:r>
        <w:rPr>
          <w:b/>
          <w:bCs/>
        </w:rPr>
        <w:t>DCIM</w:t>
      </w:r>
      <w:r>
        <w:t xml:space="preserve"> o </w:t>
      </w:r>
      <w:r>
        <w:rPr>
          <w:b/>
          <w:bCs/>
        </w:rPr>
        <w:t>BMS</w:t>
      </w:r>
      <w:r>
        <w:t xml:space="preserve"> con alarmas por umbral.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C0CEA" w14:paraId="363AC375" w14:textId="77777777">
        <w:trPr>
          <w:cantSplit/>
        </w:trPr>
        <w:tc>
          <w:tcPr>
            <w:tcW w:w="9026" w:type="dxa"/>
            <w:tcBorders>
              <w:top w:val="single" w:sz="12" w:space="0" w:color="548235"/>
              <w:left w:val="single" w:sz="12" w:space="0" w:color="548235"/>
              <w:bottom w:val="single" w:sz="12" w:space="0" w:color="548235"/>
              <w:right w:val="single" w:sz="12" w:space="0" w:color="548235"/>
            </w:tcBorders>
            <w:shd w:val="clear" w:color="auto" w:fill="E2EFD9"/>
            <w:tcMar>
              <w:top w:w="120" w:type="dxa"/>
              <w:left w:w="160" w:type="dxa"/>
              <w:bottom w:w="120" w:type="dxa"/>
              <w:right w:w="160" w:type="dxa"/>
            </w:tcMar>
          </w:tcPr>
          <w:p w14:paraId="513D95C6" w14:textId="77777777" w:rsidR="001C0CEA" w:rsidRDefault="00000000">
            <w:pPr>
              <w:spacing w:after="80"/>
            </w:pPr>
            <w:r>
              <w:rPr>
                <w:b/>
                <w:bCs/>
                <w:color w:val="548235"/>
              </w:rPr>
              <w:t>Caso práctico: fallo de climatización</w:t>
            </w:r>
          </w:p>
          <w:p w14:paraId="42A7B1DC" w14:textId="77777777" w:rsidR="001C0CEA" w:rsidRDefault="00000000">
            <w:pPr>
              <w:pStyle w:val="Prrafodelista"/>
              <w:numPr>
                <w:ilvl w:val="0"/>
                <w:numId w:val="2"/>
              </w:numPr>
              <w:spacing w:after="40"/>
            </w:pPr>
            <w:r>
              <w:rPr>
                <w:sz w:val="20"/>
                <w:szCs w:val="20"/>
              </w:rPr>
              <w:t>Una unidad CRAH se avería. Con redundancia N+1, las restantes absorben la carga y solo se genera una alarma de mantenimiento.</w:t>
            </w:r>
          </w:p>
          <w:p w14:paraId="365F1219" w14:textId="77777777" w:rsidR="001C0CEA" w:rsidRDefault="00000000">
            <w:pPr>
              <w:pStyle w:val="Prrafodelista"/>
              <w:numPr>
                <w:ilvl w:val="0"/>
                <w:numId w:val="2"/>
              </w:numPr>
              <w:spacing w:after="40"/>
            </w:pPr>
            <w:r>
              <w:rPr>
                <w:sz w:val="20"/>
                <w:szCs w:val="20"/>
              </w:rPr>
              <w:t>Si fallan dos unidades (o la enfriadora sin redundancia), la temperatura de entrada sube: se activan alarmas por umbral, se abren protocolos (puertas, ventilación de emergencia) y, si se alcanzan límites críticos, se apagan de forma ordenada los sistemas menos prioritarios para reducir carga térmica.</w:t>
            </w:r>
          </w:p>
          <w:p w14:paraId="7846265D" w14:textId="77777777" w:rsidR="001C0CEA" w:rsidRDefault="00000000">
            <w:pPr>
              <w:pStyle w:val="Prrafodelista"/>
              <w:numPr>
                <w:ilvl w:val="0"/>
                <w:numId w:val="2"/>
              </w:numPr>
              <w:spacing w:after="40"/>
            </w:pPr>
            <w:r>
              <w:rPr>
                <w:sz w:val="20"/>
                <w:szCs w:val="20"/>
              </w:rPr>
              <w:t>Tras el incidente: análisis de causa raíz (gestión de problemas) y revisión de capacidad frigorífica.</w:t>
            </w:r>
          </w:p>
        </w:tc>
      </w:tr>
    </w:tbl>
    <w:p w14:paraId="07693B25" w14:textId="77777777" w:rsidR="001C0CEA" w:rsidRDefault="001C0CEA">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C0CEA" w14:paraId="5BA775BF" w14:textId="77777777">
        <w:trPr>
          <w:cantSplit/>
        </w:trPr>
        <w:tc>
          <w:tcPr>
            <w:tcW w:w="9026" w:type="dxa"/>
            <w:tcBorders>
              <w:top w:val="single" w:sz="12" w:space="0" w:color="BF9000"/>
              <w:left w:val="single" w:sz="12" w:space="0" w:color="BF9000"/>
              <w:bottom w:val="single" w:sz="12" w:space="0" w:color="BF9000"/>
              <w:right w:val="single" w:sz="12" w:space="0" w:color="BF9000"/>
            </w:tcBorders>
            <w:shd w:val="clear" w:color="auto" w:fill="FFF2CC"/>
            <w:tcMar>
              <w:top w:w="120" w:type="dxa"/>
              <w:left w:w="160" w:type="dxa"/>
              <w:bottom w:w="120" w:type="dxa"/>
              <w:right w:w="160" w:type="dxa"/>
            </w:tcMar>
          </w:tcPr>
          <w:p w14:paraId="6B0EB389" w14:textId="77777777" w:rsidR="001C0CEA" w:rsidRDefault="00000000">
            <w:pPr>
              <w:spacing w:after="80"/>
            </w:pPr>
            <w:r>
              <w:rPr>
                <w:b/>
                <w:bCs/>
                <w:color w:val="7F6000"/>
              </w:rPr>
              <w:lastRenderedPageBreak/>
              <w:t>Claves para el examen</w:t>
            </w:r>
          </w:p>
          <w:p w14:paraId="2E0A7858" w14:textId="77777777" w:rsidR="001C0CEA" w:rsidRDefault="00000000">
            <w:pPr>
              <w:pStyle w:val="Prrafodelista"/>
              <w:numPr>
                <w:ilvl w:val="0"/>
                <w:numId w:val="2"/>
              </w:numPr>
              <w:spacing w:after="40"/>
            </w:pPr>
            <w:r>
              <w:rPr>
                <w:b/>
                <w:bCs/>
                <w:sz w:val="20"/>
                <w:szCs w:val="20"/>
              </w:rPr>
              <w:t>Pasillo frío/caliente → optimiza la climatización</w:t>
            </w:r>
            <w:r>
              <w:rPr>
                <w:sz w:val="20"/>
                <w:szCs w:val="20"/>
              </w:rPr>
              <w:t xml:space="preserve"> (no la energía eléctrica, ni la detección de incendios, ni la monitorización).</w:t>
            </w:r>
          </w:p>
          <w:p w14:paraId="62B79F42" w14:textId="77777777" w:rsidR="001C0CEA" w:rsidRDefault="00000000">
            <w:pPr>
              <w:pStyle w:val="Prrafodelista"/>
              <w:numPr>
                <w:ilvl w:val="0"/>
                <w:numId w:val="2"/>
              </w:numPr>
              <w:spacing w:after="40"/>
            </w:pPr>
            <w:r>
              <w:rPr>
                <w:b/>
                <w:bCs/>
                <w:sz w:val="20"/>
                <w:szCs w:val="20"/>
              </w:rPr>
              <w:t>Free cooling → usar el aire exterior frío</w:t>
            </w:r>
            <w:r>
              <w:rPr>
                <w:sz w:val="20"/>
                <w:szCs w:val="20"/>
              </w:rPr>
              <w:t xml:space="preserve"> para refrigerar cuando la temperatura exterior lo permite.</w:t>
            </w:r>
          </w:p>
          <w:p w14:paraId="39659845" w14:textId="77777777" w:rsidR="001C0CEA" w:rsidRDefault="00000000">
            <w:pPr>
              <w:pStyle w:val="Prrafodelista"/>
              <w:numPr>
                <w:ilvl w:val="0"/>
                <w:numId w:val="2"/>
              </w:numPr>
              <w:spacing w:after="40"/>
            </w:pPr>
            <w:r>
              <w:rPr>
                <w:sz w:val="20"/>
                <w:szCs w:val="20"/>
              </w:rPr>
              <w:t xml:space="preserve">Rango recomendado ASHRAE para el aire de entrada: aproximadamente </w:t>
            </w:r>
            <w:r>
              <w:rPr>
                <w:b/>
                <w:bCs/>
                <w:sz w:val="20"/>
                <w:szCs w:val="20"/>
              </w:rPr>
              <w:t>18–27 °C</w:t>
            </w:r>
            <w:r>
              <w:rPr>
                <w:sz w:val="20"/>
                <w:szCs w:val="20"/>
              </w:rPr>
              <w:t>.</w:t>
            </w:r>
          </w:p>
          <w:p w14:paraId="098F5B1F" w14:textId="77777777" w:rsidR="001C0CEA" w:rsidRDefault="00000000">
            <w:pPr>
              <w:pStyle w:val="Prrafodelista"/>
              <w:numPr>
                <w:ilvl w:val="0"/>
                <w:numId w:val="2"/>
              </w:numPr>
              <w:spacing w:after="40"/>
            </w:pPr>
            <w:r>
              <w:rPr>
                <w:sz w:val="20"/>
                <w:szCs w:val="20"/>
              </w:rPr>
              <w:t>CRAC = expansión directa; CRAH = agua fría.</w:t>
            </w:r>
          </w:p>
        </w:tc>
      </w:tr>
    </w:tbl>
    <w:p w14:paraId="425D1726" w14:textId="77777777" w:rsidR="001C0CEA" w:rsidRDefault="001C0CEA">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C0CEA" w14:paraId="09AEAA7C" w14:textId="77777777">
        <w:trPr>
          <w:cantSplit/>
        </w:trPr>
        <w:tc>
          <w:tcPr>
            <w:tcW w:w="9026" w:type="dxa"/>
            <w:tcBorders>
              <w:top w:val="single" w:sz="12" w:space="0" w:color="C00000"/>
              <w:left w:val="single" w:sz="12" w:space="0" w:color="C00000"/>
              <w:bottom w:val="single" w:sz="12" w:space="0" w:color="C00000"/>
              <w:right w:val="single" w:sz="12" w:space="0" w:color="C00000"/>
            </w:tcBorders>
            <w:shd w:val="clear" w:color="auto" w:fill="FBE4E4"/>
            <w:tcMar>
              <w:top w:w="120" w:type="dxa"/>
              <w:left w:w="160" w:type="dxa"/>
              <w:bottom w:w="120" w:type="dxa"/>
              <w:right w:w="160" w:type="dxa"/>
            </w:tcMar>
          </w:tcPr>
          <w:p w14:paraId="084DE2D3" w14:textId="77777777" w:rsidR="001C0CEA" w:rsidRDefault="00000000">
            <w:pPr>
              <w:spacing w:after="80"/>
            </w:pPr>
            <w:r>
              <w:rPr>
                <w:b/>
                <w:bCs/>
                <w:color w:val="C00000"/>
              </w:rPr>
              <w:t>Posibles trampas de test</w:t>
            </w:r>
          </w:p>
          <w:p w14:paraId="2F038036" w14:textId="77777777" w:rsidR="001C0CEA" w:rsidRDefault="00000000">
            <w:pPr>
              <w:pStyle w:val="Prrafodelista"/>
              <w:numPr>
                <w:ilvl w:val="0"/>
                <w:numId w:val="2"/>
              </w:numPr>
              <w:spacing w:after="40"/>
            </w:pPr>
            <w:r>
              <w:rPr>
                <w:sz w:val="20"/>
                <w:szCs w:val="20"/>
              </w:rPr>
              <w:t xml:space="preserve">Free cooling </w:t>
            </w:r>
            <w:r>
              <w:rPr>
                <w:b/>
                <w:bCs/>
                <w:sz w:val="20"/>
                <w:szCs w:val="20"/>
              </w:rPr>
              <w:t>no</w:t>
            </w:r>
            <w:r>
              <w:rPr>
                <w:sz w:val="20"/>
                <w:szCs w:val="20"/>
              </w:rPr>
              <w:t xml:space="preserve"> es: separar pasillos (eso es contención/pasillo frío-caliente), ni refrigerar con agua destilada (refrigeración líquida), ni usar paneles solares.</w:t>
            </w:r>
          </w:p>
          <w:p w14:paraId="345A5D00" w14:textId="77777777" w:rsidR="001C0CEA" w:rsidRDefault="00000000">
            <w:pPr>
              <w:pStyle w:val="Prrafodelista"/>
              <w:numPr>
                <w:ilvl w:val="0"/>
                <w:numId w:val="2"/>
              </w:numPr>
              <w:spacing w:after="40"/>
            </w:pPr>
            <w:r>
              <w:rPr>
                <w:sz w:val="20"/>
                <w:szCs w:val="20"/>
              </w:rPr>
              <w:t>La humedad baja también es un riesgo (electricidad estática).</w:t>
            </w:r>
          </w:p>
        </w:tc>
      </w:tr>
    </w:tbl>
    <w:p w14:paraId="0CCF1697" w14:textId="77777777" w:rsidR="001C0CEA" w:rsidRDefault="001C0CEA">
      <w:pPr>
        <w:spacing w:after="120"/>
      </w:pPr>
    </w:p>
    <w:p w14:paraId="7FA25387" w14:textId="77777777" w:rsidR="001C0CEA" w:rsidRDefault="00000000">
      <w:pPr>
        <w:pStyle w:val="Ttulo1"/>
        <w:pageBreakBefore/>
      </w:pPr>
      <w:bookmarkStart w:id="30" w:name="_Toc241337911"/>
      <w:r>
        <w:lastRenderedPageBreak/>
        <w:t>7. Protección contra incendios</w:t>
      </w:r>
      <w:bookmarkEnd w:id="30"/>
    </w:p>
    <w:p w14:paraId="116B567C" w14:textId="77777777" w:rsidR="001C0CEA" w:rsidRDefault="00000000">
      <w:pPr>
        <w:spacing w:after="120"/>
        <w:jc w:val="both"/>
      </w:pPr>
      <w:r>
        <w:t xml:space="preserve">El fuego es uno de los riesgos más graves para un CPD, tanto por el daño directo como por el que puede causar una extinción inadecuada (agua sobre equipos en tensión). La protección se basa en </w:t>
      </w:r>
      <w:r>
        <w:rPr>
          <w:b/>
          <w:bCs/>
        </w:rPr>
        <w:t>prevención, detección, alarma, extinción y compartimentación</w:t>
      </w:r>
      <w:r>
        <w:t>.</w:t>
      </w:r>
    </w:p>
    <w:p w14:paraId="5DE19103" w14:textId="77777777" w:rsidR="001C0CEA" w:rsidRDefault="00000000">
      <w:pPr>
        <w:pStyle w:val="Ttulo2"/>
      </w:pPr>
      <w:bookmarkStart w:id="31" w:name="_Toc241337912"/>
      <w:r>
        <w:t>7.1. Normativa aplicable en España</w:t>
      </w:r>
      <w:bookmarkEnd w:id="31"/>
    </w:p>
    <w:p w14:paraId="3185023F" w14:textId="77777777" w:rsidR="001C0CEA" w:rsidRDefault="00000000">
      <w:pPr>
        <w:pStyle w:val="Prrafodelista"/>
        <w:numPr>
          <w:ilvl w:val="0"/>
          <w:numId w:val="2"/>
        </w:numPr>
        <w:spacing w:after="60"/>
      </w:pPr>
      <w:r>
        <w:rPr>
          <w:b/>
          <w:bCs/>
        </w:rPr>
        <w:t>Reglamento de Instalaciones de Protección Contra Incendios (RIPCI)</w:t>
      </w:r>
      <w:r>
        <w:t>, Real Decreto 513/2017: diseño, instalación, mantenimiento e inspección de los sistemas.</w:t>
      </w:r>
    </w:p>
    <w:p w14:paraId="56B402C7" w14:textId="77777777" w:rsidR="001C0CEA" w:rsidRDefault="00000000">
      <w:pPr>
        <w:pStyle w:val="Prrafodelista"/>
        <w:numPr>
          <w:ilvl w:val="0"/>
          <w:numId w:val="2"/>
        </w:numPr>
        <w:spacing w:after="60"/>
      </w:pPr>
      <w:r>
        <w:rPr>
          <w:b/>
          <w:bCs/>
        </w:rPr>
        <w:t>Código Técnico de la Edificación</w:t>
      </w:r>
      <w:r>
        <w:t>, Documento Básico de Seguridad en caso de Incendio (</w:t>
      </w:r>
      <w:r>
        <w:rPr>
          <w:b/>
          <w:bCs/>
        </w:rPr>
        <w:t>CTE DB-SI</w:t>
      </w:r>
      <w:r>
        <w:t>): compartimentación, evacuación, resistencia al fuego.</w:t>
      </w:r>
    </w:p>
    <w:p w14:paraId="52DB689B" w14:textId="77777777" w:rsidR="001C0CEA" w:rsidRDefault="00000000">
      <w:pPr>
        <w:pStyle w:val="Prrafodelista"/>
        <w:numPr>
          <w:ilvl w:val="0"/>
          <w:numId w:val="2"/>
        </w:numPr>
        <w:spacing w:after="60"/>
      </w:pPr>
      <w:r>
        <w:t xml:space="preserve">Cuando el establecimiento tenga carácter industrial, el </w:t>
      </w:r>
      <w:r>
        <w:rPr>
          <w:b/>
          <w:bCs/>
        </w:rPr>
        <w:t>Reglamento de seguridad contra incendios en los establecimientos industriales</w:t>
      </w:r>
      <w:r>
        <w:t xml:space="preserve"> (el vigente fue aprobado por el Real Decreto 164/2025).</w:t>
      </w:r>
    </w:p>
    <w:p w14:paraId="4648D3C1" w14:textId="77777777" w:rsidR="001C0CEA" w:rsidRDefault="00000000">
      <w:pPr>
        <w:pStyle w:val="Prrafodelista"/>
        <w:numPr>
          <w:ilvl w:val="0"/>
          <w:numId w:val="2"/>
        </w:numPr>
        <w:spacing w:after="60"/>
      </w:pPr>
      <w:r>
        <w:t>Norma Básica de Autoprotección (Real Decreto 393/2007) cuando la actividad lo requiera.</w:t>
      </w:r>
    </w:p>
    <w:p w14:paraId="72F07DF5" w14:textId="77777777" w:rsidR="001C0CEA" w:rsidRDefault="00000000">
      <w:pPr>
        <w:pStyle w:val="Prrafodelista"/>
        <w:numPr>
          <w:ilvl w:val="0"/>
          <w:numId w:val="2"/>
        </w:numPr>
        <w:spacing w:after="60"/>
      </w:pPr>
      <w:r>
        <w:t>Referencias técnicas de diseño: normas UNE-EN (p. ej., serie UNE-EN 15004 para extinción por agentes gaseosos) y los apartados de fuego de EN 50600/ISO/IEC 22237 y TIA-942.</w:t>
      </w:r>
    </w:p>
    <w:p w14:paraId="0F1D20F5" w14:textId="77777777" w:rsidR="001C0CEA" w:rsidRDefault="00000000">
      <w:pPr>
        <w:pStyle w:val="Ttulo2"/>
      </w:pPr>
      <w:bookmarkStart w:id="32" w:name="_Toc241337913"/>
      <w:r>
        <w:t>7.2. Detección y alarma</w:t>
      </w:r>
      <w:bookmarkEnd w:id="32"/>
    </w:p>
    <w:p w14:paraId="6B8621B5" w14:textId="77777777" w:rsidR="001C0CEA" w:rsidRDefault="00000000">
      <w:pPr>
        <w:pStyle w:val="Prrafodelista"/>
        <w:numPr>
          <w:ilvl w:val="0"/>
          <w:numId w:val="2"/>
        </w:numPr>
        <w:spacing w:after="60"/>
      </w:pPr>
      <w:r>
        <w:rPr>
          <w:b/>
          <w:bCs/>
        </w:rPr>
        <w:t>Detección convencional</w:t>
      </w:r>
      <w:r>
        <w:t xml:space="preserve"> (detectores ópticos de humo, térmicos) en sala, falso suelo y falso techo.</w:t>
      </w:r>
    </w:p>
    <w:p w14:paraId="13C7FA44" w14:textId="77777777" w:rsidR="001C0CEA" w:rsidRDefault="00000000">
      <w:pPr>
        <w:pStyle w:val="Prrafodelista"/>
        <w:numPr>
          <w:ilvl w:val="0"/>
          <w:numId w:val="2"/>
        </w:numPr>
        <w:spacing w:after="60"/>
      </w:pPr>
      <w:r>
        <w:rPr>
          <w:b/>
          <w:bCs/>
        </w:rPr>
        <w:t>Detección precoz por aspiración</w:t>
      </w:r>
      <w:r>
        <w:t xml:space="preserve"> (sistemas tipo VESDA): toma muestras de aire continuamente y detecta partículas de combustión en fase incipiente, muy útil por el gran caudal de aire de las salas.</w:t>
      </w:r>
    </w:p>
    <w:p w14:paraId="79D8D08D" w14:textId="77777777" w:rsidR="001C0CEA" w:rsidRDefault="00000000">
      <w:pPr>
        <w:pStyle w:val="Prrafodelista"/>
        <w:numPr>
          <w:ilvl w:val="0"/>
          <w:numId w:val="2"/>
        </w:numPr>
        <w:spacing w:after="60"/>
      </w:pPr>
      <w:r>
        <w:rPr>
          <w:b/>
          <w:bCs/>
        </w:rPr>
        <w:t>Detección cruzada/doble zona:</w:t>
      </w:r>
      <w:r>
        <w:t xml:space="preserve"> la extinción automática solo se dispara cuando confirman dos detectores o dos zonas, reduciendo disparos en falso.</w:t>
      </w:r>
    </w:p>
    <w:p w14:paraId="0DC5A6DD" w14:textId="77777777" w:rsidR="001C0CEA" w:rsidRDefault="00000000">
      <w:pPr>
        <w:pStyle w:val="Prrafodelista"/>
        <w:numPr>
          <w:ilvl w:val="0"/>
          <w:numId w:val="2"/>
        </w:numPr>
        <w:spacing w:after="60"/>
      </w:pPr>
      <w:r>
        <w:t>Pulsadores, alarmas acústicas y ópticas, señalización de «extinción disparada» y retardo para evacuar antes de la descarga.</w:t>
      </w:r>
    </w:p>
    <w:p w14:paraId="729F26A7" w14:textId="77777777" w:rsidR="001C0CEA" w:rsidRDefault="00000000">
      <w:pPr>
        <w:pStyle w:val="Ttulo2"/>
      </w:pPr>
      <w:bookmarkStart w:id="33" w:name="_Toc241337914"/>
      <w:r>
        <w:t>7.3. Extinción adecuada para equipamiento tecnológico</w:t>
      </w:r>
      <w:bookmarkEnd w:id="3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700"/>
        <w:gridCol w:w="3326"/>
      </w:tblGrid>
      <w:tr w:rsidR="001C0CEA" w14:paraId="1A3EEBC7" w14:textId="77777777">
        <w:trPr>
          <w:tblHeader/>
        </w:trPr>
        <w:tc>
          <w:tcPr>
            <w:tcW w:w="30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5E9AC19D" w14:textId="77777777" w:rsidR="001C0CEA" w:rsidRDefault="00000000">
            <w:r>
              <w:rPr>
                <w:b/>
                <w:bCs/>
                <w:color w:val="FFFFFF"/>
                <w:sz w:val="19"/>
                <w:szCs w:val="19"/>
              </w:rPr>
              <w:t>Sistema</w:t>
            </w:r>
          </w:p>
        </w:tc>
        <w:tc>
          <w:tcPr>
            <w:tcW w:w="27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72028211" w14:textId="77777777" w:rsidR="001C0CEA" w:rsidRDefault="00000000">
            <w:r>
              <w:rPr>
                <w:b/>
                <w:bCs/>
                <w:color w:val="FFFFFF"/>
                <w:sz w:val="19"/>
                <w:szCs w:val="19"/>
              </w:rPr>
              <w:t>Principio</w:t>
            </w:r>
          </w:p>
        </w:tc>
        <w:tc>
          <w:tcPr>
            <w:tcW w:w="3326"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6544C4CD" w14:textId="77777777" w:rsidR="001C0CEA" w:rsidRDefault="00000000">
            <w:r>
              <w:rPr>
                <w:b/>
                <w:bCs/>
                <w:color w:val="FFFFFF"/>
                <w:sz w:val="19"/>
                <w:szCs w:val="19"/>
              </w:rPr>
              <w:t>Observaciones</w:t>
            </w:r>
          </w:p>
        </w:tc>
      </w:tr>
      <w:tr w:rsidR="001C0CEA" w14:paraId="3385EA61" w14:textId="77777777">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AE7FC11" w14:textId="77777777" w:rsidR="001C0CEA" w:rsidRDefault="00000000">
            <w:r>
              <w:rPr>
                <w:sz w:val="19"/>
                <w:szCs w:val="19"/>
              </w:rPr>
              <w:t>Gases inertes (IG-541, IG-55, IG-100/nitrógeno, argón)</w:t>
            </w:r>
          </w:p>
        </w:tc>
        <w:tc>
          <w:tcPr>
            <w:tcW w:w="2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0BE2305" w14:textId="77777777" w:rsidR="001C0CEA" w:rsidRDefault="00000000">
            <w:r>
              <w:rPr>
                <w:sz w:val="19"/>
                <w:szCs w:val="19"/>
              </w:rPr>
              <w:t>Reducen la concentración de oxígeno</w:t>
            </w:r>
          </w:p>
        </w:tc>
        <w:tc>
          <w:tcPr>
            <w:tcW w:w="33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95240A0" w14:textId="77777777" w:rsidR="001C0CEA" w:rsidRDefault="00000000">
            <w:r>
              <w:rPr>
                <w:sz w:val="19"/>
                <w:szCs w:val="19"/>
              </w:rPr>
              <w:t>No dejan residuos; requieren estanqueidad de sala y alivio de sobrepresión</w:t>
            </w:r>
          </w:p>
        </w:tc>
      </w:tr>
      <w:tr w:rsidR="001C0CEA" w14:paraId="668012A1" w14:textId="77777777">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37D642E" w14:textId="77777777" w:rsidR="001C0CEA" w:rsidRDefault="00000000">
            <w:r>
              <w:rPr>
                <w:sz w:val="19"/>
                <w:szCs w:val="19"/>
              </w:rPr>
              <w:t>Agentes químicos limpios (HFC-227ea, FK-5-1-12)</w:t>
            </w:r>
          </w:p>
        </w:tc>
        <w:tc>
          <w:tcPr>
            <w:tcW w:w="2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C79037D" w14:textId="77777777" w:rsidR="001C0CEA" w:rsidRDefault="00000000">
            <w:r>
              <w:rPr>
                <w:sz w:val="19"/>
                <w:szCs w:val="19"/>
              </w:rPr>
              <w:t>Absorción de calor / interrupción química</w:t>
            </w:r>
          </w:p>
        </w:tc>
        <w:tc>
          <w:tcPr>
            <w:tcW w:w="33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987B6E3" w14:textId="77777777" w:rsidR="001C0CEA" w:rsidRDefault="00000000">
            <w:r>
              <w:rPr>
                <w:sz w:val="19"/>
                <w:szCs w:val="19"/>
              </w:rPr>
              <w:t>No conductores, sin residuos; sujetos a normativa de gases fluorados</w:t>
            </w:r>
          </w:p>
        </w:tc>
      </w:tr>
      <w:tr w:rsidR="001C0CEA" w14:paraId="089BB09F" w14:textId="77777777">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A57A78B" w14:textId="77777777" w:rsidR="001C0CEA" w:rsidRDefault="00000000">
            <w:r>
              <w:rPr>
                <w:sz w:val="19"/>
                <w:szCs w:val="19"/>
              </w:rPr>
              <w:t>Agua nebulizada (water mist)</w:t>
            </w:r>
          </w:p>
        </w:tc>
        <w:tc>
          <w:tcPr>
            <w:tcW w:w="2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FC35F67" w14:textId="77777777" w:rsidR="001C0CEA" w:rsidRDefault="00000000">
            <w:r>
              <w:rPr>
                <w:sz w:val="19"/>
                <w:szCs w:val="19"/>
              </w:rPr>
              <w:t>Microgotas que enfrían y desplazan oxígeno</w:t>
            </w:r>
          </w:p>
        </w:tc>
        <w:tc>
          <w:tcPr>
            <w:tcW w:w="33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52FDF71" w14:textId="77777777" w:rsidR="001C0CEA" w:rsidRDefault="00000000">
            <w:r>
              <w:rPr>
                <w:sz w:val="19"/>
                <w:szCs w:val="19"/>
              </w:rPr>
              <w:t>Poco volumen de agua</w:t>
            </w:r>
          </w:p>
        </w:tc>
      </w:tr>
      <w:tr w:rsidR="001C0CEA" w14:paraId="385C4586" w14:textId="77777777">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7D36A93" w14:textId="77777777" w:rsidR="001C0CEA" w:rsidRDefault="00000000">
            <w:r>
              <w:rPr>
                <w:sz w:val="19"/>
                <w:szCs w:val="19"/>
              </w:rPr>
              <w:t>Rociadores de preacción</w:t>
            </w:r>
          </w:p>
        </w:tc>
        <w:tc>
          <w:tcPr>
            <w:tcW w:w="2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4AC66B0" w14:textId="77777777" w:rsidR="001C0CEA" w:rsidRDefault="00000000">
            <w:r>
              <w:rPr>
                <w:sz w:val="19"/>
                <w:szCs w:val="19"/>
              </w:rPr>
              <w:t>Tuberías secas que solo se llenan tras detección confirmada</w:t>
            </w:r>
          </w:p>
        </w:tc>
        <w:tc>
          <w:tcPr>
            <w:tcW w:w="33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4EC4D3F" w14:textId="77777777" w:rsidR="001C0CEA" w:rsidRDefault="00000000">
            <w:r>
              <w:rPr>
                <w:sz w:val="19"/>
                <w:szCs w:val="19"/>
              </w:rPr>
              <w:t>Última barrera; protegen el edificio</w:t>
            </w:r>
          </w:p>
        </w:tc>
      </w:tr>
      <w:tr w:rsidR="001C0CEA" w14:paraId="263BA068" w14:textId="77777777">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6E40523" w14:textId="77777777" w:rsidR="001C0CEA" w:rsidRDefault="00000000">
            <w:r>
              <w:rPr>
                <w:sz w:val="19"/>
                <w:szCs w:val="19"/>
              </w:rPr>
              <w:t>Extintores manuales de CO2</w:t>
            </w:r>
          </w:p>
        </w:tc>
        <w:tc>
          <w:tcPr>
            <w:tcW w:w="2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4A5F94A" w14:textId="77777777" w:rsidR="001C0CEA" w:rsidRDefault="00000000">
            <w:r>
              <w:rPr>
                <w:sz w:val="19"/>
                <w:szCs w:val="19"/>
              </w:rPr>
              <w:t>Sofocación</w:t>
            </w:r>
          </w:p>
        </w:tc>
        <w:tc>
          <w:tcPr>
            <w:tcW w:w="33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E596319" w14:textId="77777777" w:rsidR="001C0CEA" w:rsidRDefault="00000000">
            <w:r>
              <w:rPr>
                <w:sz w:val="19"/>
                <w:szCs w:val="19"/>
              </w:rPr>
              <w:t>Adecuados para fuegos eléctricos; peligrosos en recintos ocupados</w:t>
            </w:r>
          </w:p>
        </w:tc>
      </w:tr>
    </w:tbl>
    <w:p w14:paraId="588585F4" w14:textId="77777777" w:rsidR="001C0CEA" w:rsidRDefault="001C0CEA">
      <w:pPr>
        <w:spacing w:after="120"/>
      </w:pPr>
    </w:p>
    <w:p w14:paraId="1570C91F" w14:textId="77777777" w:rsidR="001C0CEA" w:rsidRDefault="00000000">
      <w:pPr>
        <w:spacing w:after="120"/>
        <w:jc w:val="both"/>
      </w:pPr>
      <w:r>
        <w:lastRenderedPageBreak/>
        <w:t xml:space="preserve">Los </w:t>
      </w:r>
      <w:r>
        <w:rPr>
          <w:b/>
          <w:bCs/>
        </w:rPr>
        <w:t>halones</w:t>
      </w:r>
      <w:r>
        <w:t xml:space="preserve"> están prohibidos por su efecto sobre la capa de ozono (Protocolo de Montreal; en la UE, régimen de sustancias que agotan la capa de ozono). Los agentes gaseosos se descargan con </w:t>
      </w:r>
      <w:r>
        <w:rPr>
          <w:b/>
          <w:bCs/>
        </w:rPr>
        <w:t>retardo</w:t>
      </w:r>
      <w:r>
        <w:t xml:space="preserve"> y tras la </w:t>
      </w:r>
      <w:r>
        <w:rPr>
          <w:b/>
          <w:bCs/>
        </w:rPr>
        <w:t>evacuación</w:t>
      </w:r>
      <w:r>
        <w:t xml:space="preserve"> del personal.</w:t>
      </w:r>
    </w:p>
    <w:p w14:paraId="22E057D2" w14:textId="77777777" w:rsidR="001C0CEA" w:rsidRDefault="00000000">
      <w:pPr>
        <w:pStyle w:val="Ttulo2"/>
      </w:pPr>
      <w:bookmarkStart w:id="34" w:name="_Toc241337915"/>
      <w:r>
        <w:t>7.4. Sectorización y procedimientos</w:t>
      </w:r>
      <w:bookmarkEnd w:id="34"/>
    </w:p>
    <w:p w14:paraId="1395D78D" w14:textId="77777777" w:rsidR="001C0CEA" w:rsidRDefault="00000000">
      <w:pPr>
        <w:pStyle w:val="Prrafodelista"/>
        <w:numPr>
          <w:ilvl w:val="0"/>
          <w:numId w:val="2"/>
        </w:numPr>
        <w:spacing w:after="60"/>
      </w:pPr>
      <w:r>
        <w:t xml:space="preserve">Sala de equipos como </w:t>
      </w:r>
      <w:r>
        <w:rPr>
          <w:b/>
          <w:bCs/>
        </w:rPr>
        <w:t>sector de incendio</w:t>
      </w:r>
      <w:r>
        <w:t xml:space="preserve"> independiente, con paredes, puertas y pasos de instalaciones con resistencia al fuego y sellados.</w:t>
      </w:r>
    </w:p>
    <w:p w14:paraId="767B01E7" w14:textId="77777777" w:rsidR="001C0CEA" w:rsidRDefault="00000000">
      <w:pPr>
        <w:pStyle w:val="Prrafodelista"/>
        <w:numPr>
          <w:ilvl w:val="0"/>
          <w:numId w:val="2"/>
        </w:numPr>
        <w:spacing w:after="60"/>
      </w:pPr>
      <w:r>
        <w:t>Salas eléctricas, de baterías y de grupos en sectores separados.</w:t>
      </w:r>
    </w:p>
    <w:p w14:paraId="6804F845" w14:textId="77777777" w:rsidR="001C0CEA" w:rsidRDefault="00000000">
      <w:pPr>
        <w:pStyle w:val="Prrafodelista"/>
        <w:numPr>
          <w:ilvl w:val="0"/>
          <w:numId w:val="2"/>
        </w:numPr>
        <w:spacing w:after="60"/>
      </w:pPr>
      <w:r>
        <w:rPr>
          <w:b/>
          <w:bCs/>
        </w:rPr>
        <w:t>Procedimientos:</w:t>
      </w:r>
      <w:r>
        <w:t xml:space="preserve"> plan de autoprotección/emergencia, formación, simulacros, mantenimiento periódico según RIPCI, prohibición de materiales combustibles (cartones) en sala y parada automática de la climatización al disparar la extinción.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C0CEA" w14:paraId="27E81DA1" w14:textId="77777777">
        <w:trPr>
          <w:cantSplit/>
        </w:trPr>
        <w:tc>
          <w:tcPr>
            <w:tcW w:w="9026" w:type="dxa"/>
            <w:tcBorders>
              <w:top w:val="single" w:sz="12" w:space="0" w:color="BF9000"/>
              <w:left w:val="single" w:sz="12" w:space="0" w:color="BF9000"/>
              <w:bottom w:val="single" w:sz="12" w:space="0" w:color="BF9000"/>
              <w:right w:val="single" w:sz="12" w:space="0" w:color="BF9000"/>
            </w:tcBorders>
            <w:shd w:val="clear" w:color="auto" w:fill="FFF2CC"/>
            <w:tcMar>
              <w:top w:w="120" w:type="dxa"/>
              <w:left w:w="160" w:type="dxa"/>
              <w:bottom w:w="120" w:type="dxa"/>
              <w:right w:w="160" w:type="dxa"/>
            </w:tcMar>
          </w:tcPr>
          <w:p w14:paraId="21B56AED" w14:textId="77777777" w:rsidR="001C0CEA" w:rsidRDefault="00000000">
            <w:pPr>
              <w:spacing w:after="80"/>
            </w:pPr>
            <w:r>
              <w:rPr>
                <w:b/>
                <w:bCs/>
                <w:color w:val="7F6000"/>
              </w:rPr>
              <w:t>Claves para el examen</w:t>
            </w:r>
          </w:p>
          <w:p w14:paraId="47D3C33D" w14:textId="77777777" w:rsidR="001C0CEA" w:rsidRDefault="00000000">
            <w:pPr>
              <w:pStyle w:val="Prrafodelista"/>
              <w:numPr>
                <w:ilvl w:val="0"/>
                <w:numId w:val="2"/>
              </w:numPr>
              <w:spacing w:after="40"/>
            </w:pPr>
            <w:r>
              <w:rPr>
                <w:sz w:val="20"/>
                <w:szCs w:val="20"/>
              </w:rPr>
              <w:t>Detección precoz por aspiración (VESDA) + doble detección → extinción por gas o agua nebulizada.</w:t>
            </w:r>
          </w:p>
          <w:p w14:paraId="21F5DD65" w14:textId="77777777" w:rsidR="001C0CEA" w:rsidRDefault="00000000">
            <w:pPr>
              <w:pStyle w:val="Prrafodelista"/>
              <w:numPr>
                <w:ilvl w:val="0"/>
                <w:numId w:val="2"/>
              </w:numPr>
              <w:spacing w:after="40"/>
            </w:pPr>
            <w:r>
              <w:rPr>
                <w:sz w:val="20"/>
                <w:szCs w:val="20"/>
              </w:rPr>
              <w:t>Halón: prohibido.</w:t>
            </w:r>
          </w:p>
          <w:p w14:paraId="703B242F" w14:textId="77777777" w:rsidR="001C0CEA" w:rsidRDefault="00000000">
            <w:pPr>
              <w:pStyle w:val="Prrafodelista"/>
              <w:numPr>
                <w:ilvl w:val="0"/>
                <w:numId w:val="2"/>
              </w:numPr>
              <w:spacing w:after="40"/>
            </w:pPr>
            <w:r>
              <w:rPr>
                <w:sz w:val="20"/>
                <w:szCs w:val="20"/>
              </w:rPr>
              <w:t>RIPCI = RD 513/2017; CTE DB-SI; separar la sala de equipos como sector de incendio.</w:t>
            </w:r>
          </w:p>
        </w:tc>
      </w:tr>
    </w:tbl>
    <w:p w14:paraId="0EC57B63" w14:textId="77777777" w:rsidR="001C0CEA" w:rsidRDefault="001C0CEA">
      <w:pPr>
        <w:spacing w:after="120"/>
      </w:pPr>
    </w:p>
    <w:p w14:paraId="491B4CE5" w14:textId="77777777" w:rsidR="001C0CEA" w:rsidRDefault="00000000">
      <w:pPr>
        <w:pStyle w:val="Ttulo1"/>
        <w:pageBreakBefore/>
      </w:pPr>
      <w:bookmarkStart w:id="35" w:name="_Toc241337916"/>
      <w:r>
        <w:lastRenderedPageBreak/>
        <w:t>8. Seguridad física</w:t>
      </w:r>
      <w:bookmarkEnd w:id="35"/>
    </w:p>
    <w:p w14:paraId="3761D56B" w14:textId="77777777" w:rsidR="001C0CEA" w:rsidRDefault="00000000">
      <w:pPr>
        <w:spacing w:after="120"/>
        <w:jc w:val="both"/>
      </w:pPr>
      <w:r>
        <w:t xml:space="preserve">La seguridad física protege el CPD frente a accesos no autorizados, sabotaje, robo y daños accidentales. Se organiza en </w:t>
      </w:r>
      <w:r>
        <w:rPr>
          <w:b/>
          <w:bCs/>
        </w:rPr>
        <w:t>capas concéntricas</w:t>
      </w:r>
      <w:r>
        <w:t xml:space="preserve"> (defensa en profundidad), con controles más estrictos cuanto más cerca de los equipos.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1C0CEA" w14:paraId="336885B0" w14:textId="77777777">
        <w:trPr>
          <w:tblHeader/>
        </w:trPr>
        <w:tc>
          <w:tcPr>
            <w:tcW w:w="22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3F4536BF" w14:textId="77777777" w:rsidR="001C0CEA" w:rsidRDefault="00000000">
            <w:r>
              <w:rPr>
                <w:b/>
                <w:bCs/>
                <w:color w:val="FFFFFF"/>
                <w:sz w:val="19"/>
                <w:szCs w:val="19"/>
              </w:rPr>
              <w:t>Capa</w:t>
            </w:r>
          </w:p>
        </w:tc>
        <w:tc>
          <w:tcPr>
            <w:tcW w:w="6826"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5D522529" w14:textId="77777777" w:rsidR="001C0CEA" w:rsidRDefault="00000000">
            <w:r>
              <w:rPr>
                <w:b/>
                <w:bCs/>
                <w:color w:val="FFFFFF"/>
                <w:sz w:val="19"/>
                <w:szCs w:val="19"/>
              </w:rPr>
              <w:t>Medidas</w:t>
            </w:r>
          </w:p>
        </w:tc>
      </w:tr>
      <w:tr w:rsidR="001C0CEA" w14:paraId="1CCE15AF" w14:textId="77777777">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BDD8B13" w14:textId="77777777" w:rsidR="001C0CEA" w:rsidRDefault="00000000">
            <w:r>
              <w:rPr>
                <w:sz w:val="19"/>
                <w:szCs w:val="19"/>
              </w:rPr>
              <w:t>Perímetro</w:t>
            </w:r>
          </w:p>
        </w:tc>
        <w:tc>
          <w:tcPr>
            <w:tcW w:w="68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D2D4573" w14:textId="77777777" w:rsidR="001C0CEA" w:rsidRDefault="00000000">
            <w:r>
              <w:rPr>
                <w:sz w:val="19"/>
                <w:szCs w:val="19"/>
              </w:rPr>
              <w:t>Vallado, iluminación, CCTV, control de vehículos, señalización discreta</w:t>
            </w:r>
          </w:p>
        </w:tc>
      </w:tr>
      <w:tr w:rsidR="001C0CEA" w14:paraId="473A9EDC" w14:textId="77777777">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922AA4D" w14:textId="77777777" w:rsidR="001C0CEA" w:rsidRDefault="00000000">
            <w:r>
              <w:rPr>
                <w:sz w:val="19"/>
                <w:szCs w:val="19"/>
              </w:rPr>
              <w:t>Edificio</w:t>
            </w:r>
          </w:p>
        </w:tc>
        <w:tc>
          <w:tcPr>
            <w:tcW w:w="68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1EC09A4" w14:textId="77777777" w:rsidR="001C0CEA" w:rsidRDefault="00000000">
            <w:r>
              <w:rPr>
                <w:sz w:val="19"/>
                <w:szCs w:val="19"/>
              </w:rPr>
              <w:t>Recepción, control de identidad, vigilancia 24×7, esclusas</w:t>
            </w:r>
          </w:p>
        </w:tc>
      </w:tr>
      <w:tr w:rsidR="001C0CEA" w14:paraId="4B198AC5" w14:textId="77777777">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EED464C" w14:textId="77777777" w:rsidR="001C0CEA" w:rsidRDefault="00000000">
            <w:r>
              <w:rPr>
                <w:sz w:val="19"/>
                <w:szCs w:val="19"/>
              </w:rPr>
              <w:t>Zona técnica</w:t>
            </w:r>
          </w:p>
        </w:tc>
        <w:tc>
          <w:tcPr>
            <w:tcW w:w="68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FAEAC6C" w14:textId="77777777" w:rsidR="001C0CEA" w:rsidRDefault="00000000">
            <w:r>
              <w:rPr>
                <w:sz w:val="19"/>
                <w:szCs w:val="19"/>
              </w:rPr>
              <w:t>Control de acceso electrónico por tarjeta; registro de entradas/salidas</w:t>
            </w:r>
          </w:p>
        </w:tc>
      </w:tr>
      <w:tr w:rsidR="001C0CEA" w14:paraId="4AF47C62" w14:textId="77777777">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DED71BF" w14:textId="77777777" w:rsidR="001C0CEA" w:rsidRDefault="00000000">
            <w:r>
              <w:rPr>
                <w:sz w:val="19"/>
                <w:szCs w:val="19"/>
              </w:rPr>
              <w:t>Sala de equipos</w:t>
            </w:r>
          </w:p>
        </w:tc>
        <w:tc>
          <w:tcPr>
            <w:tcW w:w="68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9317F7C" w14:textId="77777777" w:rsidR="001C0CEA" w:rsidRDefault="00000000">
            <w:r>
              <w:rPr>
                <w:sz w:val="19"/>
                <w:szCs w:val="19"/>
              </w:rPr>
              <w:t>Autenticación de doble factor (tarjeta + PIN o biometría), esclusas antipassback (</w:t>
            </w:r>
            <w:r>
              <w:rPr>
                <w:i/>
                <w:iCs/>
                <w:sz w:val="19"/>
                <w:szCs w:val="19"/>
              </w:rPr>
              <w:t>mantrap</w:t>
            </w:r>
            <w:r>
              <w:rPr>
                <w:sz w:val="19"/>
                <w:szCs w:val="19"/>
              </w:rPr>
              <w:t>), CCTV grabado</w:t>
            </w:r>
          </w:p>
        </w:tc>
      </w:tr>
      <w:tr w:rsidR="001C0CEA" w14:paraId="0E7882D8" w14:textId="77777777">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0548841" w14:textId="77777777" w:rsidR="001C0CEA" w:rsidRDefault="00000000">
            <w:r>
              <w:rPr>
                <w:sz w:val="19"/>
                <w:szCs w:val="19"/>
              </w:rPr>
              <w:t>Rack</w:t>
            </w:r>
          </w:p>
        </w:tc>
        <w:tc>
          <w:tcPr>
            <w:tcW w:w="68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5FBF87B" w14:textId="77777777" w:rsidR="001C0CEA" w:rsidRDefault="00000000">
            <w:r>
              <w:rPr>
                <w:sz w:val="19"/>
                <w:szCs w:val="19"/>
              </w:rPr>
              <w:t>Armarios con cerradura, control de acceso por rack en entornos compartidos</w:t>
            </w:r>
          </w:p>
        </w:tc>
      </w:tr>
    </w:tbl>
    <w:p w14:paraId="40404B1F" w14:textId="77777777" w:rsidR="001C0CEA" w:rsidRDefault="001C0CEA">
      <w:pPr>
        <w:spacing w:after="120"/>
      </w:pPr>
    </w:p>
    <w:p w14:paraId="7D8EB601" w14:textId="77777777" w:rsidR="001C0CEA" w:rsidRDefault="00000000">
      <w:pPr>
        <w:pStyle w:val="Prrafodelista"/>
        <w:numPr>
          <w:ilvl w:val="0"/>
          <w:numId w:val="2"/>
        </w:numPr>
        <w:spacing w:after="60"/>
      </w:pPr>
      <w:r>
        <w:rPr>
          <w:b/>
          <w:bCs/>
        </w:rPr>
        <w:t>Autenticación física:</w:t>
      </w:r>
      <w:r>
        <w:t xml:space="preserve"> algo que se tiene (tarjeta), algo que se sabe (PIN), algo que se es (biometría). Las zonas críticas combinan al menos dos.</w:t>
      </w:r>
    </w:p>
    <w:p w14:paraId="66E94B15" w14:textId="77777777" w:rsidR="001C0CEA" w:rsidRDefault="00000000">
      <w:pPr>
        <w:pStyle w:val="Prrafodelista"/>
        <w:numPr>
          <w:ilvl w:val="0"/>
          <w:numId w:val="2"/>
        </w:numPr>
        <w:spacing w:after="60"/>
      </w:pPr>
      <w:r>
        <w:rPr>
          <w:b/>
          <w:bCs/>
        </w:rPr>
        <w:t>Registro de accesos:</w:t>
      </w:r>
      <w:r>
        <w:t xml:space="preserve"> logs del sistema de control de acceso y libro de registro, conservados y revisados; vinculación con la gestión de cambios (quién entra, para qué intervención).</w:t>
      </w:r>
    </w:p>
    <w:p w14:paraId="1EF25540" w14:textId="77777777" w:rsidR="001C0CEA" w:rsidRDefault="00000000">
      <w:pPr>
        <w:pStyle w:val="Prrafodelista"/>
        <w:numPr>
          <w:ilvl w:val="0"/>
          <w:numId w:val="2"/>
        </w:numPr>
        <w:spacing w:after="60"/>
      </w:pPr>
      <w:r>
        <w:rPr>
          <w:b/>
          <w:bCs/>
        </w:rPr>
        <w:t>Gestión de visitantes y proveedores:</w:t>
      </w:r>
      <w:r>
        <w:t xml:space="preserve"> acceso autorizado previamente, identificación, </w:t>
      </w:r>
      <w:r>
        <w:rPr>
          <w:b/>
          <w:bCs/>
        </w:rPr>
        <w:t>acompañamiento permanente</w:t>
      </w:r>
      <w:r>
        <w:t xml:space="preserve"> y registro de material que entra y sale (el ENS exige registro de entrada y salida de equipamiento).</w:t>
      </w:r>
    </w:p>
    <w:p w14:paraId="51BD2BF3" w14:textId="77777777" w:rsidR="001C0CEA" w:rsidRDefault="00000000">
      <w:pPr>
        <w:pStyle w:val="Prrafodelista"/>
        <w:numPr>
          <w:ilvl w:val="0"/>
          <w:numId w:val="2"/>
        </w:numPr>
        <w:spacing w:after="60"/>
      </w:pPr>
      <w:r>
        <w:rPr>
          <w:b/>
          <w:bCs/>
        </w:rPr>
        <w:t>Principio de mínimo privilegio</w:t>
      </w:r>
      <w:r>
        <w:t xml:space="preserve"> también en lo físico: acceso solo a quien lo necesita y solo a las zonas necesarias; revisión periódica de autorizaciones.</w:t>
      </w:r>
    </w:p>
    <w:p w14:paraId="614BEFDA" w14:textId="77777777" w:rsidR="001C0CEA" w:rsidRDefault="00000000">
      <w:pPr>
        <w:pStyle w:val="Prrafodelista"/>
        <w:numPr>
          <w:ilvl w:val="0"/>
          <w:numId w:val="2"/>
        </w:numPr>
        <w:spacing w:after="60"/>
      </w:pPr>
      <w:r>
        <w:t xml:space="preserve">Protección frente a </w:t>
      </w:r>
      <w:r>
        <w:rPr>
          <w:b/>
          <w:bCs/>
        </w:rPr>
        <w:t>amenazas ambientales</w:t>
      </w:r>
      <w:r>
        <w:t>: detección de agua, sensores de temperatura, protección contra el rayo.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C0CEA" w14:paraId="4138D0EB" w14:textId="77777777">
        <w:trPr>
          <w:cantSplit/>
        </w:trPr>
        <w:tc>
          <w:tcPr>
            <w:tcW w:w="9026" w:type="dxa"/>
            <w:tcBorders>
              <w:top w:val="single" w:sz="12" w:space="0" w:color="BF9000"/>
              <w:left w:val="single" w:sz="12" w:space="0" w:color="BF9000"/>
              <w:bottom w:val="single" w:sz="12" w:space="0" w:color="BF9000"/>
              <w:right w:val="single" w:sz="12" w:space="0" w:color="BF9000"/>
            </w:tcBorders>
            <w:shd w:val="clear" w:color="auto" w:fill="FFF2CC"/>
            <w:tcMar>
              <w:top w:w="120" w:type="dxa"/>
              <w:left w:w="160" w:type="dxa"/>
              <w:bottom w:w="120" w:type="dxa"/>
              <w:right w:w="160" w:type="dxa"/>
            </w:tcMar>
          </w:tcPr>
          <w:p w14:paraId="393D7196" w14:textId="77777777" w:rsidR="001C0CEA" w:rsidRDefault="00000000">
            <w:pPr>
              <w:spacing w:after="80"/>
            </w:pPr>
            <w:r>
              <w:rPr>
                <w:b/>
                <w:bCs/>
                <w:color w:val="7F6000"/>
              </w:rPr>
              <w:t>Claves para el examen</w:t>
            </w:r>
          </w:p>
          <w:p w14:paraId="053B56D8" w14:textId="77777777" w:rsidR="001C0CEA" w:rsidRDefault="00000000">
            <w:pPr>
              <w:pStyle w:val="Prrafodelista"/>
              <w:numPr>
                <w:ilvl w:val="0"/>
                <w:numId w:val="2"/>
              </w:numPr>
              <w:spacing w:after="40"/>
            </w:pPr>
            <w:r>
              <w:rPr>
                <w:sz w:val="20"/>
                <w:szCs w:val="20"/>
              </w:rPr>
              <w:t>Defensa en profundidad: perímetro → edificio → zona técnica → sala → rack.</w:t>
            </w:r>
          </w:p>
          <w:p w14:paraId="507F5DA8" w14:textId="77777777" w:rsidR="001C0CEA" w:rsidRDefault="00000000">
            <w:pPr>
              <w:pStyle w:val="Prrafodelista"/>
              <w:numPr>
                <w:ilvl w:val="0"/>
                <w:numId w:val="2"/>
              </w:numPr>
              <w:spacing w:after="40"/>
            </w:pPr>
            <w:r>
              <w:rPr>
                <w:sz w:val="20"/>
                <w:szCs w:val="20"/>
              </w:rPr>
              <w:t>Doble factor en sala; esclusa antipassback; visitas siempre acompañadas y registradas.</w:t>
            </w:r>
          </w:p>
        </w:tc>
      </w:tr>
    </w:tbl>
    <w:p w14:paraId="3BB3ADE0" w14:textId="77777777" w:rsidR="001C0CEA" w:rsidRDefault="001C0CEA">
      <w:pPr>
        <w:spacing w:after="120"/>
      </w:pPr>
    </w:p>
    <w:p w14:paraId="7722306E" w14:textId="77777777" w:rsidR="001C0CEA" w:rsidRDefault="00000000">
      <w:pPr>
        <w:pStyle w:val="Ttulo1"/>
        <w:pageBreakBefore/>
      </w:pPr>
      <w:bookmarkStart w:id="36" w:name="_Toc241337917"/>
      <w:r>
        <w:lastRenderedPageBreak/>
        <w:t>9. Redundancia y disponibilidad</w:t>
      </w:r>
      <w:bookmarkEnd w:id="36"/>
    </w:p>
    <w:p w14:paraId="75A8E5CB" w14:textId="77777777" w:rsidR="001C0CEA" w:rsidRDefault="00000000">
      <w:pPr>
        <w:pStyle w:val="Ttulo2"/>
      </w:pPr>
      <w:bookmarkStart w:id="37" w:name="_Toc241337918"/>
      <w:r>
        <w:t>9.1. Conceptos básicos</w:t>
      </w:r>
      <w:bookmarkEnd w:id="37"/>
    </w:p>
    <w:p w14:paraId="6B848412" w14:textId="77777777" w:rsidR="001C0CEA" w:rsidRDefault="00000000">
      <w:pPr>
        <w:pStyle w:val="Prrafodelista"/>
        <w:numPr>
          <w:ilvl w:val="0"/>
          <w:numId w:val="2"/>
        </w:numPr>
        <w:spacing w:after="60"/>
      </w:pPr>
      <w:r>
        <w:rPr>
          <w:b/>
          <w:bCs/>
        </w:rPr>
        <w:t>Disponibilidad:</w:t>
      </w:r>
      <w:r>
        <w:t xml:space="preserve"> proporción del tiempo en que un servicio está operativo. </w:t>
      </w:r>
      <w:r>
        <w:rPr>
          <w:b/>
          <w:bCs/>
        </w:rPr>
        <w:t>Disponibilidad = MTBF / (MTBF + MTTR)</w:t>
      </w:r>
      <w:r>
        <w:t>, donde MTBF es el tiempo medio entre fallos y MTTR el tiempo medio de reparación.</w:t>
      </w:r>
    </w:p>
    <w:p w14:paraId="55CB92F6" w14:textId="77777777" w:rsidR="001C0CEA" w:rsidRDefault="00000000">
      <w:pPr>
        <w:pStyle w:val="Prrafodelista"/>
        <w:numPr>
          <w:ilvl w:val="0"/>
          <w:numId w:val="2"/>
        </w:numPr>
        <w:spacing w:after="60"/>
      </w:pPr>
      <w:r>
        <w:rPr>
          <w:b/>
          <w:bCs/>
        </w:rPr>
        <w:t>Fiabilidad:</w:t>
      </w:r>
      <w:r>
        <w:t xml:space="preserve"> probabilidad de que un sistema funcione sin fallo durante un periodo.</w:t>
      </w:r>
    </w:p>
    <w:p w14:paraId="7DD1BAE9" w14:textId="77777777" w:rsidR="001C0CEA" w:rsidRDefault="00000000">
      <w:pPr>
        <w:pStyle w:val="Prrafodelista"/>
        <w:numPr>
          <w:ilvl w:val="0"/>
          <w:numId w:val="2"/>
        </w:numPr>
        <w:spacing w:after="60"/>
      </w:pPr>
      <w:r>
        <w:rPr>
          <w:b/>
          <w:bCs/>
        </w:rPr>
        <w:t>Punto único de fallo (SPOF, Single Point of Failure):</w:t>
      </w:r>
      <w:r>
        <w:t xml:space="preserve"> componente cuyo fallo detiene el servicio. El objetivo del diseño de alta disponibilidad es eliminarlos.</w:t>
      </w:r>
    </w:p>
    <w:p w14:paraId="71FC6AC9" w14:textId="77777777" w:rsidR="001C0CEA" w:rsidRDefault="00000000">
      <w:pPr>
        <w:pStyle w:val="Prrafodelista"/>
        <w:numPr>
          <w:ilvl w:val="0"/>
          <w:numId w:val="2"/>
        </w:numPr>
        <w:spacing w:after="60"/>
      </w:pPr>
      <w:r>
        <w:rPr>
          <w:b/>
          <w:bCs/>
        </w:rPr>
        <w:t>Redundancia:</w:t>
      </w:r>
      <w:r>
        <w:t xml:space="preserve"> disponer de componentes adicionales que asumen la función del que falla.</w:t>
      </w:r>
    </w:p>
    <w:p w14:paraId="7B99A1D1" w14:textId="77777777" w:rsidR="001C0CEA" w:rsidRDefault="00000000">
      <w:pPr>
        <w:pStyle w:val="Prrafodelista"/>
        <w:numPr>
          <w:ilvl w:val="0"/>
          <w:numId w:val="2"/>
        </w:numPr>
        <w:spacing w:after="60"/>
      </w:pPr>
      <w:r>
        <w:rPr>
          <w:b/>
          <w:bCs/>
        </w:rPr>
        <w:t>Mantenibilidad concurrente:</w:t>
      </w:r>
      <w:r>
        <w:t xml:space="preserve"> poder realizar cualquier mantenimiento planificado sin parar la carga.</w:t>
      </w:r>
    </w:p>
    <w:p w14:paraId="4FE1D86B" w14:textId="77777777" w:rsidR="001C0CEA" w:rsidRDefault="00000000">
      <w:pPr>
        <w:pStyle w:val="Prrafodelista"/>
        <w:numPr>
          <w:ilvl w:val="0"/>
          <w:numId w:val="2"/>
        </w:numPr>
        <w:spacing w:after="60"/>
      </w:pPr>
      <w:r>
        <w:rPr>
          <w:b/>
          <w:bCs/>
        </w:rPr>
        <w:t>Tolerancia a fallos:</w:t>
      </w:r>
      <w:r>
        <w:t xml:space="preserve"> soportar un fallo no planificado de cualquier componente sin afectar a la carga.</w:t>
      </w:r>
    </w:p>
    <w:p w14:paraId="263866B3" w14:textId="77777777" w:rsidR="001C0CEA" w:rsidRDefault="00000000">
      <w:pPr>
        <w:pStyle w:val="Ttulo2"/>
      </w:pPr>
      <w:bookmarkStart w:id="38" w:name="_Toc241337919"/>
      <w:r>
        <w:t>9.2. Tabla de los «nueves»</w:t>
      </w:r>
      <w:bookmarkEnd w:id="3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00"/>
        <w:gridCol w:w="3426"/>
      </w:tblGrid>
      <w:tr w:rsidR="001C0CEA" w14:paraId="671C3252" w14:textId="77777777">
        <w:trPr>
          <w:tblHeader/>
        </w:trPr>
        <w:tc>
          <w:tcPr>
            <w:tcW w:w="22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5CC8B518" w14:textId="77777777" w:rsidR="001C0CEA" w:rsidRDefault="00000000">
            <w:r>
              <w:rPr>
                <w:b/>
                <w:bCs/>
                <w:color w:val="FFFFFF"/>
                <w:sz w:val="19"/>
                <w:szCs w:val="19"/>
              </w:rPr>
              <w:t>Disponibilidad</w:t>
            </w:r>
          </w:p>
        </w:tc>
        <w:tc>
          <w:tcPr>
            <w:tcW w:w="34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1AD85248" w14:textId="77777777" w:rsidR="001C0CEA" w:rsidRDefault="00000000">
            <w:r>
              <w:rPr>
                <w:b/>
                <w:bCs/>
                <w:color w:val="FFFFFF"/>
                <w:sz w:val="19"/>
                <w:szCs w:val="19"/>
              </w:rPr>
              <w:t>Parada máxima anual aproximada</w:t>
            </w:r>
          </w:p>
        </w:tc>
        <w:tc>
          <w:tcPr>
            <w:tcW w:w="3426"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77D95198" w14:textId="77777777" w:rsidR="001C0CEA" w:rsidRDefault="00000000">
            <w:r>
              <w:rPr>
                <w:b/>
                <w:bCs/>
                <w:color w:val="FFFFFF"/>
                <w:sz w:val="19"/>
                <w:szCs w:val="19"/>
              </w:rPr>
              <w:t>Referencia habitual</w:t>
            </w:r>
          </w:p>
        </w:tc>
      </w:tr>
      <w:tr w:rsidR="001C0CEA" w14:paraId="54A750BD" w14:textId="77777777">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FC3689A" w14:textId="77777777" w:rsidR="001C0CEA" w:rsidRDefault="00000000">
            <w:r>
              <w:rPr>
                <w:sz w:val="19"/>
                <w:szCs w:val="19"/>
              </w:rPr>
              <w:t>99 %</w:t>
            </w:r>
          </w:p>
        </w:tc>
        <w:tc>
          <w:tcPr>
            <w:tcW w:w="3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690BC9A" w14:textId="77777777" w:rsidR="001C0CEA" w:rsidRDefault="00000000">
            <w:r>
              <w:rPr>
                <w:sz w:val="19"/>
                <w:szCs w:val="19"/>
              </w:rPr>
              <w:t>≈ 87,6 horas</w:t>
            </w:r>
          </w:p>
        </w:tc>
        <w:tc>
          <w:tcPr>
            <w:tcW w:w="34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9A045EC" w14:textId="77777777" w:rsidR="001C0CEA" w:rsidRDefault="001C0CEA"/>
        </w:tc>
      </w:tr>
      <w:tr w:rsidR="001C0CEA" w14:paraId="017566EF" w14:textId="77777777">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1D152FB" w14:textId="77777777" w:rsidR="001C0CEA" w:rsidRDefault="00000000">
            <w:r>
              <w:rPr>
                <w:sz w:val="19"/>
                <w:szCs w:val="19"/>
              </w:rPr>
              <w:t>99,671 %</w:t>
            </w:r>
          </w:p>
        </w:tc>
        <w:tc>
          <w:tcPr>
            <w:tcW w:w="3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6692560" w14:textId="77777777" w:rsidR="001C0CEA" w:rsidRDefault="00000000">
            <w:r>
              <w:rPr>
                <w:sz w:val="19"/>
                <w:szCs w:val="19"/>
              </w:rPr>
              <w:t>≈ 28,8 horas</w:t>
            </w:r>
          </w:p>
        </w:tc>
        <w:tc>
          <w:tcPr>
            <w:tcW w:w="34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ACBA493" w14:textId="77777777" w:rsidR="001C0CEA" w:rsidRDefault="00000000">
            <w:r>
              <w:rPr>
                <w:sz w:val="19"/>
                <w:szCs w:val="19"/>
              </w:rPr>
              <w:t>Cifra asociada tradicionalmente a Tier I</w:t>
            </w:r>
          </w:p>
        </w:tc>
      </w:tr>
      <w:tr w:rsidR="001C0CEA" w14:paraId="39DD84FC" w14:textId="77777777">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FFA95E6" w14:textId="77777777" w:rsidR="001C0CEA" w:rsidRDefault="00000000">
            <w:r>
              <w:rPr>
                <w:sz w:val="19"/>
                <w:szCs w:val="19"/>
              </w:rPr>
              <w:t>99,741 %</w:t>
            </w:r>
          </w:p>
        </w:tc>
        <w:tc>
          <w:tcPr>
            <w:tcW w:w="3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B555F71" w14:textId="77777777" w:rsidR="001C0CEA" w:rsidRDefault="00000000">
            <w:r>
              <w:rPr>
                <w:sz w:val="19"/>
                <w:szCs w:val="19"/>
              </w:rPr>
              <w:t>≈ 22,7 horas</w:t>
            </w:r>
          </w:p>
        </w:tc>
        <w:tc>
          <w:tcPr>
            <w:tcW w:w="34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53B2A96" w14:textId="77777777" w:rsidR="001C0CEA" w:rsidRDefault="00000000">
            <w:r>
              <w:rPr>
                <w:sz w:val="19"/>
                <w:szCs w:val="19"/>
              </w:rPr>
              <w:t>Tier II</w:t>
            </w:r>
          </w:p>
        </w:tc>
      </w:tr>
      <w:tr w:rsidR="001C0CEA" w14:paraId="2B88C71F" w14:textId="77777777">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2439A7E" w14:textId="77777777" w:rsidR="001C0CEA" w:rsidRDefault="00000000">
            <w:r>
              <w:rPr>
                <w:sz w:val="19"/>
                <w:szCs w:val="19"/>
              </w:rPr>
              <w:t>99,9 %</w:t>
            </w:r>
          </w:p>
        </w:tc>
        <w:tc>
          <w:tcPr>
            <w:tcW w:w="3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68A94F5" w14:textId="77777777" w:rsidR="001C0CEA" w:rsidRDefault="00000000">
            <w:r>
              <w:rPr>
                <w:sz w:val="19"/>
                <w:szCs w:val="19"/>
              </w:rPr>
              <w:t>≈ 8,8 horas</w:t>
            </w:r>
          </w:p>
        </w:tc>
        <w:tc>
          <w:tcPr>
            <w:tcW w:w="34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D817C42" w14:textId="77777777" w:rsidR="001C0CEA" w:rsidRDefault="00000000">
            <w:r>
              <w:rPr>
                <w:sz w:val="19"/>
                <w:szCs w:val="19"/>
              </w:rPr>
              <w:t>«tres nueves»</w:t>
            </w:r>
          </w:p>
        </w:tc>
      </w:tr>
      <w:tr w:rsidR="001C0CEA" w14:paraId="0035E00C" w14:textId="77777777">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94BAD41" w14:textId="77777777" w:rsidR="001C0CEA" w:rsidRDefault="00000000">
            <w:r>
              <w:rPr>
                <w:sz w:val="19"/>
                <w:szCs w:val="19"/>
              </w:rPr>
              <w:t>99,982 %</w:t>
            </w:r>
          </w:p>
        </w:tc>
        <w:tc>
          <w:tcPr>
            <w:tcW w:w="3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7426AE9" w14:textId="77777777" w:rsidR="001C0CEA" w:rsidRDefault="00000000">
            <w:r>
              <w:rPr>
                <w:sz w:val="19"/>
                <w:szCs w:val="19"/>
              </w:rPr>
              <w:t>≈ 1,6 horas</w:t>
            </w:r>
          </w:p>
        </w:tc>
        <w:tc>
          <w:tcPr>
            <w:tcW w:w="34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A0C2D62" w14:textId="77777777" w:rsidR="001C0CEA" w:rsidRDefault="00000000">
            <w:r>
              <w:rPr>
                <w:sz w:val="19"/>
                <w:szCs w:val="19"/>
              </w:rPr>
              <w:t>Tier III</w:t>
            </w:r>
          </w:p>
        </w:tc>
      </w:tr>
      <w:tr w:rsidR="001C0CEA" w14:paraId="471A9F50" w14:textId="77777777">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DE0DEDD" w14:textId="77777777" w:rsidR="001C0CEA" w:rsidRDefault="00000000">
            <w:r>
              <w:rPr>
                <w:sz w:val="19"/>
                <w:szCs w:val="19"/>
              </w:rPr>
              <w:t>99,99 %</w:t>
            </w:r>
          </w:p>
        </w:tc>
        <w:tc>
          <w:tcPr>
            <w:tcW w:w="3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6D28819" w14:textId="77777777" w:rsidR="001C0CEA" w:rsidRDefault="00000000">
            <w:r>
              <w:rPr>
                <w:sz w:val="19"/>
                <w:szCs w:val="19"/>
              </w:rPr>
              <w:t>≈ 52,6 minutos</w:t>
            </w:r>
          </w:p>
        </w:tc>
        <w:tc>
          <w:tcPr>
            <w:tcW w:w="34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5BBF7B4" w14:textId="77777777" w:rsidR="001C0CEA" w:rsidRDefault="00000000">
            <w:r>
              <w:rPr>
                <w:sz w:val="19"/>
                <w:szCs w:val="19"/>
              </w:rPr>
              <w:t>«cuatro nueves»</w:t>
            </w:r>
          </w:p>
        </w:tc>
      </w:tr>
      <w:tr w:rsidR="001C0CEA" w14:paraId="33A84A33" w14:textId="77777777">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35EA1B1" w14:textId="77777777" w:rsidR="001C0CEA" w:rsidRDefault="00000000">
            <w:r>
              <w:rPr>
                <w:sz w:val="19"/>
                <w:szCs w:val="19"/>
              </w:rPr>
              <w:t>99,995 %</w:t>
            </w:r>
          </w:p>
        </w:tc>
        <w:tc>
          <w:tcPr>
            <w:tcW w:w="3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06DF724" w14:textId="77777777" w:rsidR="001C0CEA" w:rsidRDefault="00000000">
            <w:r>
              <w:rPr>
                <w:sz w:val="19"/>
                <w:szCs w:val="19"/>
              </w:rPr>
              <w:t>≈ 26,3 minutos</w:t>
            </w:r>
          </w:p>
        </w:tc>
        <w:tc>
          <w:tcPr>
            <w:tcW w:w="34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5AEF2DF" w14:textId="77777777" w:rsidR="001C0CEA" w:rsidRDefault="00000000">
            <w:r>
              <w:rPr>
                <w:sz w:val="19"/>
                <w:szCs w:val="19"/>
              </w:rPr>
              <w:t>Tier IV</w:t>
            </w:r>
          </w:p>
        </w:tc>
      </w:tr>
      <w:tr w:rsidR="001C0CEA" w14:paraId="230F565C" w14:textId="77777777">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A3363A9" w14:textId="77777777" w:rsidR="001C0CEA" w:rsidRDefault="00000000">
            <w:r>
              <w:rPr>
                <w:sz w:val="19"/>
                <w:szCs w:val="19"/>
              </w:rPr>
              <w:t>99,999 %</w:t>
            </w:r>
          </w:p>
        </w:tc>
        <w:tc>
          <w:tcPr>
            <w:tcW w:w="3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0834222" w14:textId="77777777" w:rsidR="001C0CEA" w:rsidRDefault="00000000">
            <w:r>
              <w:rPr>
                <w:sz w:val="19"/>
                <w:szCs w:val="19"/>
              </w:rPr>
              <w:t>≈ 5,3 minutos</w:t>
            </w:r>
          </w:p>
        </w:tc>
        <w:tc>
          <w:tcPr>
            <w:tcW w:w="34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68CCFDE" w14:textId="77777777" w:rsidR="001C0CEA" w:rsidRDefault="00000000">
            <w:r>
              <w:rPr>
                <w:sz w:val="19"/>
                <w:szCs w:val="19"/>
              </w:rPr>
              <w:t>«cinco nueves»</w:t>
            </w:r>
          </w:p>
        </w:tc>
      </w:tr>
    </w:tbl>
    <w:p w14:paraId="1E70DD24" w14:textId="77777777" w:rsidR="001C0CEA" w:rsidRDefault="001C0CEA">
      <w:pPr>
        <w:spacing w:after="120"/>
      </w:pPr>
    </w:p>
    <w:p w14:paraId="6AE0801F" w14:textId="77777777" w:rsidR="001C0CEA" w:rsidRDefault="00000000">
      <w:pPr>
        <w:spacing w:after="120"/>
        <w:jc w:val="both"/>
      </w:pPr>
      <w:r>
        <w:t xml:space="preserve">Las cifras de 99,671 / 99,741 / 99,982 / 99,995 % proceden de documentos antiguos del Uptime Institute y de anexos informativos de versiones previas de TIA-942. El estándar vigente de Uptime define los Tiers por </w:t>
      </w:r>
      <w:r>
        <w:rPr>
          <w:b/>
          <w:bCs/>
        </w:rPr>
        <w:t>topología y comportamiento ante fallos y mantenimiento</w:t>
      </w:r>
      <w:r>
        <w:t>, no por un porcentaje; aun así, estas cifras siguen apareciendo en materiales de oposición y conviene reconocerlas.</w:t>
      </w:r>
    </w:p>
    <w:p w14:paraId="41A0217E" w14:textId="77777777" w:rsidR="001C0CEA" w:rsidRDefault="00000000">
      <w:pPr>
        <w:pStyle w:val="Ttulo2"/>
      </w:pPr>
      <w:bookmarkStart w:id="39" w:name="_Toc241337920"/>
      <w:r>
        <w:t>9.3. N, N+1, 2N y 2N+1</w:t>
      </w:r>
      <w:bookmarkEnd w:id="39"/>
    </w:p>
    <w:p w14:paraId="3731BEE8" w14:textId="77777777" w:rsidR="001C0CEA" w:rsidRDefault="00000000">
      <w:pPr>
        <w:spacing w:after="120"/>
        <w:jc w:val="both"/>
      </w:pPr>
      <w:r>
        <w:rPr>
          <w:b/>
          <w:bCs/>
        </w:rPr>
        <w:t>N</w:t>
      </w:r>
      <w:r>
        <w:t xml:space="preserve"> es la capacidad necesaria para soportar la carga. Las configuraciones de redundancia se expresan respecto a N:</w:t>
      </w:r>
    </w:p>
    <w:p w14:paraId="0A75A5D9" w14:textId="77777777" w:rsidR="001C0CEA" w:rsidRDefault="00000000">
      <w:pPr>
        <w:jc w:val="center"/>
      </w:pPr>
      <w:r>
        <w:rPr>
          <w:noProof/>
        </w:rPr>
        <w:lastRenderedPageBreak/>
        <w:drawing>
          <wp:inline distT="0" distB="0" distL="0" distR="0" wp14:anchorId="4A23385A" wp14:editId="4435B8E0">
            <wp:extent cx="5715000" cy="2247900"/>
            <wp:effectExtent l="0" t="0" r="0" b="0"/>
            <wp:docPr id="549103913" name="Figura 3. Configuraciones de redundancia." descr="Figura 3. Configuraciones de redundancia." title="Figura 3. Configuraciones de redundanc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2247900"/>
                    </a:xfrm>
                    <a:prstGeom prst="rect">
                      <a:avLst/>
                    </a:prstGeom>
                  </pic:spPr>
                </pic:pic>
              </a:graphicData>
            </a:graphic>
          </wp:inline>
        </w:drawing>
      </w:r>
    </w:p>
    <w:p w14:paraId="5E6827F5" w14:textId="77777777" w:rsidR="001C0CEA" w:rsidRDefault="00000000">
      <w:pPr>
        <w:spacing w:after="160"/>
        <w:jc w:val="center"/>
      </w:pPr>
      <w:r>
        <w:rPr>
          <w:i/>
          <w:iCs/>
          <w:color w:val="595959"/>
          <w:sz w:val="18"/>
          <w:szCs w:val="18"/>
        </w:rPr>
        <w:t>Figura 3. Configuraciones de redundancia.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000"/>
        <w:gridCol w:w="2200"/>
        <w:gridCol w:w="2326"/>
      </w:tblGrid>
      <w:tr w:rsidR="001C0CEA" w14:paraId="4DA74291" w14:textId="77777777">
        <w:trPr>
          <w:tblHeader/>
        </w:trPr>
        <w:tc>
          <w:tcPr>
            <w:tcW w:w="15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5CD1CFB3" w14:textId="77777777" w:rsidR="001C0CEA" w:rsidRDefault="00000000">
            <w:r>
              <w:rPr>
                <w:b/>
                <w:bCs/>
                <w:color w:val="FFFFFF"/>
                <w:sz w:val="19"/>
                <w:szCs w:val="19"/>
              </w:rPr>
              <w:t>Configuración</w:t>
            </w:r>
          </w:p>
        </w:tc>
        <w:tc>
          <w:tcPr>
            <w:tcW w:w="30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7819DCDE" w14:textId="77777777" w:rsidR="001C0CEA" w:rsidRDefault="00000000">
            <w:r>
              <w:rPr>
                <w:b/>
                <w:bCs/>
                <w:color w:val="FFFFFF"/>
                <w:sz w:val="19"/>
                <w:szCs w:val="19"/>
              </w:rPr>
              <w:t>Significado</w:t>
            </w:r>
          </w:p>
        </w:tc>
        <w:tc>
          <w:tcPr>
            <w:tcW w:w="22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133B1E7F" w14:textId="77777777" w:rsidR="001C0CEA" w:rsidRDefault="00000000">
            <w:r>
              <w:rPr>
                <w:b/>
                <w:bCs/>
                <w:color w:val="FFFFFF"/>
                <w:sz w:val="19"/>
                <w:szCs w:val="19"/>
              </w:rPr>
              <w:t>Ejemplo (carga que requiere 3 SAI)</w:t>
            </w:r>
          </w:p>
        </w:tc>
        <w:tc>
          <w:tcPr>
            <w:tcW w:w="2326"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5E0DACB3" w14:textId="77777777" w:rsidR="001C0CEA" w:rsidRDefault="00000000">
            <w:r>
              <w:rPr>
                <w:b/>
                <w:bCs/>
                <w:color w:val="FFFFFF"/>
                <w:sz w:val="19"/>
                <w:szCs w:val="19"/>
              </w:rPr>
              <w:t>Qué soporta</w:t>
            </w:r>
          </w:p>
        </w:tc>
      </w:tr>
      <w:tr w:rsidR="001C0CEA" w14:paraId="29077797" w14:textId="77777777">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4B191F7" w14:textId="77777777" w:rsidR="001C0CEA" w:rsidRDefault="00000000">
            <w:r>
              <w:rPr>
                <w:sz w:val="19"/>
                <w:szCs w:val="19"/>
              </w:rPr>
              <w:t>N</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B3969AD" w14:textId="77777777" w:rsidR="001C0CEA" w:rsidRDefault="00000000">
            <w:r>
              <w:rPr>
                <w:sz w:val="19"/>
                <w:szCs w:val="19"/>
              </w:rPr>
              <w:t>Exactamente la capacidad necesaria; sin reserva</w:t>
            </w:r>
          </w:p>
        </w:tc>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497ED7B" w14:textId="77777777" w:rsidR="001C0CEA" w:rsidRDefault="00000000">
            <w:r>
              <w:rPr>
                <w:sz w:val="19"/>
                <w:szCs w:val="19"/>
              </w:rPr>
              <w:t>3 SAI</w:t>
            </w:r>
          </w:p>
        </w:tc>
        <w:tc>
          <w:tcPr>
            <w:tcW w:w="23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37E8D82" w14:textId="77777777" w:rsidR="001C0CEA" w:rsidRDefault="00000000">
            <w:r>
              <w:rPr>
                <w:sz w:val="19"/>
                <w:szCs w:val="19"/>
              </w:rPr>
              <w:t>Cualquier fallo o mantenimiento afecta a la carga</w:t>
            </w:r>
          </w:p>
        </w:tc>
      </w:tr>
      <w:tr w:rsidR="001C0CEA" w14:paraId="6E668ECF" w14:textId="77777777">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E839AA6" w14:textId="77777777" w:rsidR="001C0CEA" w:rsidRDefault="00000000">
            <w:r>
              <w:rPr>
                <w:sz w:val="19"/>
                <w:szCs w:val="19"/>
              </w:rPr>
              <w:t>N+1</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9D08E06" w14:textId="77777777" w:rsidR="001C0CEA" w:rsidRDefault="00000000">
            <w:r>
              <w:rPr>
                <w:sz w:val="19"/>
                <w:szCs w:val="19"/>
              </w:rPr>
              <w:t>Capacidad necesaria + 1 unidad de reserva</w:t>
            </w:r>
          </w:p>
        </w:tc>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0E54D1B" w14:textId="77777777" w:rsidR="001C0CEA" w:rsidRDefault="00000000">
            <w:r>
              <w:rPr>
                <w:sz w:val="19"/>
                <w:szCs w:val="19"/>
              </w:rPr>
              <w:t>4 SAI en paralelo</w:t>
            </w:r>
          </w:p>
        </w:tc>
        <w:tc>
          <w:tcPr>
            <w:tcW w:w="23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7CBBEE1" w14:textId="77777777" w:rsidR="001C0CEA" w:rsidRDefault="00000000">
            <w:r>
              <w:rPr>
                <w:sz w:val="19"/>
                <w:szCs w:val="19"/>
              </w:rPr>
              <w:t>Fallo o mantenimiento de una unidad; no protege la ruta de distribución común</w:t>
            </w:r>
          </w:p>
        </w:tc>
      </w:tr>
      <w:tr w:rsidR="001C0CEA" w14:paraId="5F151F10" w14:textId="77777777">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F818991" w14:textId="77777777" w:rsidR="001C0CEA" w:rsidRDefault="00000000">
            <w:r>
              <w:rPr>
                <w:sz w:val="19"/>
                <w:szCs w:val="19"/>
              </w:rPr>
              <w:t>2N</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7876EF1" w14:textId="77777777" w:rsidR="001C0CEA" w:rsidRDefault="00000000">
            <w:r>
              <w:rPr>
                <w:sz w:val="19"/>
                <w:szCs w:val="19"/>
              </w:rPr>
              <w:t xml:space="preserve">Dos sistemas </w:t>
            </w:r>
            <w:r>
              <w:rPr>
                <w:b/>
                <w:bCs/>
                <w:sz w:val="19"/>
                <w:szCs w:val="19"/>
              </w:rPr>
              <w:t>completos e independientes</w:t>
            </w:r>
            <w:r>
              <w:rPr>
                <w:sz w:val="19"/>
                <w:szCs w:val="19"/>
              </w:rPr>
              <w:t>, cada uno capaz de soportar toda la carga (ruta A y ruta B)</w:t>
            </w:r>
          </w:p>
        </w:tc>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1B809B8" w14:textId="77777777" w:rsidR="001C0CEA" w:rsidRDefault="00000000">
            <w:r>
              <w:rPr>
                <w:sz w:val="19"/>
                <w:szCs w:val="19"/>
              </w:rPr>
              <w:t>2 sistemas de 3 SAI (6)</w:t>
            </w:r>
          </w:p>
        </w:tc>
        <w:tc>
          <w:tcPr>
            <w:tcW w:w="23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C59761E" w14:textId="77777777" w:rsidR="001C0CEA" w:rsidRDefault="00000000">
            <w:r>
              <w:rPr>
                <w:sz w:val="19"/>
                <w:szCs w:val="19"/>
              </w:rPr>
              <w:t>Fallo o mantenimiento de un sistema completo, incluidas las rutas</w:t>
            </w:r>
          </w:p>
        </w:tc>
      </w:tr>
      <w:tr w:rsidR="001C0CEA" w14:paraId="6C3F64D3" w14:textId="77777777">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8558231" w14:textId="77777777" w:rsidR="001C0CEA" w:rsidRDefault="00000000">
            <w:r>
              <w:rPr>
                <w:sz w:val="19"/>
                <w:szCs w:val="19"/>
              </w:rPr>
              <w:t>2N+1 / 2(N+1)</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370771B" w14:textId="77777777" w:rsidR="001C0CEA" w:rsidRDefault="00000000">
            <w:r>
              <w:rPr>
                <w:sz w:val="19"/>
                <w:szCs w:val="19"/>
              </w:rPr>
              <w:t>Dos sistemas completos, cada uno con reserva adicional</w:t>
            </w:r>
          </w:p>
        </w:tc>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C961076" w14:textId="77777777" w:rsidR="001C0CEA" w:rsidRDefault="00000000">
            <w:r>
              <w:rPr>
                <w:sz w:val="19"/>
                <w:szCs w:val="19"/>
              </w:rPr>
              <w:t>2 sistemas de 4 SAI (8)</w:t>
            </w:r>
          </w:p>
        </w:tc>
        <w:tc>
          <w:tcPr>
            <w:tcW w:w="23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4026DEA" w14:textId="77777777" w:rsidR="001C0CEA" w:rsidRDefault="00000000">
            <w:r>
              <w:rPr>
                <w:sz w:val="19"/>
                <w:szCs w:val="19"/>
              </w:rPr>
              <w:t>Mantenimiento de un sistema y, a la vez, fallo de una unidad en el otro</w:t>
            </w:r>
          </w:p>
        </w:tc>
      </w:tr>
    </w:tbl>
    <w:p w14:paraId="570BE30B" w14:textId="77777777" w:rsidR="001C0CEA" w:rsidRDefault="001C0CEA">
      <w:pPr>
        <w:spacing w:after="120"/>
      </w:pPr>
    </w:p>
    <w:p w14:paraId="7E120884" w14:textId="77777777" w:rsidR="001C0CEA" w:rsidRDefault="00000000">
      <w:pPr>
        <w:spacing w:after="120"/>
        <w:jc w:val="both"/>
      </w:pPr>
      <w:r>
        <w:t xml:space="preserve">La redundancia se aplica a </w:t>
      </w:r>
      <w:r>
        <w:rPr>
          <w:b/>
          <w:bCs/>
        </w:rPr>
        <w:t>todos los subsistemas</w:t>
      </w:r>
      <w:r>
        <w:t>: eléctrico (acometidas, SAI, grupos, cuadros), climatización (unidades, enfriadoras, bombas), red (dos switches, enlaces agregados, dos operadores), almacenamiento (controladoras duales, RAID, replicación) y cómputo (clústeres). Una cadena es tan fiable como su eslabón más débil: 2N en SAI con un único cuadro de distribución sigue teniendo un SPOF.</w:t>
      </w:r>
    </w:p>
    <w:p w14:paraId="14DDA2E5" w14:textId="77777777" w:rsidR="001C0CEA" w:rsidRDefault="00000000">
      <w:pPr>
        <w:pStyle w:val="Ttulo2"/>
      </w:pPr>
      <w:bookmarkStart w:id="40" w:name="_Toc241337921"/>
      <w:r>
        <w:t>9.4. Técnicas de alta disponibilidad en TI</w:t>
      </w:r>
      <w:bookmarkEnd w:id="40"/>
    </w:p>
    <w:p w14:paraId="15BEF73F" w14:textId="77777777" w:rsidR="001C0CEA" w:rsidRDefault="00000000">
      <w:pPr>
        <w:pStyle w:val="Prrafodelista"/>
        <w:numPr>
          <w:ilvl w:val="0"/>
          <w:numId w:val="2"/>
        </w:numPr>
        <w:spacing w:after="60"/>
      </w:pPr>
      <w:r>
        <w:rPr>
          <w:b/>
          <w:bCs/>
        </w:rPr>
        <w:t>Failover:</w:t>
      </w:r>
      <w:r>
        <w:t xml:space="preserve"> conmutación automática (o manual) a un componente de reserva al detectar el fallo del activo.</w:t>
      </w:r>
    </w:p>
    <w:p w14:paraId="5A1FED5F" w14:textId="77777777" w:rsidR="001C0CEA" w:rsidRDefault="00000000">
      <w:pPr>
        <w:pStyle w:val="Prrafodelista"/>
        <w:numPr>
          <w:ilvl w:val="0"/>
          <w:numId w:val="2"/>
        </w:numPr>
        <w:spacing w:after="60"/>
      </w:pPr>
      <w:r>
        <w:rPr>
          <w:b/>
          <w:bCs/>
        </w:rPr>
        <w:t>Clustering:</w:t>
      </w:r>
      <w:r>
        <w:t xml:space="preserve"> grupo de nodos que se comportan como un sistema; activo-pasivo (un nodo en espera) o activo-activo (todos sirven carga).</w:t>
      </w:r>
    </w:p>
    <w:p w14:paraId="15E24C47" w14:textId="77777777" w:rsidR="001C0CEA" w:rsidRDefault="00000000">
      <w:pPr>
        <w:pStyle w:val="Prrafodelista"/>
        <w:numPr>
          <w:ilvl w:val="0"/>
          <w:numId w:val="2"/>
        </w:numPr>
        <w:spacing w:after="60"/>
      </w:pPr>
      <w:r>
        <w:rPr>
          <w:b/>
          <w:bCs/>
        </w:rPr>
        <w:t>Balanceo de carga:</w:t>
      </w:r>
      <w:r>
        <w:t xml:space="preserve"> reparto de peticiones entre varios servidores; mejora rendimiento y disponibilidad (si un nodo cae, deja de recibir tráfico).</w:t>
      </w:r>
    </w:p>
    <w:p w14:paraId="2594EF73" w14:textId="77777777" w:rsidR="001C0CEA" w:rsidRDefault="00000000">
      <w:pPr>
        <w:pStyle w:val="Prrafodelista"/>
        <w:numPr>
          <w:ilvl w:val="0"/>
          <w:numId w:val="2"/>
        </w:numPr>
        <w:spacing w:after="60"/>
      </w:pPr>
      <w:r>
        <w:rPr>
          <w:b/>
          <w:bCs/>
        </w:rPr>
        <w:t>Replicación:</w:t>
      </w:r>
      <w:r>
        <w:t xml:space="preserve"> copia continua de datos a otro sistema o CPD (síncrona o asíncrona; apartado 12).</w:t>
      </w:r>
    </w:p>
    <w:p w14:paraId="5DB2D655" w14:textId="77777777" w:rsidR="001C0CEA" w:rsidRDefault="00000000">
      <w:pPr>
        <w:pStyle w:val="Prrafodelista"/>
        <w:numPr>
          <w:ilvl w:val="0"/>
          <w:numId w:val="2"/>
        </w:numPr>
        <w:spacing w:after="60"/>
      </w:pPr>
      <w:r>
        <w:rPr>
          <w:b/>
          <w:bCs/>
        </w:rPr>
        <w:t>Redundancia de red:</w:t>
      </w:r>
      <w:r>
        <w:t xml:space="preserve"> protocolos de puerta de enlace redundante (VRRP/HSRP), agregación de enlaces (LACP), rutas dinámicas, doble operador WAN.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C0CEA" w14:paraId="219DD9EF" w14:textId="77777777">
        <w:trPr>
          <w:cantSplit/>
        </w:trPr>
        <w:tc>
          <w:tcPr>
            <w:tcW w:w="9026" w:type="dxa"/>
            <w:tcBorders>
              <w:top w:val="single" w:sz="12" w:space="0" w:color="BF9000"/>
              <w:left w:val="single" w:sz="12" w:space="0" w:color="BF9000"/>
              <w:bottom w:val="single" w:sz="12" w:space="0" w:color="BF9000"/>
              <w:right w:val="single" w:sz="12" w:space="0" w:color="BF9000"/>
            </w:tcBorders>
            <w:shd w:val="clear" w:color="auto" w:fill="FFF2CC"/>
            <w:tcMar>
              <w:top w:w="120" w:type="dxa"/>
              <w:left w:w="160" w:type="dxa"/>
              <w:bottom w:w="120" w:type="dxa"/>
              <w:right w:w="160" w:type="dxa"/>
            </w:tcMar>
          </w:tcPr>
          <w:p w14:paraId="30D566A1" w14:textId="77777777" w:rsidR="001C0CEA" w:rsidRDefault="00000000">
            <w:pPr>
              <w:spacing w:after="80"/>
            </w:pPr>
            <w:r>
              <w:rPr>
                <w:b/>
                <w:bCs/>
                <w:color w:val="7F6000"/>
              </w:rPr>
              <w:lastRenderedPageBreak/>
              <w:t>Claves para el examen</w:t>
            </w:r>
          </w:p>
          <w:p w14:paraId="05CEE99C" w14:textId="77777777" w:rsidR="001C0CEA" w:rsidRDefault="00000000">
            <w:pPr>
              <w:pStyle w:val="Prrafodelista"/>
              <w:numPr>
                <w:ilvl w:val="0"/>
                <w:numId w:val="2"/>
              </w:numPr>
              <w:spacing w:after="40"/>
            </w:pPr>
            <w:r>
              <w:rPr>
                <w:b/>
                <w:bCs/>
                <w:sz w:val="20"/>
                <w:szCs w:val="20"/>
              </w:rPr>
              <w:t>Tier IV ↔ 2N</w:t>
            </w:r>
            <w:r>
              <w:rPr>
                <w:sz w:val="20"/>
                <w:szCs w:val="20"/>
              </w:rPr>
              <w:t xml:space="preserve"> (dos sistemas independientes, tolerante a fallos). </w:t>
            </w:r>
            <w:r>
              <w:rPr>
                <w:b/>
                <w:bCs/>
                <w:sz w:val="20"/>
                <w:szCs w:val="20"/>
              </w:rPr>
              <w:t>Tier III ↔ N+1</w:t>
            </w:r>
            <w:r>
              <w:rPr>
                <w:sz w:val="20"/>
                <w:szCs w:val="20"/>
              </w:rPr>
              <w:t xml:space="preserve"> (mantenible concurrentemente). </w:t>
            </w:r>
            <w:r>
              <w:rPr>
                <w:b/>
                <w:bCs/>
                <w:sz w:val="20"/>
                <w:szCs w:val="20"/>
              </w:rPr>
              <w:t>Tier I ↔ N</w:t>
            </w:r>
            <w:r>
              <w:rPr>
                <w:sz w:val="20"/>
                <w:szCs w:val="20"/>
              </w:rPr>
              <w:t>.</w:t>
            </w:r>
          </w:p>
          <w:p w14:paraId="6DE4C535" w14:textId="77777777" w:rsidR="001C0CEA" w:rsidRDefault="00000000">
            <w:pPr>
              <w:pStyle w:val="Prrafodelista"/>
              <w:numPr>
                <w:ilvl w:val="0"/>
                <w:numId w:val="2"/>
              </w:numPr>
              <w:spacing w:after="40"/>
            </w:pPr>
            <w:r>
              <w:rPr>
                <w:sz w:val="20"/>
                <w:szCs w:val="20"/>
              </w:rPr>
              <w:t>Disponibilidad = MTBF/(MTBF+MTTR).</w:t>
            </w:r>
          </w:p>
          <w:p w14:paraId="7C6E83A7" w14:textId="77777777" w:rsidR="001C0CEA" w:rsidRDefault="00000000">
            <w:pPr>
              <w:pStyle w:val="Prrafodelista"/>
              <w:numPr>
                <w:ilvl w:val="0"/>
                <w:numId w:val="2"/>
              </w:numPr>
              <w:spacing w:after="40"/>
            </w:pPr>
            <w:r>
              <w:rPr>
                <w:sz w:val="20"/>
                <w:szCs w:val="20"/>
              </w:rPr>
              <w:t>99,99 % ≈ 52,6 min/año; 99,999 % ≈ 5,3 min/año; 99,9 % ≈ 8,8 h/año.</w:t>
            </w:r>
          </w:p>
          <w:p w14:paraId="36BD922F" w14:textId="77777777" w:rsidR="001C0CEA" w:rsidRDefault="00000000">
            <w:pPr>
              <w:pStyle w:val="Prrafodelista"/>
              <w:numPr>
                <w:ilvl w:val="0"/>
                <w:numId w:val="2"/>
              </w:numPr>
              <w:spacing w:after="40"/>
            </w:pPr>
            <w:r>
              <w:rPr>
                <w:sz w:val="20"/>
                <w:szCs w:val="20"/>
              </w:rPr>
              <w:t>SPOF = punto único de fallo.</w:t>
            </w:r>
          </w:p>
        </w:tc>
      </w:tr>
    </w:tbl>
    <w:p w14:paraId="3FBE7CE4" w14:textId="77777777" w:rsidR="001C0CEA" w:rsidRDefault="001C0CEA">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C0CEA" w14:paraId="3F3D51D9" w14:textId="77777777">
        <w:trPr>
          <w:cantSplit/>
        </w:trPr>
        <w:tc>
          <w:tcPr>
            <w:tcW w:w="9026" w:type="dxa"/>
            <w:tcBorders>
              <w:top w:val="single" w:sz="12" w:space="0" w:color="C00000"/>
              <w:left w:val="single" w:sz="12" w:space="0" w:color="C00000"/>
              <w:bottom w:val="single" w:sz="12" w:space="0" w:color="C00000"/>
              <w:right w:val="single" w:sz="12" w:space="0" w:color="C00000"/>
            </w:tcBorders>
            <w:shd w:val="clear" w:color="auto" w:fill="FBE4E4"/>
            <w:tcMar>
              <w:top w:w="120" w:type="dxa"/>
              <w:left w:w="160" w:type="dxa"/>
              <w:bottom w:w="120" w:type="dxa"/>
              <w:right w:w="160" w:type="dxa"/>
            </w:tcMar>
          </w:tcPr>
          <w:p w14:paraId="09CA1338" w14:textId="77777777" w:rsidR="001C0CEA" w:rsidRDefault="00000000">
            <w:pPr>
              <w:spacing w:after="80"/>
            </w:pPr>
            <w:r>
              <w:rPr>
                <w:b/>
                <w:bCs/>
                <w:color w:val="C00000"/>
              </w:rPr>
              <w:t>Posibles trampas de test</w:t>
            </w:r>
          </w:p>
          <w:p w14:paraId="284FFD66" w14:textId="77777777" w:rsidR="001C0CEA" w:rsidRDefault="00000000">
            <w:pPr>
              <w:pStyle w:val="Prrafodelista"/>
              <w:numPr>
                <w:ilvl w:val="0"/>
                <w:numId w:val="2"/>
              </w:numPr>
              <w:spacing w:after="40"/>
            </w:pPr>
            <w:r>
              <w:rPr>
                <w:b/>
                <w:bCs/>
                <w:sz w:val="20"/>
                <w:szCs w:val="20"/>
              </w:rPr>
              <w:t>N+1 no es 2N:</w:t>
            </w:r>
            <w:r>
              <w:rPr>
                <w:sz w:val="20"/>
                <w:szCs w:val="20"/>
              </w:rPr>
              <w:t xml:space="preserve"> N+1 añade una unidad al mismo sistema; 2N duplica el sistema completo (incluidas rutas).</w:t>
            </w:r>
          </w:p>
          <w:p w14:paraId="1FB8F26C" w14:textId="77777777" w:rsidR="001C0CEA" w:rsidRDefault="00000000">
            <w:pPr>
              <w:pStyle w:val="Prrafodelista"/>
              <w:numPr>
                <w:ilvl w:val="0"/>
                <w:numId w:val="2"/>
              </w:numPr>
              <w:spacing w:after="40"/>
            </w:pPr>
            <w:r>
              <w:rPr>
                <w:sz w:val="20"/>
                <w:szCs w:val="20"/>
              </w:rPr>
              <w:t xml:space="preserve">En la pregunta de Tier IV la respuesta esperada es </w:t>
            </w:r>
            <w:r>
              <w:rPr>
                <w:b/>
                <w:bCs/>
                <w:sz w:val="20"/>
                <w:szCs w:val="20"/>
              </w:rPr>
              <w:t>2N</w:t>
            </w:r>
            <w:r>
              <w:rPr>
                <w:sz w:val="20"/>
                <w:szCs w:val="20"/>
              </w:rPr>
              <w:t>; 2N+1 es una variante más exigente, pero no es la asociación canónica.</w:t>
            </w:r>
          </w:p>
          <w:p w14:paraId="1538CDD6" w14:textId="77777777" w:rsidR="001C0CEA" w:rsidRDefault="00000000">
            <w:pPr>
              <w:pStyle w:val="Prrafodelista"/>
              <w:numPr>
                <w:ilvl w:val="0"/>
                <w:numId w:val="2"/>
              </w:numPr>
              <w:spacing w:after="40"/>
            </w:pPr>
            <w:r>
              <w:rPr>
                <w:sz w:val="20"/>
                <w:szCs w:val="20"/>
              </w:rPr>
              <w:t>Alta disponibilidad (evitar paradas) no es lo mismo que recuperación ante desastres (recuperar tras perder el sitio).</w:t>
            </w:r>
          </w:p>
        </w:tc>
      </w:tr>
    </w:tbl>
    <w:p w14:paraId="2E79DA22" w14:textId="77777777" w:rsidR="001C0CEA" w:rsidRDefault="001C0CEA">
      <w:pPr>
        <w:spacing w:after="120"/>
      </w:pPr>
    </w:p>
    <w:p w14:paraId="13B21E33" w14:textId="77777777" w:rsidR="001C0CEA" w:rsidRDefault="00000000">
      <w:pPr>
        <w:pStyle w:val="Ttulo1"/>
        <w:pageBreakBefore/>
      </w:pPr>
      <w:bookmarkStart w:id="41" w:name="_Toc241337922"/>
      <w:r>
        <w:lastRenderedPageBreak/>
        <w:t>10. Estándares, normas y clasificaciones de centros de datos</w:t>
      </w:r>
      <w:bookmarkEnd w:id="41"/>
    </w:p>
    <w:p w14:paraId="333D47D2" w14:textId="77777777" w:rsidR="001C0CEA" w:rsidRDefault="00000000">
      <w:pPr>
        <w:pStyle w:val="Ttulo2"/>
      </w:pPr>
      <w:bookmarkStart w:id="42" w:name="_Toc241337923"/>
      <w:r>
        <w:t>10.1. Norma, estándar, clasificación, certificación y buenas prácticas</w:t>
      </w:r>
      <w:bookmarkEnd w:id="4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200"/>
        <w:gridCol w:w="2826"/>
      </w:tblGrid>
      <w:tr w:rsidR="001C0CEA" w14:paraId="563489ED" w14:textId="77777777">
        <w:trPr>
          <w:tblHeader/>
        </w:trPr>
        <w:tc>
          <w:tcPr>
            <w:tcW w:w="20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50F90D18" w14:textId="77777777" w:rsidR="001C0CEA" w:rsidRDefault="00000000">
            <w:r>
              <w:rPr>
                <w:b/>
                <w:bCs/>
                <w:color w:val="FFFFFF"/>
                <w:sz w:val="19"/>
                <w:szCs w:val="19"/>
              </w:rPr>
              <w:t>Concepto</w:t>
            </w:r>
          </w:p>
        </w:tc>
        <w:tc>
          <w:tcPr>
            <w:tcW w:w="42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7D782855" w14:textId="77777777" w:rsidR="001C0CEA" w:rsidRDefault="00000000">
            <w:r>
              <w:rPr>
                <w:b/>
                <w:bCs/>
                <w:color w:val="FFFFFF"/>
                <w:sz w:val="19"/>
                <w:szCs w:val="19"/>
              </w:rPr>
              <w:t>Qué es</w:t>
            </w:r>
          </w:p>
        </w:tc>
        <w:tc>
          <w:tcPr>
            <w:tcW w:w="2826"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05B04430" w14:textId="77777777" w:rsidR="001C0CEA" w:rsidRDefault="00000000">
            <w:r>
              <w:rPr>
                <w:b/>
                <w:bCs/>
                <w:color w:val="FFFFFF"/>
                <w:sz w:val="19"/>
                <w:szCs w:val="19"/>
              </w:rPr>
              <w:t>Ejemplo</w:t>
            </w:r>
          </w:p>
        </w:tc>
      </w:tr>
      <w:tr w:rsidR="001C0CEA" w14:paraId="7F6309EF" w14:textId="77777777">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89C348C" w14:textId="77777777" w:rsidR="001C0CEA" w:rsidRDefault="00000000">
            <w:r>
              <w:rPr>
                <w:sz w:val="19"/>
                <w:szCs w:val="19"/>
              </w:rPr>
              <w:t>Norma / estándar</w:t>
            </w:r>
          </w:p>
        </w:tc>
        <w:tc>
          <w:tcPr>
            <w:tcW w:w="4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B98A477" w14:textId="77777777" w:rsidR="001C0CEA" w:rsidRDefault="00000000">
            <w:r>
              <w:rPr>
                <w:sz w:val="19"/>
                <w:szCs w:val="19"/>
              </w:rPr>
              <w:t>Documento de requisitos aprobado por un organismo de normalización (ISO, IEC, CEN/CENELEC, ANSI/TIA, UNE)</w:t>
            </w:r>
          </w:p>
        </w:tc>
        <w:tc>
          <w:tcPr>
            <w:tcW w:w="28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9EA5F9F" w14:textId="77777777" w:rsidR="001C0CEA" w:rsidRDefault="00000000">
            <w:r>
              <w:rPr>
                <w:sz w:val="19"/>
                <w:szCs w:val="19"/>
              </w:rPr>
              <w:t>ANSI/TIA-942-C; EN 50600; ISO/IEC 22237; ISO/IEC 27001</w:t>
            </w:r>
          </w:p>
        </w:tc>
      </w:tr>
      <w:tr w:rsidR="001C0CEA" w14:paraId="5977ABCD" w14:textId="77777777">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581185A" w14:textId="77777777" w:rsidR="001C0CEA" w:rsidRDefault="00000000">
            <w:r>
              <w:rPr>
                <w:sz w:val="19"/>
                <w:szCs w:val="19"/>
              </w:rPr>
              <w:t>Norma jurídica</w:t>
            </w:r>
          </w:p>
        </w:tc>
        <w:tc>
          <w:tcPr>
            <w:tcW w:w="4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48FF85C" w14:textId="77777777" w:rsidR="001C0CEA" w:rsidRDefault="00000000">
            <w:r>
              <w:rPr>
                <w:sz w:val="19"/>
                <w:szCs w:val="19"/>
              </w:rPr>
              <w:t>Disposición de obligado cumplimiento aprobada por un poder público</w:t>
            </w:r>
          </w:p>
        </w:tc>
        <w:tc>
          <w:tcPr>
            <w:tcW w:w="28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23795B8" w14:textId="77777777" w:rsidR="001C0CEA" w:rsidRDefault="00000000">
            <w:r>
              <w:rPr>
                <w:sz w:val="19"/>
                <w:szCs w:val="19"/>
              </w:rPr>
              <w:t>ENS (RD 311/2022); RGPD; REBT; RIPCI</w:t>
            </w:r>
          </w:p>
        </w:tc>
      </w:tr>
      <w:tr w:rsidR="001C0CEA" w14:paraId="262EE61C" w14:textId="77777777">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F06D055" w14:textId="77777777" w:rsidR="001C0CEA" w:rsidRDefault="00000000">
            <w:r>
              <w:rPr>
                <w:sz w:val="19"/>
                <w:szCs w:val="19"/>
              </w:rPr>
              <w:t>Clasificación</w:t>
            </w:r>
          </w:p>
        </w:tc>
        <w:tc>
          <w:tcPr>
            <w:tcW w:w="4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3732632" w14:textId="77777777" w:rsidR="001C0CEA" w:rsidRDefault="00000000">
            <w:r>
              <w:rPr>
                <w:sz w:val="19"/>
                <w:szCs w:val="19"/>
              </w:rPr>
              <w:t>Sistema de niveles para categorizar la instalación</w:t>
            </w:r>
          </w:p>
        </w:tc>
        <w:tc>
          <w:tcPr>
            <w:tcW w:w="28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38D136D" w14:textId="77777777" w:rsidR="001C0CEA" w:rsidRDefault="00000000">
            <w:r>
              <w:rPr>
                <w:sz w:val="19"/>
                <w:szCs w:val="19"/>
              </w:rPr>
              <w:t>Tier I–IV (Uptime); Rated-1 a Rated-4 (TIA); clases de disponibilidad 1–4 (EN 50600)</w:t>
            </w:r>
          </w:p>
        </w:tc>
      </w:tr>
      <w:tr w:rsidR="001C0CEA" w14:paraId="118E0F23" w14:textId="77777777">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03E8BC6" w14:textId="77777777" w:rsidR="001C0CEA" w:rsidRDefault="00000000">
            <w:r>
              <w:rPr>
                <w:sz w:val="19"/>
                <w:szCs w:val="19"/>
              </w:rPr>
              <w:t>Certificación</w:t>
            </w:r>
          </w:p>
        </w:tc>
        <w:tc>
          <w:tcPr>
            <w:tcW w:w="4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A850F56" w14:textId="77777777" w:rsidR="001C0CEA" w:rsidRDefault="00000000">
            <w:r>
              <w:rPr>
                <w:sz w:val="19"/>
                <w:szCs w:val="19"/>
              </w:rPr>
              <w:t>Evaluación por un tercero acreditado de que se cumple una norma o clasificación, con validez temporal</w:t>
            </w:r>
          </w:p>
        </w:tc>
        <w:tc>
          <w:tcPr>
            <w:tcW w:w="28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DAA1901" w14:textId="77777777" w:rsidR="001C0CEA" w:rsidRDefault="00000000">
            <w:r>
              <w:rPr>
                <w:sz w:val="19"/>
                <w:szCs w:val="19"/>
              </w:rPr>
              <w:t>Certificación ANSI/TIA-942; Tier Certification de Uptime; certificado ISO 27001; certificación de conformidad ENS</w:t>
            </w:r>
          </w:p>
        </w:tc>
      </w:tr>
      <w:tr w:rsidR="001C0CEA" w14:paraId="27776557" w14:textId="77777777">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1E7680A" w14:textId="77777777" w:rsidR="001C0CEA" w:rsidRDefault="00000000">
            <w:r>
              <w:rPr>
                <w:sz w:val="19"/>
                <w:szCs w:val="19"/>
              </w:rPr>
              <w:t>Buenas prácticas / marco</w:t>
            </w:r>
          </w:p>
        </w:tc>
        <w:tc>
          <w:tcPr>
            <w:tcW w:w="4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58F158E" w14:textId="77777777" w:rsidR="001C0CEA" w:rsidRDefault="00000000">
            <w:r>
              <w:rPr>
                <w:sz w:val="19"/>
                <w:szCs w:val="19"/>
              </w:rPr>
              <w:t>Recomendaciones no obligatorias</w:t>
            </w:r>
          </w:p>
        </w:tc>
        <w:tc>
          <w:tcPr>
            <w:tcW w:w="28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D3AE532" w14:textId="77777777" w:rsidR="001C0CEA" w:rsidRDefault="00000000">
            <w:r>
              <w:rPr>
                <w:sz w:val="19"/>
                <w:szCs w:val="19"/>
              </w:rPr>
              <w:t>ITIL; Código de Conducta Europeo de Eficiencia Energética en CPD</w:t>
            </w:r>
          </w:p>
        </w:tc>
      </w:tr>
    </w:tbl>
    <w:p w14:paraId="2A777A99" w14:textId="77777777" w:rsidR="001C0CEA" w:rsidRDefault="001C0CEA">
      <w:pPr>
        <w:spacing w:after="120"/>
      </w:pPr>
    </w:p>
    <w:p w14:paraId="44A6F7B4" w14:textId="77777777" w:rsidR="001C0CEA" w:rsidRDefault="00000000">
      <w:pPr>
        <w:pStyle w:val="Ttulo2"/>
      </w:pPr>
      <w:bookmarkStart w:id="43" w:name="_Toc241337924"/>
      <w:r>
        <w:t>10.2. ANSI/TIA-942</w:t>
      </w:r>
      <w:bookmarkEnd w:id="43"/>
    </w:p>
    <w:p w14:paraId="5479901A" w14:textId="77777777" w:rsidR="001C0CEA" w:rsidRDefault="00000000">
      <w:pPr>
        <w:spacing w:after="120"/>
        <w:jc w:val="both"/>
      </w:pPr>
      <w:r>
        <w:t xml:space="preserve">Es el </w:t>
      </w:r>
      <w:r>
        <w:rPr>
          <w:b/>
          <w:bCs/>
        </w:rPr>
        <w:t>estándar de infraestructura de telecomunicaciones para centros de datos</w:t>
      </w:r>
      <w:r>
        <w:t xml:space="preserve"> publicado por la </w:t>
      </w:r>
      <w:r>
        <w:rPr>
          <w:b/>
          <w:bCs/>
        </w:rPr>
        <w:t>TIA</w:t>
      </w:r>
      <w:r>
        <w:t xml:space="preserve"> (</w:t>
      </w:r>
      <w:r>
        <w:rPr>
          <w:i/>
          <w:iCs/>
        </w:rPr>
        <w:t>Telecommunications Industry Association</w:t>
      </w:r>
      <w:r>
        <w:t xml:space="preserve">), organismo acreditado por </w:t>
      </w:r>
      <w:r>
        <w:rPr>
          <w:b/>
          <w:bCs/>
        </w:rPr>
        <w:t>ANSI</w:t>
      </w:r>
      <w:r>
        <w:t xml:space="preserve">. Aunque su origen es el cableado, abarca </w:t>
      </w:r>
      <w:r>
        <w:rPr>
          <w:b/>
          <w:bCs/>
        </w:rPr>
        <w:t>arquitectura, instalaciones eléctricas, mecánicas, telecomunicaciones, seguridad y protección contra incendios</w:t>
      </w:r>
      <w:r>
        <w:t xml:space="preserve">. Primera edición en 2005; revisiones A, B (2017) y </w:t>
      </w:r>
      <w:r>
        <w:rPr>
          <w:b/>
          <w:bCs/>
        </w:rPr>
        <w:t>C, publicada en mayo de 2024</w:t>
      </w:r>
      <w:r>
        <w:t>, que es la vigente. La revisión C incorpora, entre otras novedades, requisitos de ASHRAE, un mínimo de 800 mm de ancho para armarios en áreas de distribución y clasificaciones para micro-CPD de borde.</w:t>
      </w:r>
    </w:p>
    <w:p w14:paraId="569A1BDF" w14:textId="77777777" w:rsidR="001C0CEA" w:rsidRDefault="00000000">
      <w:pPr>
        <w:spacing w:after="120"/>
        <w:jc w:val="both"/>
      </w:pPr>
      <w:r>
        <w:t xml:space="preserve">Clasifica los CPD en cuatro niveles denominados </w:t>
      </w:r>
      <w:r>
        <w:rPr>
          <w:b/>
          <w:bCs/>
        </w:rPr>
        <w:t>Rated-1 a Rated-4</w:t>
      </w:r>
      <w:r>
        <w:t xml:space="preserve"> (históricamente «Tier 1–4»; TIA sustituyó el término «Tier» por «Rated» para evitar confusión con la clasificación de Uptime Institute):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000"/>
        <w:gridCol w:w="4226"/>
      </w:tblGrid>
      <w:tr w:rsidR="001C0CEA" w14:paraId="0F715E29" w14:textId="77777777">
        <w:trPr>
          <w:tblHeader/>
        </w:trPr>
        <w:tc>
          <w:tcPr>
            <w:tcW w:w="18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712C1F76" w14:textId="77777777" w:rsidR="001C0CEA" w:rsidRDefault="00000000">
            <w:r>
              <w:rPr>
                <w:b/>
                <w:bCs/>
                <w:color w:val="FFFFFF"/>
                <w:sz w:val="19"/>
                <w:szCs w:val="19"/>
              </w:rPr>
              <w:t>Nivel TIA</w:t>
            </w:r>
          </w:p>
        </w:tc>
        <w:tc>
          <w:tcPr>
            <w:tcW w:w="30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44BFEFD2" w14:textId="77777777" w:rsidR="001C0CEA" w:rsidRDefault="00000000">
            <w:r>
              <w:rPr>
                <w:b/>
                <w:bCs/>
                <w:color w:val="FFFFFF"/>
                <w:sz w:val="19"/>
                <w:szCs w:val="19"/>
              </w:rPr>
              <w:t>Denominación</w:t>
            </w:r>
          </w:p>
        </w:tc>
        <w:tc>
          <w:tcPr>
            <w:tcW w:w="4226"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1260322B" w14:textId="77777777" w:rsidR="001C0CEA" w:rsidRDefault="00000000">
            <w:r>
              <w:rPr>
                <w:b/>
                <w:bCs/>
                <w:color w:val="FFFFFF"/>
                <w:sz w:val="19"/>
                <w:szCs w:val="19"/>
              </w:rPr>
              <w:t>Idea clave</w:t>
            </w:r>
          </w:p>
        </w:tc>
      </w:tr>
      <w:tr w:rsidR="001C0CEA" w14:paraId="4E920A47" w14:textId="77777777">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B3609C3" w14:textId="77777777" w:rsidR="001C0CEA" w:rsidRDefault="00000000">
            <w:r>
              <w:rPr>
                <w:sz w:val="19"/>
                <w:szCs w:val="19"/>
              </w:rPr>
              <w:t>Rated-1</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3214087" w14:textId="77777777" w:rsidR="001C0CEA" w:rsidRDefault="00000000">
            <w:r>
              <w:rPr>
                <w:sz w:val="19"/>
                <w:szCs w:val="19"/>
              </w:rPr>
              <w:t>Básico</w:t>
            </w:r>
          </w:p>
        </w:tc>
        <w:tc>
          <w:tcPr>
            <w:tcW w:w="42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DB547D9" w14:textId="77777777" w:rsidR="001C0CEA" w:rsidRDefault="00000000">
            <w:r>
              <w:rPr>
                <w:sz w:val="19"/>
                <w:szCs w:val="19"/>
              </w:rPr>
              <w:t>Sin redundancia; ruta única</w:t>
            </w:r>
          </w:p>
        </w:tc>
      </w:tr>
      <w:tr w:rsidR="001C0CEA" w14:paraId="66AC0882" w14:textId="77777777">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3A11358" w14:textId="77777777" w:rsidR="001C0CEA" w:rsidRDefault="00000000">
            <w:r>
              <w:rPr>
                <w:sz w:val="19"/>
                <w:szCs w:val="19"/>
              </w:rPr>
              <w:t>Rated-2</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56FF0BB" w14:textId="77777777" w:rsidR="001C0CEA" w:rsidRDefault="00000000">
            <w:r>
              <w:rPr>
                <w:sz w:val="19"/>
                <w:szCs w:val="19"/>
              </w:rPr>
              <w:t>Componentes redundantes</w:t>
            </w:r>
          </w:p>
        </w:tc>
        <w:tc>
          <w:tcPr>
            <w:tcW w:w="42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2732701" w14:textId="77777777" w:rsidR="001C0CEA" w:rsidRDefault="00000000">
            <w:r>
              <w:rPr>
                <w:sz w:val="19"/>
                <w:szCs w:val="19"/>
              </w:rPr>
              <w:t>Componentes N+1, ruta única de distribución</w:t>
            </w:r>
          </w:p>
        </w:tc>
      </w:tr>
      <w:tr w:rsidR="001C0CEA" w14:paraId="1BE5BC0D" w14:textId="77777777">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0CF5770" w14:textId="77777777" w:rsidR="001C0CEA" w:rsidRDefault="00000000">
            <w:r>
              <w:rPr>
                <w:sz w:val="19"/>
                <w:szCs w:val="19"/>
              </w:rPr>
              <w:t>Rated-3</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D5A5953" w14:textId="77777777" w:rsidR="001C0CEA" w:rsidRDefault="00000000">
            <w:r>
              <w:rPr>
                <w:sz w:val="19"/>
                <w:szCs w:val="19"/>
              </w:rPr>
              <w:t>Mantenible concurrentemente</w:t>
            </w:r>
          </w:p>
        </w:tc>
        <w:tc>
          <w:tcPr>
            <w:tcW w:w="42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E21A5E2" w14:textId="77777777" w:rsidR="001C0CEA" w:rsidRDefault="00000000">
            <w:r>
              <w:rPr>
                <w:sz w:val="19"/>
                <w:szCs w:val="19"/>
              </w:rPr>
              <w:t>Múltiples rutas (una activa); mantenimiento sin parada</w:t>
            </w:r>
          </w:p>
        </w:tc>
      </w:tr>
      <w:tr w:rsidR="001C0CEA" w14:paraId="1D3B59F4" w14:textId="77777777">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76BF665" w14:textId="77777777" w:rsidR="001C0CEA" w:rsidRDefault="00000000">
            <w:r>
              <w:rPr>
                <w:sz w:val="19"/>
                <w:szCs w:val="19"/>
              </w:rPr>
              <w:t>Rated-4</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3D858F4" w14:textId="77777777" w:rsidR="001C0CEA" w:rsidRDefault="00000000">
            <w:r>
              <w:rPr>
                <w:sz w:val="19"/>
                <w:szCs w:val="19"/>
              </w:rPr>
              <w:t>Tolerante a fallos</w:t>
            </w:r>
          </w:p>
        </w:tc>
        <w:tc>
          <w:tcPr>
            <w:tcW w:w="42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DD987CA" w14:textId="77777777" w:rsidR="001C0CEA" w:rsidRDefault="00000000">
            <w:r>
              <w:rPr>
                <w:sz w:val="19"/>
                <w:szCs w:val="19"/>
              </w:rPr>
              <w:t>Rutas activas múltiples; soporta un fallo sin impacto</w:t>
            </w:r>
          </w:p>
        </w:tc>
      </w:tr>
    </w:tbl>
    <w:p w14:paraId="08F6AC01" w14:textId="77777777" w:rsidR="001C0CEA" w:rsidRDefault="001C0CEA">
      <w:pPr>
        <w:spacing w:after="120"/>
      </w:pPr>
    </w:p>
    <w:p w14:paraId="7A3144FA" w14:textId="77777777" w:rsidR="001C0CEA" w:rsidRDefault="00000000">
      <w:pPr>
        <w:pStyle w:val="Ttulo3"/>
      </w:pPr>
      <w:r>
        <w:t>Certificación ANSI/TIA-942</w:t>
      </w:r>
    </w:p>
    <w:p w14:paraId="4F3027E0" w14:textId="77777777" w:rsidR="001C0CEA" w:rsidRDefault="00000000">
      <w:pPr>
        <w:spacing w:after="120"/>
        <w:jc w:val="both"/>
      </w:pPr>
      <w:r>
        <w:t xml:space="preserve">La realizan </w:t>
      </w:r>
      <w:r>
        <w:rPr>
          <w:b/>
          <w:bCs/>
        </w:rPr>
        <w:t>organismos de certificación licenciados por TIA</w:t>
      </w:r>
      <w:r>
        <w:t xml:space="preserve"> (no personas individuales). Modalidades:</w:t>
      </w:r>
    </w:p>
    <w:p w14:paraId="05769C5D" w14:textId="77777777" w:rsidR="001C0CEA" w:rsidRDefault="00000000">
      <w:pPr>
        <w:pStyle w:val="Prrafodelista"/>
        <w:numPr>
          <w:ilvl w:val="0"/>
          <w:numId w:val="2"/>
        </w:numPr>
        <w:spacing w:after="60"/>
      </w:pPr>
      <w:r>
        <w:rPr>
          <w:b/>
          <w:bCs/>
        </w:rPr>
        <w:t>Certificación de diseño:</w:t>
      </w:r>
      <w:r>
        <w:t xml:space="preserve"> revisión documental del proyecto. Validez de </w:t>
      </w:r>
      <w:r>
        <w:rPr>
          <w:b/>
          <w:bCs/>
        </w:rPr>
        <w:t>1 año</w:t>
      </w:r>
      <w:r>
        <w:t>, ampliable si el sitio aún no está operativo.</w:t>
      </w:r>
    </w:p>
    <w:p w14:paraId="3259430C" w14:textId="77777777" w:rsidR="001C0CEA" w:rsidRDefault="00000000">
      <w:pPr>
        <w:pStyle w:val="Prrafodelista"/>
        <w:numPr>
          <w:ilvl w:val="0"/>
          <w:numId w:val="2"/>
        </w:numPr>
        <w:spacing w:after="60"/>
      </w:pPr>
      <w:r>
        <w:rPr>
          <w:b/>
          <w:bCs/>
        </w:rPr>
        <w:t>Certificación de instalaciones (CPD operativo):</w:t>
      </w:r>
      <w:r>
        <w:t xml:space="preserve"> auditoría in situ. Validez de </w:t>
      </w:r>
      <w:r>
        <w:rPr>
          <w:b/>
          <w:bCs/>
        </w:rPr>
        <w:t>3 años</w:t>
      </w:r>
      <w:r>
        <w:t xml:space="preserve">, con </w:t>
      </w:r>
      <w:r>
        <w:rPr>
          <w:b/>
          <w:bCs/>
        </w:rPr>
        <w:t>auditorías de vigilancia</w:t>
      </w:r>
      <w:r>
        <w:t xml:space="preserve"> al final del primer y segundo año; al tercer año, </w:t>
      </w:r>
      <w:r>
        <w:rPr>
          <w:b/>
          <w:bCs/>
        </w:rPr>
        <w:t>recertificación</w:t>
      </w:r>
      <w:r>
        <w:t xml:space="preserve"> completa.</w:t>
      </w:r>
    </w:p>
    <w:p w14:paraId="256E0418" w14:textId="77777777" w:rsidR="001C0CEA" w:rsidRDefault="00000000">
      <w:pPr>
        <w:pStyle w:val="Prrafodelista"/>
        <w:numPr>
          <w:ilvl w:val="0"/>
          <w:numId w:val="2"/>
        </w:numPr>
        <w:spacing w:after="60"/>
      </w:pPr>
      <w:r>
        <w:lastRenderedPageBreak/>
        <w:t>Certificación de productos «TIA-942 Ready» para CPD prefabricados o modulares (validez anual).</w:t>
      </w:r>
    </w:p>
    <w:p w14:paraId="089FD34E" w14:textId="77777777" w:rsidR="001C0CEA" w:rsidRDefault="00000000">
      <w:pPr>
        <w:pStyle w:val="Ttulo2"/>
      </w:pPr>
      <w:bookmarkStart w:id="44" w:name="_Toc241337925"/>
      <w:r>
        <w:t>10.3. Uptime Institute: clasificación Tier</w:t>
      </w:r>
      <w:bookmarkEnd w:id="44"/>
    </w:p>
    <w:p w14:paraId="767A0EDB" w14:textId="77777777" w:rsidR="001C0CEA" w:rsidRDefault="00000000">
      <w:pPr>
        <w:spacing w:after="120"/>
        <w:jc w:val="both"/>
      </w:pPr>
      <w:r>
        <w:t xml:space="preserve">El </w:t>
      </w:r>
      <w:r>
        <w:rPr>
          <w:b/>
          <w:bCs/>
        </w:rPr>
        <w:t>Uptime Institute</w:t>
      </w:r>
      <w:r>
        <w:t xml:space="preserve"> es una organización privada estadounidense que creó la clasificación </w:t>
      </w:r>
      <w:r>
        <w:rPr>
          <w:b/>
          <w:bCs/>
        </w:rPr>
        <w:t>Tier</w:t>
      </w:r>
      <w:r>
        <w:t xml:space="preserve"> (niveles I a IV, en números romanos). Su </w:t>
      </w:r>
      <w:r>
        <w:rPr>
          <w:i/>
          <w:iCs/>
        </w:rPr>
        <w:t>Tier Standard: Topology</w:t>
      </w:r>
      <w:r>
        <w:t xml:space="preserve"> define los niveles por su </w:t>
      </w:r>
      <w:r>
        <w:rPr>
          <w:b/>
          <w:bCs/>
        </w:rPr>
        <w:t>comportamiento ante mantenimiento y fallos</w:t>
      </w:r>
      <w:r>
        <w:t>, y ofrece certificaciones propias (</w:t>
      </w:r>
      <w:r>
        <w:rPr>
          <w:i/>
          <w:iCs/>
        </w:rPr>
        <w:t>Tier Certification of Design Documents</w:t>
      </w:r>
      <w:r>
        <w:t xml:space="preserve">, </w:t>
      </w:r>
      <w:r>
        <w:rPr>
          <w:i/>
          <w:iCs/>
        </w:rPr>
        <w:t>of Constructed Facility</w:t>
      </w:r>
      <w:r>
        <w:t xml:space="preserve"> y la evaluación de </w:t>
      </w:r>
      <w:r>
        <w:rPr>
          <w:i/>
          <w:iCs/>
        </w:rPr>
        <w:t>Operational Sustainability</w:t>
      </w:r>
      <w:r>
        <w:t xml:space="preserve">, sobre la operación). </w:t>
      </w:r>
      <w:r>
        <w:rPr>
          <w:b/>
          <w:bCs/>
        </w:rPr>
        <w:t>No es una norma ISO/EN/TIA</w:t>
      </w:r>
      <w:r>
        <w:t>: es un esquema privado.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500"/>
        <w:gridCol w:w="2700"/>
        <w:gridCol w:w="3026"/>
      </w:tblGrid>
      <w:tr w:rsidR="001C0CEA" w14:paraId="1B3AD484" w14:textId="77777777">
        <w:trPr>
          <w:tblHeader/>
        </w:trPr>
        <w:tc>
          <w:tcPr>
            <w:tcW w:w="8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4398D840" w14:textId="77777777" w:rsidR="001C0CEA" w:rsidRDefault="00000000">
            <w:r>
              <w:rPr>
                <w:b/>
                <w:bCs/>
                <w:color w:val="FFFFFF"/>
                <w:sz w:val="19"/>
                <w:szCs w:val="19"/>
              </w:rPr>
              <w:t>Tier</w:t>
            </w:r>
          </w:p>
        </w:tc>
        <w:tc>
          <w:tcPr>
            <w:tcW w:w="25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59ACF048" w14:textId="77777777" w:rsidR="001C0CEA" w:rsidRDefault="00000000">
            <w:r>
              <w:rPr>
                <w:b/>
                <w:bCs/>
                <w:color w:val="FFFFFF"/>
                <w:sz w:val="19"/>
                <w:szCs w:val="19"/>
              </w:rPr>
              <w:t>Denominación</w:t>
            </w:r>
          </w:p>
        </w:tc>
        <w:tc>
          <w:tcPr>
            <w:tcW w:w="27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5A8ADC9C" w14:textId="77777777" w:rsidR="001C0CEA" w:rsidRDefault="00000000">
            <w:r>
              <w:rPr>
                <w:b/>
                <w:bCs/>
                <w:color w:val="FFFFFF"/>
                <w:sz w:val="19"/>
                <w:szCs w:val="19"/>
              </w:rPr>
              <w:t>Redundancia típica</w:t>
            </w:r>
          </w:p>
        </w:tc>
        <w:tc>
          <w:tcPr>
            <w:tcW w:w="3026"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1C3E4070" w14:textId="77777777" w:rsidR="001C0CEA" w:rsidRDefault="00000000">
            <w:r>
              <w:rPr>
                <w:b/>
                <w:bCs/>
                <w:color w:val="FFFFFF"/>
                <w:sz w:val="19"/>
                <w:szCs w:val="19"/>
              </w:rPr>
              <w:t>Característica</w:t>
            </w:r>
          </w:p>
        </w:tc>
      </w:tr>
      <w:tr w:rsidR="001C0CEA" w14:paraId="2D49F07B" w14:textId="77777777">
        <w:tc>
          <w:tcPr>
            <w:tcW w:w="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AF79EE6" w14:textId="77777777" w:rsidR="001C0CEA" w:rsidRDefault="00000000">
            <w:r>
              <w:rPr>
                <w:sz w:val="19"/>
                <w:szCs w:val="19"/>
              </w:rPr>
              <w:t>I</w:t>
            </w:r>
          </w:p>
        </w:tc>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897BA51" w14:textId="77777777" w:rsidR="001C0CEA" w:rsidRDefault="00000000">
            <w:r>
              <w:rPr>
                <w:sz w:val="19"/>
                <w:szCs w:val="19"/>
              </w:rPr>
              <w:t>Infraestructura básica</w:t>
            </w:r>
          </w:p>
        </w:tc>
        <w:tc>
          <w:tcPr>
            <w:tcW w:w="2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FD38A51" w14:textId="77777777" w:rsidR="001C0CEA" w:rsidRDefault="00000000">
            <w:r>
              <w:rPr>
                <w:sz w:val="19"/>
                <w:szCs w:val="19"/>
              </w:rPr>
              <w:t>N</w:t>
            </w:r>
          </w:p>
        </w:tc>
        <w:tc>
          <w:tcPr>
            <w:tcW w:w="30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16E3DE8" w14:textId="77777777" w:rsidR="001C0CEA" w:rsidRDefault="00000000">
            <w:r>
              <w:rPr>
                <w:sz w:val="19"/>
                <w:szCs w:val="19"/>
              </w:rPr>
              <w:t>Ruta única; cualquier mantenimiento o fallo para la carga</w:t>
            </w:r>
          </w:p>
        </w:tc>
      </w:tr>
      <w:tr w:rsidR="001C0CEA" w14:paraId="52172C6D" w14:textId="77777777">
        <w:tc>
          <w:tcPr>
            <w:tcW w:w="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89B7AA0" w14:textId="77777777" w:rsidR="001C0CEA" w:rsidRDefault="00000000">
            <w:r>
              <w:rPr>
                <w:sz w:val="19"/>
                <w:szCs w:val="19"/>
              </w:rPr>
              <w:t>II</w:t>
            </w:r>
          </w:p>
        </w:tc>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FBBFABB" w14:textId="77777777" w:rsidR="001C0CEA" w:rsidRDefault="00000000">
            <w:r>
              <w:rPr>
                <w:sz w:val="19"/>
                <w:szCs w:val="19"/>
              </w:rPr>
              <w:t>Componentes redundantes</w:t>
            </w:r>
          </w:p>
        </w:tc>
        <w:tc>
          <w:tcPr>
            <w:tcW w:w="2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98EB105" w14:textId="77777777" w:rsidR="001C0CEA" w:rsidRDefault="00000000">
            <w:r>
              <w:rPr>
                <w:sz w:val="19"/>
                <w:szCs w:val="19"/>
              </w:rPr>
              <w:t>N+1 (componentes)</w:t>
            </w:r>
          </w:p>
        </w:tc>
        <w:tc>
          <w:tcPr>
            <w:tcW w:w="30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22A0BE4" w14:textId="77777777" w:rsidR="001C0CEA" w:rsidRDefault="00000000">
            <w:r>
              <w:rPr>
                <w:sz w:val="19"/>
                <w:szCs w:val="19"/>
              </w:rPr>
              <w:t>Ruta única de distribución</w:t>
            </w:r>
          </w:p>
        </w:tc>
      </w:tr>
      <w:tr w:rsidR="001C0CEA" w14:paraId="0C84F2CA" w14:textId="77777777">
        <w:tc>
          <w:tcPr>
            <w:tcW w:w="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E104283" w14:textId="77777777" w:rsidR="001C0CEA" w:rsidRDefault="00000000">
            <w:r>
              <w:rPr>
                <w:sz w:val="19"/>
                <w:szCs w:val="19"/>
              </w:rPr>
              <w:t>III</w:t>
            </w:r>
          </w:p>
        </w:tc>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0D49187" w14:textId="77777777" w:rsidR="001C0CEA" w:rsidRDefault="00000000">
            <w:r>
              <w:rPr>
                <w:sz w:val="19"/>
                <w:szCs w:val="19"/>
              </w:rPr>
              <w:t>Mantenimiento concurrente</w:t>
            </w:r>
          </w:p>
        </w:tc>
        <w:tc>
          <w:tcPr>
            <w:tcW w:w="2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5DFBE22" w14:textId="77777777" w:rsidR="001C0CEA" w:rsidRDefault="00000000">
            <w:r>
              <w:rPr>
                <w:sz w:val="19"/>
                <w:szCs w:val="19"/>
              </w:rPr>
              <w:t>N+1 con varias rutas (una activa)</w:t>
            </w:r>
          </w:p>
        </w:tc>
        <w:tc>
          <w:tcPr>
            <w:tcW w:w="30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38E133D" w14:textId="77777777" w:rsidR="001C0CEA" w:rsidRDefault="00000000">
            <w:r>
              <w:rPr>
                <w:sz w:val="19"/>
                <w:szCs w:val="19"/>
              </w:rPr>
              <w:t>Cualquier componente puede retirarse para mantenimiento sin parar</w:t>
            </w:r>
          </w:p>
        </w:tc>
      </w:tr>
      <w:tr w:rsidR="001C0CEA" w14:paraId="3C100CCA" w14:textId="77777777">
        <w:tc>
          <w:tcPr>
            <w:tcW w:w="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362EAE0" w14:textId="77777777" w:rsidR="001C0CEA" w:rsidRDefault="00000000">
            <w:r>
              <w:rPr>
                <w:sz w:val="19"/>
                <w:szCs w:val="19"/>
              </w:rPr>
              <w:t>IV</w:t>
            </w:r>
          </w:p>
        </w:tc>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4D975C1" w14:textId="77777777" w:rsidR="001C0CEA" w:rsidRDefault="00000000">
            <w:r>
              <w:rPr>
                <w:sz w:val="19"/>
                <w:szCs w:val="19"/>
              </w:rPr>
              <w:t>Tolerante a fallos</w:t>
            </w:r>
          </w:p>
        </w:tc>
        <w:tc>
          <w:tcPr>
            <w:tcW w:w="2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58759EA" w14:textId="77777777" w:rsidR="001C0CEA" w:rsidRDefault="00000000">
            <w:r>
              <w:rPr>
                <w:b/>
                <w:bCs/>
                <w:sz w:val="19"/>
                <w:szCs w:val="19"/>
              </w:rPr>
              <w:t>2N</w:t>
            </w:r>
            <w:r>
              <w:rPr>
                <w:sz w:val="19"/>
                <w:szCs w:val="19"/>
              </w:rPr>
              <w:t xml:space="preserve"> (o 2(N+1))</w:t>
            </w:r>
          </w:p>
        </w:tc>
        <w:tc>
          <w:tcPr>
            <w:tcW w:w="30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4910F98" w14:textId="77777777" w:rsidR="001C0CEA" w:rsidRDefault="00000000">
            <w:r>
              <w:rPr>
                <w:sz w:val="19"/>
                <w:szCs w:val="19"/>
              </w:rPr>
              <w:t>Rutas independientes, activas y compartimentadas; un fallo no afecta a la carga</w:t>
            </w:r>
          </w:p>
        </w:tc>
      </w:tr>
    </w:tbl>
    <w:p w14:paraId="4EC781AA" w14:textId="77777777" w:rsidR="001C0CEA" w:rsidRDefault="001C0CEA">
      <w:pPr>
        <w:spacing w:after="120"/>
      </w:pPr>
    </w:p>
    <w:p w14:paraId="56C64041" w14:textId="77777777" w:rsidR="001C0CEA" w:rsidRDefault="00000000">
      <w:pPr>
        <w:spacing w:after="120"/>
        <w:jc w:val="both"/>
      </w:pPr>
      <w:r>
        <w:t xml:space="preserve">En respuesta a preguntas conceptuales: el </w:t>
      </w:r>
      <w:r>
        <w:rPr>
          <w:b/>
          <w:bCs/>
        </w:rPr>
        <w:t>Tier</w:t>
      </w:r>
      <w:r>
        <w:t xml:space="preserve"> indica la </w:t>
      </w:r>
      <w:r>
        <w:rPr>
          <w:b/>
          <w:bCs/>
        </w:rPr>
        <w:t>fiabilidad/disponibilidad de la infraestructura de un CPD</w:t>
      </w:r>
      <w:r>
        <w:t xml:space="preserve"> asociada a </w:t>
      </w:r>
      <w:r>
        <w:rPr>
          <w:b/>
          <w:bCs/>
        </w:rPr>
        <w:t>cuatro niveles</w:t>
      </w:r>
      <w:r>
        <w:t>. No mide eficiencia energética ni se puntúa de 0 a 99,999.</w:t>
      </w:r>
    </w:p>
    <w:p w14:paraId="0E9BF43A" w14:textId="77777777" w:rsidR="001C0CEA" w:rsidRDefault="00000000">
      <w:pPr>
        <w:pStyle w:val="Ttulo2"/>
      </w:pPr>
      <w:bookmarkStart w:id="45" w:name="_Toc241337926"/>
      <w:r>
        <w:t>10.4. EN 50600 e ISO/IEC 22237</w:t>
      </w:r>
      <w:bookmarkEnd w:id="45"/>
    </w:p>
    <w:p w14:paraId="0FF51D28" w14:textId="77777777" w:rsidR="001C0CEA" w:rsidRDefault="00000000">
      <w:pPr>
        <w:spacing w:after="120"/>
        <w:jc w:val="both"/>
      </w:pPr>
      <w:r>
        <w:t xml:space="preserve">La serie europea </w:t>
      </w:r>
      <w:r>
        <w:rPr>
          <w:b/>
          <w:bCs/>
        </w:rPr>
        <w:t>EN 50600</w:t>
      </w:r>
      <w:r>
        <w:t xml:space="preserve"> (CENELEC), adoptada en España como UNE-EN 50600, y su equivalente internacional </w:t>
      </w:r>
      <w:r>
        <w:rPr>
          <w:b/>
          <w:bCs/>
        </w:rPr>
        <w:t>ISO/IEC 22237</w:t>
      </w:r>
      <w:r>
        <w:t xml:space="preserve"> (serie </w:t>
      </w:r>
      <w:r>
        <w:rPr>
          <w:i/>
          <w:iCs/>
        </w:rPr>
        <w:t>Data centre facilities and infrastructures</w:t>
      </w:r>
      <w:r>
        <w:t xml:space="preserve">) establecen requisitos para el diseño, construcción y operación de instalaciones de CPD. Se estructuran en partes: conceptos generales, construcción del edificio, distribución de energía, control ambiental, cableado de telecomunicaciones, sistemas de seguridad, gestión y operación, e indicadores de eficiencia (serie -4, en la que se integra el PUE). Definen </w:t>
      </w:r>
      <w:r>
        <w:rPr>
          <w:b/>
          <w:bCs/>
        </w:rPr>
        <w:t>clases de disponibilidad (1 a 4)</w:t>
      </w:r>
      <w:r>
        <w:t xml:space="preserve"> para energía, climatización y cableado, </w:t>
      </w:r>
      <w:r>
        <w:rPr>
          <w:b/>
          <w:bCs/>
        </w:rPr>
        <w:t>clases de protección</w:t>
      </w:r>
      <w:r>
        <w:t xml:space="preserve"> (física, incendio, acceso) y </w:t>
      </w:r>
      <w:r>
        <w:rPr>
          <w:b/>
          <w:bCs/>
        </w:rPr>
        <w:t>niveles de granularidad</w:t>
      </w:r>
      <w:r>
        <w:t xml:space="preserve"> para la eficiencia energética. Las clases de disponibilidad 1–4 son comparables en concepto, pero </w:t>
      </w:r>
      <w:r>
        <w:rPr>
          <w:b/>
          <w:bCs/>
        </w:rPr>
        <w:t>no equivalentes</w:t>
      </w:r>
      <w:r>
        <w:t xml:space="preserve"> jurídicamente ni técnicamente, a los Tiers de Uptime o los Rated de TIA.</w:t>
      </w:r>
    </w:p>
    <w:p w14:paraId="496C30F7" w14:textId="77777777" w:rsidR="001C0CEA" w:rsidRDefault="00000000">
      <w:pPr>
        <w:pStyle w:val="Ttulo2"/>
      </w:pPr>
      <w:bookmarkStart w:id="46" w:name="_Toc241337927"/>
      <w:r>
        <w:t>10.5. Otras normas relevantes</w:t>
      </w:r>
      <w:bookmarkEnd w:id="4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500"/>
        <w:gridCol w:w="1900"/>
        <w:gridCol w:w="1500"/>
        <w:gridCol w:w="2226"/>
      </w:tblGrid>
      <w:tr w:rsidR="001C0CEA" w14:paraId="1A83D6BF" w14:textId="77777777">
        <w:trPr>
          <w:tblHeader/>
        </w:trPr>
        <w:tc>
          <w:tcPr>
            <w:tcW w:w="19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569F5EBA" w14:textId="77777777" w:rsidR="001C0CEA" w:rsidRDefault="00000000">
            <w:r>
              <w:rPr>
                <w:b/>
                <w:bCs/>
                <w:color w:val="FFFFFF"/>
                <w:sz w:val="19"/>
                <w:szCs w:val="19"/>
              </w:rPr>
              <w:t>Norma/estándar</w:t>
            </w:r>
          </w:p>
        </w:tc>
        <w:tc>
          <w:tcPr>
            <w:tcW w:w="15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3B01EE19" w14:textId="77777777" w:rsidR="001C0CEA" w:rsidRDefault="00000000">
            <w:r>
              <w:rPr>
                <w:b/>
                <w:bCs/>
                <w:color w:val="FFFFFF"/>
                <w:sz w:val="19"/>
                <w:szCs w:val="19"/>
              </w:rPr>
              <w:t>Organismo</w:t>
            </w:r>
          </w:p>
        </w:tc>
        <w:tc>
          <w:tcPr>
            <w:tcW w:w="19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5417F778" w14:textId="77777777" w:rsidR="001C0CEA" w:rsidRDefault="00000000">
            <w:r>
              <w:rPr>
                <w:b/>
                <w:bCs/>
                <w:color w:val="FFFFFF"/>
                <w:sz w:val="19"/>
                <w:szCs w:val="19"/>
              </w:rPr>
              <w:t>Finalidad</w:t>
            </w:r>
          </w:p>
        </w:tc>
        <w:tc>
          <w:tcPr>
            <w:tcW w:w="15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367D8DE3" w14:textId="77777777" w:rsidR="001C0CEA" w:rsidRDefault="00000000">
            <w:r>
              <w:rPr>
                <w:b/>
                <w:bCs/>
                <w:color w:val="FFFFFF"/>
                <w:sz w:val="19"/>
                <w:szCs w:val="19"/>
              </w:rPr>
              <w:t>Ámbito</w:t>
            </w:r>
          </w:p>
        </w:tc>
        <w:tc>
          <w:tcPr>
            <w:tcW w:w="2226"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09B90866" w14:textId="77777777" w:rsidR="001C0CEA" w:rsidRDefault="00000000">
            <w:r>
              <w:rPr>
                <w:b/>
                <w:bCs/>
                <w:color w:val="FFFFFF"/>
                <w:sz w:val="19"/>
                <w:szCs w:val="19"/>
              </w:rPr>
              <w:t>Versión/estado (verificado a 09/2026)</w:t>
            </w:r>
          </w:p>
        </w:tc>
      </w:tr>
      <w:tr w:rsidR="001C0CEA" w14:paraId="1020BD1C" w14:textId="77777777">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ED21EE0" w14:textId="77777777" w:rsidR="001C0CEA" w:rsidRDefault="00000000">
            <w:r>
              <w:rPr>
                <w:sz w:val="19"/>
                <w:szCs w:val="19"/>
              </w:rPr>
              <w:t>ANSI/TIA-942</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DF747C5" w14:textId="77777777" w:rsidR="001C0CEA" w:rsidRDefault="00000000">
            <w:r>
              <w:rPr>
                <w:sz w:val="19"/>
                <w:szCs w:val="19"/>
              </w:rPr>
              <w:t>TIA (ANSI)</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2894CF3" w14:textId="77777777" w:rsidR="001C0CEA" w:rsidRDefault="00000000">
            <w:r>
              <w:rPr>
                <w:sz w:val="19"/>
                <w:szCs w:val="19"/>
              </w:rPr>
              <w:t>Infraestructura de CPD</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859CDD6" w14:textId="77777777" w:rsidR="001C0CEA" w:rsidRDefault="00000000">
            <w:r>
              <w:rPr>
                <w:sz w:val="19"/>
                <w:szCs w:val="19"/>
              </w:rPr>
              <w:t>Diseño y certificación de CPD</w:t>
            </w:r>
          </w:p>
        </w:tc>
        <w:tc>
          <w:tcPr>
            <w:tcW w:w="22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83A5021" w14:textId="77777777" w:rsidR="001C0CEA" w:rsidRDefault="00000000">
            <w:r>
              <w:rPr>
                <w:sz w:val="19"/>
                <w:szCs w:val="19"/>
              </w:rPr>
              <w:t>Revisión C, mayo 2024</w:t>
            </w:r>
          </w:p>
        </w:tc>
      </w:tr>
      <w:tr w:rsidR="001C0CEA" w14:paraId="778D009E" w14:textId="77777777">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3039AB6" w14:textId="77777777" w:rsidR="001C0CEA" w:rsidRDefault="00000000">
            <w:r>
              <w:rPr>
                <w:sz w:val="19"/>
                <w:szCs w:val="19"/>
              </w:rPr>
              <w:t>Tier Standard: Topology / Operational Sustainability</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C531328" w14:textId="77777777" w:rsidR="001C0CEA" w:rsidRDefault="00000000">
            <w:r>
              <w:rPr>
                <w:sz w:val="19"/>
                <w:szCs w:val="19"/>
              </w:rPr>
              <w:t>Uptime Institute (privado)</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A12B39C" w14:textId="77777777" w:rsidR="001C0CEA" w:rsidRDefault="00000000">
            <w:r>
              <w:rPr>
                <w:sz w:val="19"/>
                <w:szCs w:val="19"/>
              </w:rPr>
              <w:t>Clasificación Tier I–IV</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A81257D" w14:textId="77777777" w:rsidR="001C0CEA" w:rsidRDefault="00000000">
            <w:r>
              <w:rPr>
                <w:sz w:val="19"/>
                <w:szCs w:val="19"/>
              </w:rPr>
              <w:t>Diseño, construcción y operación</w:t>
            </w:r>
          </w:p>
        </w:tc>
        <w:tc>
          <w:tcPr>
            <w:tcW w:w="22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78800A1" w14:textId="77777777" w:rsidR="001C0CEA" w:rsidRDefault="00000000">
            <w:r>
              <w:rPr>
                <w:sz w:val="19"/>
                <w:szCs w:val="19"/>
              </w:rPr>
              <w:t>Vigente; esquema privado</w:t>
            </w:r>
          </w:p>
        </w:tc>
      </w:tr>
      <w:tr w:rsidR="001C0CEA" w14:paraId="54FCC65D" w14:textId="77777777">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75DAF52" w14:textId="77777777" w:rsidR="001C0CEA" w:rsidRDefault="00000000">
            <w:r>
              <w:rPr>
                <w:sz w:val="19"/>
                <w:szCs w:val="19"/>
              </w:rPr>
              <w:t>EN 50600 (UNE-EN 50600)</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01BDBCA" w14:textId="77777777" w:rsidR="001C0CEA" w:rsidRDefault="00000000">
            <w:r>
              <w:rPr>
                <w:sz w:val="19"/>
                <w:szCs w:val="19"/>
              </w:rPr>
              <w:t>CENELEC (UNE en España)</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7CBD017" w14:textId="77777777" w:rsidR="001C0CEA" w:rsidRDefault="00000000">
            <w:r>
              <w:rPr>
                <w:sz w:val="19"/>
                <w:szCs w:val="19"/>
              </w:rPr>
              <w:t>Instalaciones e infraestructuras de CPD</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0FAD7EC" w14:textId="77777777" w:rsidR="001C0CEA" w:rsidRDefault="00000000">
            <w:r>
              <w:rPr>
                <w:sz w:val="19"/>
                <w:szCs w:val="19"/>
              </w:rPr>
              <w:t>Europa</w:t>
            </w:r>
          </w:p>
        </w:tc>
        <w:tc>
          <w:tcPr>
            <w:tcW w:w="22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23A6335" w14:textId="77777777" w:rsidR="001C0CEA" w:rsidRDefault="00000000">
            <w:r>
              <w:rPr>
                <w:sz w:val="19"/>
                <w:szCs w:val="19"/>
              </w:rPr>
              <w:t>Serie en vigor, partes con distintas ediciones</w:t>
            </w:r>
          </w:p>
        </w:tc>
      </w:tr>
      <w:tr w:rsidR="001C0CEA" w14:paraId="56278AB4" w14:textId="77777777">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052BD06" w14:textId="77777777" w:rsidR="001C0CEA" w:rsidRDefault="00000000">
            <w:r>
              <w:rPr>
                <w:sz w:val="19"/>
                <w:szCs w:val="19"/>
              </w:rPr>
              <w:lastRenderedPageBreak/>
              <w:t>ISO/IEC 22237</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12A3D7D" w14:textId="77777777" w:rsidR="001C0CEA" w:rsidRDefault="00000000">
            <w:r>
              <w:rPr>
                <w:sz w:val="19"/>
                <w:szCs w:val="19"/>
              </w:rPr>
              <w:t>ISO/IEC JTC 1</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C85A1A1" w14:textId="77777777" w:rsidR="001C0CEA" w:rsidRDefault="00000000">
            <w:r>
              <w:rPr>
                <w:sz w:val="19"/>
                <w:szCs w:val="19"/>
              </w:rPr>
              <w:t>Equivalente internacional de EN 50600</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D966EB3" w14:textId="77777777" w:rsidR="001C0CEA" w:rsidRDefault="00000000">
            <w:r>
              <w:rPr>
                <w:sz w:val="19"/>
                <w:szCs w:val="19"/>
              </w:rPr>
              <w:t>Internacional</w:t>
            </w:r>
          </w:p>
        </w:tc>
        <w:tc>
          <w:tcPr>
            <w:tcW w:w="22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F219395" w14:textId="77777777" w:rsidR="001C0CEA" w:rsidRDefault="00000000">
            <w:r>
              <w:rPr>
                <w:sz w:val="19"/>
                <w:szCs w:val="19"/>
              </w:rPr>
              <w:t>Serie en vigor</w:t>
            </w:r>
          </w:p>
        </w:tc>
      </w:tr>
      <w:tr w:rsidR="001C0CEA" w14:paraId="65773F4D" w14:textId="77777777">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600F17C" w14:textId="77777777" w:rsidR="001C0CEA" w:rsidRDefault="00000000">
            <w:r>
              <w:rPr>
                <w:sz w:val="19"/>
                <w:szCs w:val="19"/>
              </w:rPr>
              <w:t>ISO/IEC 30134-2</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D3CF093" w14:textId="77777777" w:rsidR="001C0CEA" w:rsidRDefault="00000000">
            <w:r>
              <w:rPr>
                <w:sz w:val="19"/>
                <w:szCs w:val="19"/>
              </w:rPr>
              <w:t>ISO/IEC</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5E5F8AB" w14:textId="77777777" w:rsidR="001C0CEA" w:rsidRDefault="00000000">
            <w:r>
              <w:rPr>
                <w:sz w:val="19"/>
                <w:szCs w:val="19"/>
              </w:rPr>
              <w:t>Indicador PUE</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281739E" w14:textId="77777777" w:rsidR="001C0CEA" w:rsidRDefault="00000000">
            <w:r>
              <w:rPr>
                <w:sz w:val="19"/>
                <w:szCs w:val="19"/>
              </w:rPr>
              <w:t>Eficiencia energética</w:t>
            </w:r>
          </w:p>
        </w:tc>
        <w:tc>
          <w:tcPr>
            <w:tcW w:w="22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B3D306B" w14:textId="77777777" w:rsidR="001C0CEA" w:rsidRDefault="00000000">
            <w:r>
              <w:rPr>
                <w:sz w:val="19"/>
                <w:szCs w:val="19"/>
              </w:rPr>
              <w:t>En vigor</w:t>
            </w:r>
          </w:p>
        </w:tc>
      </w:tr>
      <w:tr w:rsidR="001C0CEA" w14:paraId="023D9405" w14:textId="77777777">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AC46349" w14:textId="77777777" w:rsidR="001C0CEA" w:rsidRDefault="00000000">
            <w:r>
              <w:rPr>
                <w:sz w:val="19"/>
                <w:szCs w:val="19"/>
              </w:rPr>
              <w:t>ISO 22301</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B21BA17" w14:textId="77777777" w:rsidR="001C0CEA" w:rsidRDefault="00000000">
            <w:r>
              <w:rPr>
                <w:sz w:val="19"/>
                <w:szCs w:val="19"/>
              </w:rPr>
              <w:t>ISO</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7ECE4A3" w14:textId="77777777" w:rsidR="001C0CEA" w:rsidRDefault="00000000">
            <w:r>
              <w:rPr>
                <w:sz w:val="19"/>
                <w:szCs w:val="19"/>
              </w:rPr>
              <w:t>Sistemas de gestión de la continuidad de negocio</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60C2AB8" w14:textId="77777777" w:rsidR="001C0CEA" w:rsidRDefault="00000000">
            <w:r>
              <w:rPr>
                <w:sz w:val="19"/>
                <w:szCs w:val="19"/>
              </w:rPr>
              <w:t>Certificable</w:t>
            </w:r>
          </w:p>
        </w:tc>
        <w:tc>
          <w:tcPr>
            <w:tcW w:w="22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BCF7EBB" w14:textId="77777777" w:rsidR="001C0CEA" w:rsidRDefault="00000000">
            <w:r>
              <w:rPr>
                <w:sz w:val="19"/>
                <w:szCs w:val="19"/>
              </w:rPr>
              <w:t>Edición 2019 (con enmienda de 2024 sobre cambio climático)</w:t>
            </w:r>
          </w:p>
        </w:tc>
      </w:tr>
      <w:tr w:rsidR="001C0CEA" w14:paraId="64B56239" w14:textId="77777777">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F642D41" w14:textId="77777777" w:rsidR="001C0CEA" w:rsidRDefault="00000000">
            <w:r>
              <w:rPr>
                <w:sz w:val="19"/>
                <w:szCs w:val="19"/>
              </w:rPr>
              <w:t>ISO/IEC 27001</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128DB41" w14:textId="77777777" w:rsidR="001C0CEA" w:rsidRDefault="00000000">
            <w:r>
              <w:rPr>
                <w:sz w:val="19"/>
                <w:szCs w:val="19"/>
              </w:rPr>
              <w:t>ISO/IEC</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76FFF6A" w14:textId="77777777" w:rsidR="001C0CEA" w:rsidRDefault="00000000">
            <w:r>
              <w:rPr>
                <w:sz w:val="19"/>
                <w:szCs w:val="19"/>
              </w:rPr>
              <w:t>Sistema de gestión de seguridad de la información</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EA66531" w14:textId="77777777" w:rsidR="001C0CEA" w:rsidRDefault="00000000">
            <w:r>
              <w:rPr>
                <w:sz w:val="19"/>
                <w:szCs w:val="19"/>
              </w:rPr>
              <w:t>Certificable</w:t>
            </w:r>
          </w:p>
        </w:tc>
        <w:tc>
          <w:tcPr>
            <w:tcW w:w="22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084E0EA" w14:textId="77777777" w:rsidR="001C0CEA" w:rsidRDefault="00000000">
            <w:r>
              <w:rPr>
                <w:sz w:val="19"/>
                <w:szCs w:val="19"/>
              </w:rPr>
              <w:t>Edición 2022 (Anexo A con 93 controles en 4 temas; enmienda 2024)</w:t>
            </w:r>
          </w:p>
        </w:tc>
      </w:tr>
      <w:tr w:rsidR="001C0CEA" w14:paraId="1E5ED7C8" w14:textId="77777777">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D861028" w14:textId="77777777" w:rsidR="001C0CEA" w:rsidRDefault="00000000">
            <w:r>
              <w:rPr>
                <w:sz w:val="19"/>
                <w:szCs w:val="19"/>
              </w:rPr>
              <w:t>ISO/IEC 27002</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B269424" w14:textId="77777777" w:rsidR="001C0CEA" w:rsidRDefault="00000000">
            <w:r>
              <w:rPr>
                <w:sz w:val="19"/>
                <w:szCs w:val="19"/>
              </w:rPr>
              <w:t>ISO/IEC</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20DF91A" w14:textId="77777777" w:rsidR="001C0CEA" w:rsidRDefault="00000000">
            <w:r>
              <w:rPr>
                <w:sz w:val="19"/>
                <w:szCs w:val="19"/>
              </w:rPr>
              <w:t>Guía de controles de seguridad</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D1A33FB" w14:textId="77777777" w:rsidR="001C0CEA" w:rsidRDefault="00000000">
            <w:r>
              <w:rPr>
                <w:sz w:val="19"/>
                <w:szCs w:val="19"/>
              </w:rPr>
              <w:t>Buenas prácticas</w:t>
            </w:r>
          </w:p>
        </w:tc>
        <w:tc>
          <w:tcPr>
            <w:tcW w:w="22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14926B5" w14:textId="77777777" w:rsidR="001C0CEA" w:rsidRDefault="00000000">
            <w:r>
              <w:rPr>
                <w:sz w:val="19"/>
                <w:szCs w:val="19"/>
              </w:rPr>
              <w:t>Edición 2022</w:t>
            </w:r>
          </w:p>
        </w:tc>
      </w:tr>
      <w:tr w:rsidR="001C0CEA" w14:paraId="19206A5C" w14:textId="77777777">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788C808" w14:textId="77777777" w:rsidR="001C0CEA" w:rsidRDefault="00000000">
            <w:r>
              <w:rPr>
                <w:sz w:val="19"/>
                <w:szCs w:val="19"/>
              </w:rPr>
              <w:t>ISO/IEC 27031</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56EB379" w14:textId="77777777" w:rsidR="001C0CEA" w:rsidRDefault="00000000">
            <w:r>
              <w:rPr>
                <w:sz w:val="19"/>
                <w:szCs w:val="19"/>
              </w:rPr>
              <w:t>ISO/IEC</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2E7F742" w14:textId="77777777" w:rsidR="001C0CEA" w:rsidRDefault="00000000">
            <w:r>
              <w:rPr>
                <w:sz w:val="19"/>
                <w:szCs w:val="19"/>
              </w:rPr>
              <w:t>Preparación de las TIC para la continuidad</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80571B3" w14:textId="77777777" w:rsidR="001C0CEA" w:rsidRDefault="00000000">
            <w:r>
              <w:rPr>
                <w:sz w:val="19"/>
                <w:szCs w:val="19"/>
              </w:rPr>
              <w:t>Guía</w:t>
            </w:r>
          </w:p>
        </w:tc>
        <w:tc>
          <w:tcPr>
            <w:tcW w:w="22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3E7A7E1" w14:textId="77777777" w:rsidR="001C0CEA" w:rsidRDefault="00000000">
            <w:r>
              <w:rPr>
                <w:sz w:val="19"/>
                <w:szCs w:val="19"/>
              </w:rPr>
              <w:t>En vigor</w:t>
            </w:r>
          </w:p>
        </w:tc>
      </w:tr>
      <w:tr w:rsidR="001C0CEA" w14:paraId="0D6856E3" w14:textId="77777777">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B9D1C93" w14:textId="77777777" w:rsidR="001C0CEA" w:rsidRDefault="00000000">
            <w:r>
              <w:rPr>
                <w:sz w:val="19"/>
                <w:szCs w:val="19"/>
              </w:rPr>
              <w:t>ISO/IEC 20000-1</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55DDC04" w14:textId="77777777" w:rsidR="001C0CEA" w:rsidRDefault="00000000">
            <w:r>
              <w:rPr>
                <w:sz w:val="19"/>
                <w:szCs w:val="19"/>
              </w:rPr>
              <w:t>ISO/IEC</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CCE4A2A" w14:textId="77777777" w:rsidR="001C0CEA" w:rsidRDefault="00000000">
            <w:r>
              <w:rPr>
                <w:sz w:val="19"/>
                <w:szCs w:val="19"/>
              </w:rPr>
              <w:t>Sistema de gestión de servicios TI</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0FFF664" w14:textId="77777777" w:rsidR="001C0CEA" w:rsidRDefault="00000000">
            <w:r>
              <w:rPr>
                <w:sz w:val="19"/>
                <w:szCs w:val="19"/>
              </w:rPr>
              <w:t>Certificable</w:t>
            </w:r>
          </w:p>
        </w:tc>
        <w:tc>
          <w:tcPr>
            <w:tcW w:w="22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69C1897" w14:textId="77777777" w:rsidR="001C0CEA" w:rsidRDefault="00000000">
            <w:r>
              <w:rPr>
                <w:sz w:val="19"/>
                <w:szCs w:val="19"/>
              </w:rPr>
              <w:t>Edición 2018</w:t>
            </w:r>
          </w:p>
        </w:tc>
      </w:tr>
      <w:tr w:rsidR="001C0CEA" w14:paraId="0AD1263C" w14:textId="77777777">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6DA09DE" w14:textId="77777777" w:rsidR="001C0CEA" w:rsidRDefault="00000000">
            <w:r>
              <w:rPr>
                <w:sz w:val="19"/>
                <w:szCs w:val="19"/>
              </w:rPr>
              <w:t>ENS</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5B98DD3" w14:textId="77777777" w:rsidR="001C0CEA" w:rsidRDefault="00000000">
            <w:r>
              <w:rPr>
                <w:sz w:val="19"/>
                <w:szCs w:val="19"/>
              </w:rPr>
              <w:t>España (RD 311/2022)</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A829B03" w14:textId="77777777" w:rsidR="001C0CEA" w:rsidRDefault="00000000">
            <w:r>
              <w:rPr>
                <w:sz w:val="19"/>
                <w:szCs w:val="19"/>
              </w:rPr>
              <w:t>Seguridad de sistemas del sector público</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F81A73E" w14:textId="77777777" w:rsidR="001C0CEA" w:rsidRDefault="00000000">
            <w:r>
              <w:rPr>
                <w:sz w:val="19"/>
                <w:szCs w:val="19"/>
              </w:rPr>
              <w:t>Obligatorio en AAPP</w:t>
            </w:r>
          </w:p>
        </w:tc>
        <w:tc>
          <w:tcPr>
            <w:tcW w:w="22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BF9D79C" w14:textId="77777777" w:rsidR="001C0CEA" w:rsidRDefault="00000000">
            <w:r>
              <w:rPr>
                <w:sz w:val="19"/>
                <w:szCs w:val="19"/>
              </w:rPr>
              <w:t>En vigor</w:t>
            </w:r>
          </w:p>
        </w:tc>
      </w:tr>
      <w:tr w:rsidR="001C0CEA" w14:paraId="2EEE9A78" w14:textId="77777777">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4B485DF" w14:textId="77777777" w:rsidR="001C0CEA" w:rsidRDefault="00000000">
            <w:r>
              <w:rPr>
                <w:sz w:val="19"/>
                <w:szCs w:val="19"/>
              </w:rPr>
              <w:t>RGPD / LOPDGDD</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C8066B8" w14:textId="77777777" w:rsidR="001C0CEA" w:rsidRDefault="00000000">
            <w:r>
              <w:rPr>
                <w:sz w:val="19"/>
                <w:szCs w:val="19"/>
              </w:rPr>
              <w:t>UE / España</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4F18F37" w14:textId="77777777" w:rsidR="001C0CEA" w:rsidRDefault="00000000">
            <w:r>
              <w:rPr>
                <w:sz w:val="19"/>
                <w:szCs w:val="19"/>
              </w:rPr>
              <w:t>Protección de datos personales</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20FF9E4" w14:textId="77777777" w:rsidR="001C0CEA" w:rsidRDefault="00000000">
            <w:r>
              <w:rPr>
                <w:sz w:val="19"/>
                <w:szCs w:val="19"/>
              </w:rPr>
              <w:t>Obligatorio</w:t>
            </w:r>
          </w:p>
        </w:tc>
        <w:tc>
          <w:tcPr>
            <w:tcW w:w="22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9F24931" w14:textId="77777777" w:rsidR="001C0CEA" w:rsidRDefault="00000000">
            <w:r>
              <w:rPr>
                <w:sz w:val="19"/>
                <w:szCs w:val="19"/>
              </w:rPr>
              <w:t>Reglamento (UE) 2016/679; LO 3/2018</w:t>
            </w:r>
          </w:p>
        </w:tc>
      </w:tr>
      <w:tr w:rsidR="001C0CEA" w14:paraId="0241E430" w14:textId="77777777">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2A8B3E1" w14:textId="77777777" w:rsidR="001C0CEA" w:rsidRDefault="00000000">
            <w:r>
              <w:rPr>
                <w:sz w:val="19"/>
                <w:szCs w:val="19"/>
              </w:rPr>
              <w:t>Directiva NIS2</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D0980BF" w14:textId="77777777" w:rsidR="001C0CEA" w:rsidRDefault="00000000">
            <w:r>
              <w:rPr>
                <w:sz w:val="19"/>
                <w:szCs w:val="19"/>
              </w:rPr>
              <w:t>UE (Directiva 2022/2555)</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09D2091" w14:textId="77777777" w:rsidR="001C0CEA" w:rsidRDefault="00000000">
            <w:r>
              <w:rPr>
                <w:sz w:val="19"/>
                <w:szCs w:val="19"/>
              </w:rPr>
              <w:t>Ciberseguridad de entidades esenciales e importantes (incluye sanidad)</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6F713D9" w14:textId="77777777" w:rsidR="001C0CEA" w:rsidRDefault="00000000">
            <w:r>
              <w:rPr>
                <w:sz w:val="19"/>
                <w:szCs w:val="19"/>
              </w:rPr>
              <w:t>UE</w:t>
            </w:r>
          </w:p>
        </w:tc>
        <w:tc>
          <w:tcPr>
            <w:tcW w:w="22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FC13604" w14:textId="77777777" w:rsidR="001C0CEA" w:rsidRDefault="00000000">
            <w:r>
              <w:rPr>
                <w:sz w:val="19"/>
                <w:szCs w:val="19"/>
              </w:rPr>
              <w:t>En España, transposición mediante anteproyecto de Ley de Coordinación y Gobernanza de la Ciberseguridad aún en tramitación en 2026</w:t>
            </w:r>
          </w:p>
        </w:tc>
      </w:tr>
      <w:tr w:rsidR="001C0CEA" w14:paraId="46497ABB" w14:textId="77777777">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4DBC9C6" w14:textId="77777777" w:rsidR="001C0CEA" w:rsidRDefault="00000000">
            <w:r>
              <w:rPr>
                <w:sz w:val="19"/>
                <w:szCs w:val="19"/>
              </w:rPr>
              <w:t>REBT (RD 842/2002)</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ED87D95" w14:textId="77777777" w:rsidR="001C0CEA" w:rsidRDefault="00000000">
            <w:r>
              <w:rPr>
                <w:sz w:val="19"/>
                <w:szCs w:val="19"/>
              </w:rPr>
              <w:t>España</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256A702" w14:textId="77777777" w:rsidR="001C0CEA" w:rsidRDefault="00000000">
            <w:r>
              <w:rPr>
                <w:sz w:val="19"/>
                <w:szCs w:val="19"/>
              </w:rPr>
              <w:t>Instalaciones eléctricas de baja tensión</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1519E2A" w14:textId="77777777" w:rsidR="001C0CEA" w:rsidRDefault="00000000">
            <w:r>
              <w:rPr>
                <w:sz w:val="19"/>
                <w:szCs w:val="19"/>
              </w:rPr>
              <w:t>Obligatorio</w:t>
            </w:r>
          </w:p>
        </w:tc>
        <w:tc>
          <w:tcPr>
            <w:tcW w:w="22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32D9211" w14:textId="77777777" w:rsidR="001C0CEA" w:rsidRDefault="00000000">
            <w:r>
              <w:rPr>
                <w:sz w:val="19"/>
                <w:szCs w:val="19"/>
              </w:rPr>
              <w:t>En vigor</w:t>
            </w:r>
          </w:p>
        </w:tc>
      </w:tr>
      <w:tr w:rsidR="001C0CEA" w14:paraId="44F6D87C" w14:textId="77777777">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BF628A3" w14:textId="77777777" w:rsidR="001C0CEA" w:rsidRDefault="00000000">
            <w:r>
              <w:rPr>
                <w:sz w:val="19"/>
                <w:szCs w:val="19"/>
              </w:rPr>
              <w:t>RIPCI (RD 513/2017)</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D819A60" w14:textId="77777777" w:rsidR="001C0CEA" w:rsidRDefault="00000000">
            <w:r>
              <w:rPr>
                <w:sz w:val="19"/>
                <w:szCs w:val="19"/>
              </w:rPr>
              <w:t>España</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00C58AC" w14:textId="77777777" w:rsidR="001C0CEA" w:rsidRDefault="00000000">
            <w:r>
              <w:rPr>
                <w:sz w:val="19"/>
                <w:szCs w:val="19"/>
              </w:rPr>
              <w:t>Instalaciones de protección contra incendios</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4B2ABCF" w14:textId="77777777" w:rsidR="001C0CEA" w:rsidRDefault="00000000">
            <w:r>
              <w:rPr>
                <w:sz w:val="19"/>
                <w:szCs w:val="19"/>
              </w:rPr>
              <w:t>Obligatorio</w:t>
            </w:r>
          </w:p>
        </w:tc>
        <w:tc>
          <w:tcPr>
            <w:tcW w:w="22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575D845" w14:textId="77777777" w:rsidR="001C0CEA" w:rsidRDefault="00000000">
            <w:r>
              <w:rPr>
                <w:sz w:val="19"/>
                <w:szCs w:val="19"/>
              </w:rPr>
              <w:t>En vigor</w:t>
            </w:r>
          </w:p>
        </w:tc>
      </w:tr>
    </w:tbl>
    <w:p w14:paraId="4CDBEBFB" w14:textId="77777777" w:rsidR="001C0CEA" w:rsidRDefault="001C0CEA">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C0CEA" w14:paraId="6259EEC9" w14:textId="77777777">
        <w:trPr>
          <w:cantSplit/>
        </w:trPr>
        <w:tc>
          <w:tcPr>
            <w:tcW w:w="9026" w:type="dxa"/>
            <w:tcBorders>
              <w:top w:val="single" w:sz="12" w:space="0" w:color="BF9000"/>
              <w:left w:val="single" w:sz="12" w:space="0" w:color="BF9000"/>
              <w:bottom w:val="single" w:sz="12" w:space="0" w:color="BF9000"/>
              <w:right w:val="single" w:sz="12" w:space="0" w:color="BF9000"/>
            </w:tcBorders>
            <w:shd w:val="clear" w:color="auto" w:fill="FFF2CC"/>
            <w:tcMar>
              <w:top w:w="120" w:type="dxa"/>
              <w:left w:w="160" w:type="dxa"/>
              <w:bottom w:w="120" w:type="dxa"/>
              <w:right w:w="160" w:type="dxa"/>
            </w:tcMar>
          </w:tcPr>
          <w:p w14:paraId="2BF8DB58" w14:textId="77777777" w:rsidR="001C0CEA" w:rsidRDefault="00000000">
            <w:pPr>
              <w:spacing w:after="80"/>
            </w:pPr>
            <w:r>
              <w:rPr>
                <w:b/>
                <w:bCs/>
                <w:color w:val="7F6000"/>
              </w:rPr>
              <w:t>Claves para el examen</w:t>
            </w:r>
          </w:p>
          <w:p w14:paraId="05038CAC" w14:textId="77777777" w:rsidR="001C0CEA" w:rsidRDefault="00000000">
            <w:pPr>
              <w:pStyle w:val="Prrafodelista"/>
              <w:numPr>
                <w:ilvl w:val="0"/>
                <w:numId w:val="2"/>
              </w:numPr>
              <w:spacing w:after="40"/>
            </w:pPr>
            <w:r>
              <w:rPr>
                <w:b/>
                <w:bCs/>
                <w:sz w:val="20"/>
                <w:szCs w:val="20"/>
              </w:rPr>
              <w:t>Validez de la certificación ANSI/TIA-942 de un CPD operativo: 3 años</w:t>
            </w:r>
            <w:r>
              <w:rPr>
                <w:sz w:val="20"/>
                <w:szCs w:val="20"/>
              </w:rPr>
              <w:t>, con auditorías de vigilancia anuales (años 1 y 2) y recertificación al tercero. Diseño: 1 año.</w:t>
            </w:r>
          </w:p>
          <w:p w14:paraId="743863D2" w14:textId="77777777" w:rsidR="001C0CEA" w:rsidRDefault="00000000">
            <w:pPr>
              <w:pStyle w:val="Prrafodelista"/>
              <w:numPr>
                <w:ilvl w:val="0"/>
                <w:numId w:val="2"/>
              </w:numPr>
              <w:spacing w:after="40"/>
            </w:pPr>
            <w:r>
              <w:rPr>
                <w:sz w:val="20"/>
                <w:szCs w:val="20"/>
              </w:rPr>
              <w:t xml:space="preserve">TIA usa </w:t>
            </w:r>
            <w:r>
              <w:rPr>
                <w:b/>
                <w:bCs/>
                <w:sz w:val="20"/>
                <w:szCs w:val="20"/>
              </w:rPr>
              <w:t>Rated-1…4</w:t>
            </w:r>
            <w:r>
              <w:rPr>
                <w:sz w:val="20"/>
                <w:szCs w:val="20"/>
              </w:rPr>
              <w:t xml:space="preserve">; Uptime usa </w:t>
            </w:r>
            <w:r>
              <w:rPr>
                <w:b/>
                <w:bCs/>
                <w:sz w:val="20"/>
                <w:szCs w:val="20"/>
              </w:rPr>
              <w:t>Tier I…IV</w:t>
            </w:r>
            <w:r>
              <w:rPr>
                <w:sz w:val="20"/>
                <w:szCs w:val="20"/>
              </w:rPr>
              <w:t xml:space="preserve">; EN 50600/ISO 22237 usan </w:t>
            </w:r>
            <w:r>
              <w:rPr>
                <w:b/>
                <w:bCs/>
                <w:sz w:val="20"/>
                <w:szCs w:val="20"/>
              </w:rPr>
              <w:t>clases de disponibilidad 1…4</w:t>
            </w:r>
            <w:r>
              <w:rPr>
                <w:sz w:val="20"/>
                <w:szCs w:val="20"/>
              </w:rPr>
              <w:t>. No mezclarlas.</w:t>
            </w:r>
          </w:p>
          <w:p w14:paraId="325A581D" w14:textId="77777777" w:rsidR="001C0CEA" w:rsidRDefault="00000000">
            <w:pPr>
              <w:pStyle w:val="Prrafodelista"/>
              <w:numPr>
                <w:ilvl w:val="0"/>
                <w:numId w:val="2"/>
              </w:numPr>
              <w:spacing w:after="40"/>
            </w:pPr>
            <w:r>
              <w:rPr>
                <w:sz w:val="20"/>
                <w:szCs w:val="20"/>
              </w:rPr>
              <w:t>Uptime Institute es una organización privada, no un organismo de normalización.</w:t>
            </w:r>
          </w:p>
          <w:p w14:paraId="4EF32EDF" w14:textId="77777777" w:rsidR="001C0CEA" w:rsidRDefault="00000000">
            <w:pPr>
              <w:pStyle w:val="Prrafodelista"/>
              <w:numPr>
                <w:ilvl w:val="0"/>
                <w:numId w:val="2"/>
              </w:numPr>
              <w:spacing w:after="40"/>
            </w:pPr>
            <w:r>
              <w:rPr>
                <w:sz w:val="20"/>
                <w:szCs w:val="20"/>
              </w:rPr>
              <w:t>ISO 22301 = continuidad; ISO/IEC 27001 = SGSI; ISO/IEC 20000-1 = gestión de servicios TI.</w:t>
            </w:r>
          </w:p>
        </w:tc>
      </w:tr>
    </w:tbl>
    <w:p w14:paraId="2F2A83B1" w14:textId="77777777" w:rsidR="001C0CEA" w:rsidRDefault="001C0CEA">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C0CEA" w14:paraId="05A88E6A" w14:textId="77777777">
        <w:trPr>
          <w:cantSplit/>
        </w:trPr>
        <w:tc>
          <w:tcPr>
            <w:tcW w:w="9026" w:type="dxa"/>
            <w:tcBorders>
              <w:top w:val="single" w:sz="12" w:space="0" w:color="C00000"/>
              <w:left w:val="single" w:sz="12" w:space="0" w:color="C00000"/>
              <w:bottom w:val="single" w:sz="12" w:space="0" w:color="C00000"/>
              <w:right w:val="single" w:sz="12" w:space="0" w:color="C00000"/>
            </w:tcBorders>
            <w:shd w:val="clear" w:color="auto" w:fill="FBE4E4"/>
            <w:tcMar>
              <w:top w:w="120" w:type="dxa"/>
              <w:left w:w="160" w:type="dxa"/>
              <w:bottom w:w="120" w:type="dxa"/>
              <w:right w:w="160" w:type="dxa"/>
            </w:tcMar>
          </w:tcPr>
          <w:p w14:paraId="0D0ADBA5" w14:textId="77777777" w:rsidR="001C0CEA" w:rsidRDefault="00000000">
            <w:pPr>
              <w:spacing w:after="80"/>
            </w:pPr>
            <w:r>
              <w:rPr>
                <w:b/>
                <w:bCs/>
                <w:color w:val="C00000"/>
              </w:rPr>
              <w:lastRenderedPageBreak/>
              <w:t>Posibles trampas de test</w:t>
            </w:r>
          </w:p>
          <w:p w14:paraId="74990136" w14:textId="77777777" w:rsidR="001C0CEA" w:rsidRDefault="00000000">
            <w:pPr>
              <w:pStyle w:val="Prrafodelista"/>
              <w:numPr>
                <w:ilvl w:val="0"/>
                <w:numId w:val="2"/>
              </w:numPr>
              <w:spacing w:after="40"/>
            </w:pPr>
            <w:r>
              <w:rPr>
                <w:sz w:val="20"/>
                <w:szCs w:val="20"/>
              </w:rPr>
              <w:t>«Tier» no es un ratio de eficiencia térmica ni una puntuación de 0 a 99,999: es un nivel (1 de 4) de fiabilidad de la infraestructura.</w:t>
            </w:r>
          </w:p>
          <w:p w14:paraId="2CD05E45" w14:textId="77777777" w:rsidR="001C0CEA" w:rsidRDefault="00000000">
            <w:pPr>
              <w:pStyle w:val="Prrafodelista"/>
              <w:numPr>
                <w:ilvl w:val="0"/>
                <w:numId w:val="2"/>
              </w:numPr>
              <w:spacing w:after="40"/>
            </w:pPr>
            <w:r>
              <w:rPr>
                <w:sz w:val="20"/>
                <w:szCs w:val="20"/>
              </w:rPr>
              <w:t>Una certificación caduca; una norma no «caduca», se revisa (TIA revisa, reafirma o anula cada 5 años según procedimiento ANSI).</w:t>
            </w:r>
          </w:p>
          <w:p w14:paraId="50BD350A" w14:textId="77777777" w:rsidR="001C0CEA" w:rsidRDefault="00000000">
            <w:pPr>
              <w:pStyle w:val="Prrafodelista"/>
              <w:numPr>
                <w:ilvl w:val="0"/>
                <w:numId w:val="2"/>
              </w:numPr>
              <w:spacing w:after="40"/>
            </w:pPr>
            <w:r>
              <w:rPr>
                <w:sz w:val="20"/>
                <w:szCs w:val="20"/>
              </w:rPr>
              <w:t>ITIL es un marco de buenas prácticas, no una norma certificable (la norma certificable es ISO/IEC 20000-1).</w:t>
            </w:r>
          </w:p>
        </w:tc>
      </w:tr>
    </w:tbl>
    <w:p w14:paraId="2E6C1A74" w14:textId="77777777" w:rsidR="001C0CEA" w:rsidRDefault="001C0CEA">
      <w:pPr>
        <w:spacing w:after="120"/>
      </w:pPr>
    </w:p>
    <w:p w14:paraId="043F927C" w14:textId="77777777" w:rsidR="001C0CEA" w:rsidRDefault="00000000">
      <w:pPr>
        <w:pStyle w:val="Ttulo1"/>
        <w:pageBreakBefore/>
      </w:pPr>
      <w:bookmarkStart w:id="47" w:name="_Toc241337928"/>
      <w:r>
        <w:lastRenderedPageBreak/>
        <w:t>11. Infraestructura informática del CPD</w:t>
      </w:r>
      <w:bookmarkEnd w:id="47"/>
    </w:p>
    <w:p w14:paraId="15E35752" w14:textId="77777777" w:rsidR="001C0CEA" w:rsidRDefault="00000000">
      <w:pPr>
        <w:pStyle w:val="Ttulo2"/>
      </w:pPr>
      <w:bookmarkStart w:id="48" w:name="_Toc241337929"/>
      <w:r>
        <w:t>11.1. Servidores</w:t>
      </w:r>
      <w:bookmarkEnd w:id="48"/>
    </w:p>
    <w:p w14:paraId="4D99A813" w14:textId="77777777" w:rsidR="001C0CEA" w:rsidRDefault="00000000">
      <w:pPr>
        <w:pStyle w:val="Prrafodelista"/>
        <w:numPr>
          <w:ilvl w:val="0"/>
          <w:numId w:val="2"/>
        </w:numPr>
        <w:spacing w:after="60"/>
      </w:pPr>
      <w:r>
        <w:rPr>
          <w:b/>
          <w:bCs/>
        </w:rPr>
        <w:t>Formatos:</w:t>
      </w:r>
      <w:r>
        <w:t xml:space="preserve"> torre (poco habitual en CPD), </w:t>
      </w:r>
      <w:r>
        <w:rPr>
          <w:b/>
          <w:bCs/>
        </w:rPr>
        <w:t>rack</w:t>
      </w:r>
      <w:r>
        <w:t xml:space="preserve"> (1U, 2U…), </w:t>
      </w:r>
      <w:r>
        <w:rPr>
          <w:b/>
          <w:bCs/>
        </w:rPr>
        <w:t>blade</w:t>
      </w:r>
      <w:r>
        <w:t xml:space="preserve"> (servidores en chasis compartido que aporta alimentación, refrigeración y red) y plataformas </w:t>
      </w:r>
      <w:r>
        <w:rPr>
          <w:b/>
          <w:bCs/>
        </w:rPr>
        <w:t>componibles</w:t>
      </w:r>
      <w:r>
        <w:t xml:space="preserve"> (recursos desagregados asignables por software).</w:t>
      </w:r>
    </w:p>
    <w:p w14:paraId="1AD1BF17" w14:textId="77777777" w:rsidR="001C0CEA" w:rsidRDefault="00000000">
      <w:pPr>
        <w:pStyle w:val="Prrafodelista"/>
        <w:numPr>
          <w:ilvl w:val="0"/>
          <w:numId w:val="2"/>
        </w:numPr>
        <w:spacing w:after="60"/>
      </w:pPr>
      <w:r>
        <w:rPr>
          <w:b/>
          <w:bCs/>
        </w:rPr>
        <w:t>Arquitecturas:</w:t>
      </w:r>
      <w:r>
        <w:t xml:space="preserve"> x86-64 (mayoritaria), RISC/Power, y en algunos entornos </w:t>
      </w:r>
      <w:r>
        <w:rPr>
          <w:i/>
          <w:iCs/>
        </w:rPr>
        <w:t>mainframe</w:t>
      </w:r>
      <w:r>
        <w:t xml:space="preserve"> para cargas transaccionales y batch masivo.</w:t>
      </w:r>
    </w:p>
    <w:p w14:paraId="7B9C9531" w14:textId="77777777" w:rsidR="001C0CEA" w:rsidRDefault="00000000">
      <w:pPr>
        <w:pStyle w:val="Prrafodelista"/>
        <w:numPr>
          <w:ilvl w:val="0"/>
          <w:numId w:val="2"/>
        </w:numPr>
        <w:spacing w:after="60"/>
      </w:pPr>
      <w:r>
        <w:rPr>
          <w:b/>
          <w:bCs/>
        </w:rPr>
        <w:t>Redundancia interna:</w:t>
      </w:r>
      <w:r>
        <w:t xml:space="preserve"> fuentes de alimentación dobles, ventiladores redundantes, discos en RAID, memoria con corrección de errores (ECC), tarjetas de red duplicadas.</w:t>
      </w:r>
    </w:p>
    <w:p w14:paraId="41146FB6" w14:textId="77777777" w:rsidR="001C0CEA" w:rsidRDefault="00000000">
      <w:pPr>
        <w:pStyle w:val="Prrafodelista"/>
        <w:numPr>
          <w:ilvl w:val="0"/>
          <w:numId w:val="2"/>
        </w:numPr>
        <w:spacing w:after="60"/>
      </w:pPr>
      <w:r>
        <w:rPr>
          <w:b/>
          <w:bCs/>
        </w:rPr>
        <w:t>Gestión fuera de banda</w:t>
      </w:r>
      <w:r>
        <w:t xml:space="preserve"> (iLO, iDRAC, IPMI/Redfish): consola remota y control de encendido aunque el sistema operativo no responda.</w:t>
      </w:r>
    </w:p>
    <w:p w14:paraId="480E7D25" w14:textId="77777777" w:rsidR="001C0CEA" w:rsidRDefault="00000000">
      <w:pPr>
        <w:pStyle w:val="Ttulo2"/>
      </w:pPr>
      <w:bookmarkStart w:id="49" w:name="_Toc241337930"/>
      <w:r>
        <w:t>11.2. Redes y seguridad perimetral</w:t>
      </w:r>
      <w:bookmarkEnd w:id="4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1C0CEA" w14:paraId="04BE7E0A" w14:textId="77777777">
        <w:trPr>
          <w:tblHeader/>
        </w:trPr>
        <w:tc>
          <w:tcPr>
            <w:tcW w:w="26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6EE3E116" w14:textId="77777777" w:rsidR="001C0CEA" w:rsidRDefault="00000000">
            <w:r>
              <w:rPr>
                <w:b/>
                <w:bCs/>
                <w:color w:val="FFFFFF"/>
                <w:sz w:val="19"/>
                <w:szCs w:val="19"/>
              </w:rPr>
              <w:t>Elemento</w:t>
            </w:r>
          </w:p>
        </w:tc>
        <w:tc>
          <w:tcPr>
            <w:tcW w:w="6426"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373EF15E" w14:textId="77777777" w:rsidR="001C0CEA" w:rsidRDefault="00000000">
            <w:r>
              <w:rPr>
                <w:b/>
                <w:bCs/>
                <w:color w:val="FFFFFF"/>
                <w:sz w:val="19"/>
                <w:szCs w:val="19"/>
              </w:rPr>
              <w:t>Función</w:t>
            </w:r>
          </w:p>
        </w:tc>
      </w:tr>
      <w:tr w:rsidR="001C0CEA" w14:paraId="4E3EB761" w14:textId="77777777">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AF605C6" w14:textId="77777777" w:rsidR="001C0CEA" w:rsidRDefault="00000000">
            <w:r>
              <w:rPr>
                <w:sz w:val="19"/>
                <w:szCs w:val="19"/>
              </w:rPr>
              <w:t>Switch (conmutador)</w:t>
            </w:r>
          </w:p>
        </w:tc>
        <w:tc>
          <w:tcPr>
            <w:tcW w:w="64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B4842FC" w14:textId="77777777" w:rsidR="001C0CEA" w:rsidRDefault="00000000">
            <w:r>
              <w:rPr>
                <w:sz w:val="19"/>
                <w:szCs w:val="19"/>
              </w:rPr>
              <w:t>Conmutación en capa 2 (y capa 3 en switches multicapa) dentro del CPD</w:t>
            </w:r>
          </w:p>
        </w:tc>
      </w:tr>
      <w:tr w:rsidR="001C0CEA" w14:paraId="0B1B22E6" w14:textId="77777777">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70DEB90" w14:textId="77777777" w:rsidR="001C0CEA" w:rsidRDefault="00000000">
            <w:r>
              <w:rPr>
                <w:sz w:val="19"/>
                <w:szCs w:val="19"/>
              </w:rPr>
              <w:t>Router (encaminador)</w:t>
            </w:r>
          </w:p>
        </w:tc>
        <w:tc>
          <w:tcPr>
            <w:tcW w:w="64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C12DFA9" w14:textId="77777777" w:rsidR="001C0CEA" w:rsidRDefault="00000000">
            <w:r>
              <w:rPr>
                <w:sz w:val="19"/>
                <w:szCs w:val="19"/>
              </w:rPr>
              <w:t>Encaminamiento entre redes (capa 3), conexión WAN con centros y operadores</w:t>
            </w:r>
          </w:p>
        </w:tc>
      </w:tr>
      <w:tr w:rsidR="001C0CEA" w14:paraId="11C848AF" w14:textId="77777777">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B16967E" w14:textId="77777777" w:rsidR="001C0CEA" w:rsidRDefault="00000000">
            <w:r>
              <w:rPr>
                <w:sz w:val="19"/>
                <w:szCs w:val="19"/>
              </w:rPr>
              <w:t>Cortafuegos (firewall)</w:t>
            </w:r>
          </w:p>
        </w:tc>
        <w:tc>
          <w:tcPr>
            <w:tcW w:w="64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C981773" w14:textId="77777777" w:rsidR="001C0CEA" w:rsidRDefault="00000000">
            <w:r>
              <w:rPr>
                <w:sz w:val="19"/>
                <w:szCs w:val="19"/>
              </w:rPr>
              <w:t>Filtrado del tráfico entre zonas según política; los de nueva generación inspeccionan aplicaciones</w:t>
            </w:r>
          </w:p>
        </w:tc>
      </w:tr>
      <w:tr w:rsidR="001C0CEA" w14:paraId="2369E29D" w14:textId="77777777">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B991400" w14:textId="77777777" w:rsidR="001C0CEA" w:rsidRDefault="00000000">
            <w:r>
              <w:rPr>
                <w:sz w:val="19"/>
                <w:szCs w:val="19"/>
              </w:rPr>
              <w:t>IDS / IPS</w:t>
            </w:r>
          </w:p>
        </w:tc>
        <w:tc>
          <w:tcPr>
            <w:tcW w:w="64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AA12734" w14:textId="77777777" w:rsidR="001C0CEA" w:rsidRDefault="00000000">
            <w:r>
              <w:rPr>
                <w:sz w:val="19"/>
                <w:szCs w:val="19"/>
              </w:rPr>
              <w:t>Detección / prevención de intrusiones mediante firmas o comportamiento</w:t>
            </w:r>
          </w:p>
        </w:tc>
      </w:tr>
      <w:tr w:rsidR="001C0CEA" w14:paraId="6BC85559" w14:textId="77777777">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0276A04" w14:textId="77777777" w:rsidR="001C0CEA" w:rsidRDefault="00000000">
            <w:r>
              <w:rPr>
                <w:sz w:val="19"/>
                <w:szCs w:val="19"/>
              </w:rPr>
              <w:t>Balanceador de carga</w:t>
            </w:r>
          </w:p>
        </w:tc>
        <w:tc>
          <w:tcPr>
            <w:tcW w:w="64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31AF224" w14:textId="77777777" w:rsidR="001C0CEA" w:rsidRDefault="00000000">
            <w:r>
              <w:rPr>
                <w:sz w:val="19"/>
                <w:szCs w:val="19"/>
              </w:rPr>
              <w:t>Reparte peticiones entre servidores; comprueba su estado (health checks); puede terminar TLS</w:t>
            </w:r>
          </w:p>
        </w:tc>
      </w:tr>
      <w:tr w:rsidR="001C0CEA" w14:paraId="32874861" w14:textId="77777777">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F7F2459" w14:textId="77777777" w:rsidR="001C0CEA" w:rsidRDefault="00000000">
            <w:r>
              <w:rPr>
                <w:sz w:val="19"/>
                <w:szCs w:val="19"/>
              </w:rPr>
              <w:t>Proxy / WAF</w:t>
            </w:r>
          </w:p>
        </w:tc>
        <w:tc>
          <w:tcPr>
            <w:tcW w:w="64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BA275A0" w14:textId="77777777" w:rsidR="001C0CEA" w:rsidRDefault="00000000">
            <w:r>
              <w:rPr>
                <w:sz w:val="19"/>
                <w:szCs w:val="19"/>
              </w:rPr>
              <w:t>Intermediación y protección de aplicaciones web</w:t>
            </w:r>
          </w:p>
        </w:tc>
      </w:tr>
    </w:tbl>
    <w:p w14:paraId="0AF06F22" w14:textId="77777777" w:rsidR="001C0CEA" w:rsidRDefault="001C0CEA">
      <w:pPr>
        <w:spacing w:after="120"/>
      </w:pPr>
    </w:p>
    <w:p w14:paraId="44E4202D" w14:textId="77777777" w:rsidR="001C0CEA" w:rsidRDefault="00000000">
      <w:pPr>
        <w:pStyle w:val="Prrafodelista"/>
        <w:numPr>
          <w:ilvl w:val="0"/>
          <w:numId w:val="2"/>
        </w:numPr>
        <w:spacing w:after="60"/>
      </w:pPr>
      <w:r>
        <w:rPr>
          <w:b/>
          <w:bCs/>
        </w:rPr>
        <w:t>Topologías:</w:t>
      </w:r>
      <w:r>
        <w:t xml:space="preserve"> jerárquica clásica (acceso–agregación–núcleo) o </w:t>
      </w:r>
      <w:r>
        <w:rPr>
          <w:b/>
          <w:bCs/>
        </w:rPr>
        <w:t>leaf-spine</w:t>
      </w:r>
      <w:r>
        <w:t xml:space="preserve"> (cada switch de acceso conectado a todos los de columna), adecuada para tráfico este-oeste y virtualización.</w:t>
      </w:r>
    </w:p>
    <w:p w14:paraId="7EB33A5B" w14:textId="77777777" w:rsidR="001C0CEA" w:rsidRDefault="00000000">
      <w:pPr>
        <w:pStyle w:val="Prrafodelista"/>
        <w:numPr>
          <w:ilvl w:val="0"/>
          <w:numId w:val="2"/>
        </w:numPr>
        <w:spacing w:after="60"/>
      </w:pPr>
      <w:r>
        <w:rPr>
          <w:b/>
          <w:bCs/>
        </w:rPr>
        <w:t>Segmentación:</w:t>
      </w:r>
      <w:r>
        <w:t xml:space="preserve"> VLAN, VRF, zonas de seguridad (DMZ, producción, preproducción, gestión, copias) y microsegmentación en entornos virtualizados.</w:t>
      </w:r>
    </w:p>
    <w:p w14:paraId="3CD2B75C" w14:textId="77777777" w:rsidR="001C0CEA" w:rsidRDefault="00000000">
      <w:pPr>
        <w:pStyle w:val="Prrafodelista"/>
        <w:numPr>
          <w:ilvl w:val="0"/>
          <w:numId w:val="2"/>
        </w:numPr>
        <w:spacing w:after="60"/>
      </w:pPr>
      <w:r>
        <w:rPr>
          <w:b/>
          <w:bCs/>
        </w:rPr>
        <w:t>Red de almacenamiento:</w:t>
      </w:r>
      <w:r>
        <w:t xml:space="preserve"> SAN Fibre Channel o redes Ethernet dedicadas (iSCSI, NVMe/TCP).</w:t>
      </w:r>
    </w:p>
    <w:p w14:paraId="7AD11976" w14:textId="77777777" w:rsidR="001C0CEA" w:rsidRDefault="00000000">
      <w:pPr>
        <w:pStyle w:val="Ttulo2"/>
      </w:pPr>
      <w:bookmarkStart w:id="50" w:name="_Toc241337931"/>
      <w:r>
        <w:t>11.3. Relación entre componentes</w:t>
      </w:r>
      <w:bookmarkEnd w:id="50"/>
    </w:p>
    <w:p w14:paraId="42CACA4A" w14:textId="77777777" w:rsidR="001C0CEA" w:rsidRDefault="00000000">
      <w:pPr>
        <w:spacing w:after="120"/>
        <w:jc w:val="both"/>
      </w:pPr>
      <w:r>
        <w:t xml:space="preserve">El usuario accede desde un centro sanitario por la </w:t>
      </w:r>
      <w:r>
        <w:rPr>
          <w:b/>
          <w:bCs/>
        </w:rPr>
        <w:t>WAN</w:t>
      </w:r>
      <w:r>
        <w:t xml:space="preserve"> corporativa; el tráfico entra al CPD por los </w:t>
      </w:r>
      <w:r>
        <w:rPr>
          <w:b/>
          <w:bCs/>
        </w:rPr>
        <w:t>routers</w:t>
      </w:r>
      <w:r>
        <w:t xml:space="preserve"> y </w:t>
      </w:r>
      <w:r>
        <w:rPr>
          <w:b/>
          <w:bCs/>
        </w:rPr>
        <w:t>cortafuegos</w:t>
      </w:r>
      <w:r>
        <w:t xml:space="preserve">, pasa por </w:t>
      </w:r>
      <w:r>
        <w:rPr>
          <w:b/>
          <w:bCs/>
        </w:rPr>
        <w:t>balanceadores</w:t>
      </w:r>
      <w:r>
        <w:t xml:space="preserve"> hacia los </w:t>
      </w:r>
      <w:r>
        <w:rPr>
          <w:b/>
          <w:bCs/>
        </w:rPr>
        <w:t>servidores</w:t>
      </w:r>
      <w:r>
        <w:t xml:space="preserve"> de aplicación (normalmente </w:t>
      </w:r>
      <w:r>
        <w:rPr>
          <w:b/>
          <w:bCs/>
        </w:rPr>
        <w:t>máquinas virtuales</w:t>
      </w:r>
      <w:r>
        <w:t xml:space="preserve"> sobre clústeres de hipervisores), que consultan </w:t>
      </w:r>
      <w:r>
        <w:rPr>
          <w:b/>
          <w:bCs/>
        </w:rPr>
        <w:t>bases de datos</w:t>
      </w:r>
      <w:r>
        <w:t xml:space="preserve"> cuyos datos residen en </w:t>
      </w:r>
      <w:r>
        <w:rPr>
          <w:b/>
          <w:bCs/>
        </w:rPr>
        <w:t>cabinas de almacenamiento</w:t>
      </w:r>
      <w:r>
        <w:t xml:space="preserve"> conectadas por </w:t>
      </w:r>
      <w:r>
        <w:rPr>
          <w:b/>
          <w:bCs/>
        </w:rPr>
        <w:t>SAN</w:t>
      </w:r>
      <w:r>
        <w:t xml:space="preserve">; los datos se protegen con </w:t>
      </w:r>
      <w:r>
        <w:rPr>
          <w:b/>
          <w:bCs/>
        </w:rPr>
        <w:t>copias</w:t>
      </w:r>
      <w:r>
        <w:t xml:space="preserve"> en sistemas de backup y </w:t>
      </w:r>
      <w:r>
        <w:rPr>
          <w:b/>
          <w:bCs/>
        </w:rPr>
        <w:t>replicación</w:t>
      </w:r>
      <w:r>
        <w:t xml:space="preserve"> al CPD de respaldo, y todo ello se vigila con herramientas de </w:t>
      </w:r>
      <w:r>
        <w:rPr>
          <w:b/>
          <w:bCs/>
        </w:rPr>
        <w:t>monitorización</w:t>
      </w:r>
      <w:r>
        <w:t xml:space="preserve"> y se opera según los procesos de producción.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C0CEA" w14:paraId="24C5D32B" w14:textId="77777777">
        <w:trPr>
          <w:cantSplit/>
        </w:trPr>
        <w:tc>
          <w:tcPr>
            <w:tcW w:w="9026" w:type="dxa"/>
            <w:tcBorders>
              <w:top w:val="single" w:sz="12" w:space="0" w:color="BF9000"/>
              <w:left w:val="single" w:sz="12" w:space="0" w:color="BF9000"/>
              <w:bottom w:val="single" w:sz="12" w:space="0" w:color="BF9000"/>
              <w:right w:val="single" w:sz="12" w:space="0" w:color="BF9000"/>
            </w:tcBorders>
            <w:shd w:val="clear" w:color="auto" w:fill="FFF2CC"/>
            <w:tcMar>
              <w:top w:w="120" w:type="dxa"/>
              <w:left w:w="160" w:type="dxa"/>
              <w:bottom w:w="120" w:type="dxa"/>
              <w:right w:w="160" w:type="dxa"/>
            </w:tcMar>
          </w:tcPr>
          <w:p w14:paraId="78BF4DA0" w14:textId="77777777" w:rsidR="001C0CEA" w:rsidRDefault="00000000">
            <w:pPr>
              <w:spacing w:after="80"/>
            </w:pPr>
            <w:r>
              <w:rPr>
                <w:b/>
                <w:bCs/>
                <w:color w:val="7F6000"/>
              </w:rPr>
              <w:t>Claves para el examen</w:t>
            </w:r>
          </w:p>
          <w:p w14:paraId="5E11DDAC" w14:textId="77777777" w:rsidR="001C0CEA" w:rsidRDefault="00000000">
            <w:pPr>
              <w:pStyle w:val="Prrafodelista"/>
              <w:numPr>
                <w:ilvl w:val="0"/>
                <w:numId w:val="2"/>
              </w:numPr>
              <w:spacing w:after="40"/>
            </w:pPr>
            <w:r>
              <w:rPr>
                <w:sz w:val="20"/>
                <w:szCs w:val="20"/>
              </w:rPr>
              <w:t>Firewall filtra entre zonas; IDS detecta; IPS bloquea; balanceador reparte carga.</w:t>
            </w:r>
          </w:p>
          <w:p w14:paraId="6E71F4B6" w14:textId="77777777" w:rsidR="001C0CEA" w:rsidRDefault="00000000">
            <w:pPr>
              <w:pStyle w:val="Prrafodelista"/>
              <w:numPr>
                <w:ilvl w:val="0"/>
                <w:numId w:val="2"/>
              </w:numPr>
              <w:spacing w:after="40"/>
            </w:pPr>
            <w:r>
              <w:rPr>
                <w:sz w:val="20"/>
                <w:szCs w:val="20"/>
              </w:rPr>
              <w:t>Leaf-spine: topología para tráfico este-oeste en CPD modernos.</w:t>
            </w:r>
          </w:p>
        </w:tc>
      </w:tr>
    </w:tbl>
    <w:p w14:paraId="5442E592" w14:textId="77777777" w:rsidR="001C0CEA" w:rsidRDefault="001C0CEA">
      <w:pPr>
        <w:spacing w:after="120"/>
      </w:pPr>
    </w:p>
    <w:p w14:paraId="256E00C9" w14:textId="77777777" w:rsidR="001C0CEA" w:rsidRDefault="00000000">
      <w:pPr>
        <w:pStyle w:val="Ttulo1"/>
        <w:pageBreakBefore/>
      </w:pPr>
      <w:bookmarkStart w:id="51" w:name="_Toc241337932"/>
      <w:r>
        <w:lastRenderedPageBreak/>
        <w:t>12. Almacenamiento y gestión de datos</w:t>
      </w:r>
      <w:bookmarkEnd w:id="51"/>
    </w:p>
    <w:p w14:paraId="0820E455" w14:textId="77777777" w:rsidR="001C0CEA" w:rsidRDefault="00000000">
      <w:pPr>
        <w:pStyle w:val="Ttulo2"/>
      </w:pPr>
      <w:bookmarkStart w:id="52" w:name="_Toc241337933"/>
      <w:r>
        <w:t>12.1. DAS, NAS y SAN</w:t>
      </w:r>
      <w:bookmarkEnd w:id="5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300"/>
        <w:gridCol w:w="2500"/>
        <w:gridCol w:w="2626"/>
      </w:tblGrid>
      <w:tr w:rsidR="001C0CEA" w14:paraId="0CFEC498" w14:textId="77777777">
        <w:trPr>
          <w:tblHeader/>
        </w:trPr>
        <w:tc>
          <w:tcPr>
            <w:tcW w:w="16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70E44507" w14:textId="77777777" w:rsidR="001C0CEA" w:rsidRDefault="00000000">
            <w:r>
              <w:rPr>
                <w:b/>
                <w:bCs/>
                <w:color w:val="FFFFFF"/>
                <w:sz w:val="19"/>
                <w:szCs w:val="19"/>
              </w:rPr>
              <w:t>Aspecto</w:t>
            </w:r>
          </w:p>
        </w:tc>
        <w:tc>
          <w:tcPr>
            <w:tcW w:w="23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00390792" w14:textId="77777777" w:rsidR="001C0CEA" w:rsidRDefault="00000000">
            <w:r>
              <w:rPr>
                <w:b/>
                <w:bCs/>
                <w:color w:val="FFFFFF"/>
                <w:sz w:val="19"/>
                <w:szCs w:val="19"/>
              </w:rPr>
              <w:t>DAS</w:t>
            </w:r>
          </w:p>
        </w:tc>
        <w:tc>
          <w:tcPr>
            <w:tcW w:w="25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26E4206A" w14:textId="77777777" w:rsidR="001C0CEA" w:rsidRDefault="00000000">
            <w:r>
              <w:rPr>
                <w:b/>
                <w:bCs/>
                <w:color w:val="FFFFFF"/>
                <w:sz w:val="19"/>
                <w:szCs w:val="19"/>
              </w:rPr>
              <w:t>NAS</w:t>
            </w:r>
          </w:p>
        </w:tc>
        <w:tc>
          <w:tcPr>
            <w:tcW w:w="2626"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18BC5B14" w14:textId="77777777" w:rsidR="001C0CEA" w:rsidRDefault="00000000">
            <w:r>
              <w:rPr>
                <w:b/>
                <w:bCs/>
                <w:color w:val="FFFFFF"/>
                <w:sz w:val="19"/>
                <w:szCs w:val="19"/>
              </w:rPr>
              <w:t>SAN</w:t>
            </w:r>
          </w:p>
        </w:tc>
      </w:tr>
      <w:tr w:rsidR="001C0CEA" w14:paraId="27CEC85A" w14:textId="77777777">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4C8A2C8" w14:textId="77777777" w:rsidR="001C0CEA" w:rsidRDefault="00000000">
            <w:r>
              <w:rPr>
                <w:sz w:val="19"/>
                <w:szCs w:val="19"/>
              </w:rPr>
              <w:t>Definición</w:t>
            </w:r>
          </w:p>
        </w:tc>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019A8E6" w14:textId="77777777" w:rsidR="001C0CEA" w:rsidRDefault="00000000">
            <w:r>
              <w:rPr>
                <w:sz w:val="19"/>
                <w:szCs w:val="19"/>
              </w:rPr>
              <w:t>Almacenamiento directamente conectado a un servidor</w:t>
            </w:r>
          </w:p>
        </w:tc>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3715C04" w14:textId="77777777" w:rsidR="001C0CEA" w:rsidRDefault="00000000">
            <w:r>
              <w:rPr>
                <w:sz w:val="19"/>
                <w:szCs w:val="19"/>
              </w:rPr>
              <w:t xml:space="preserve">Almacenamiento en red que sirve </w:t>
            </w:r>
            <w:r>
              <w:rPr>
                <w:b/>
                <w:bCs/>
                <w:sz w:val="19"/>
                <w:szCs w:val="19"/>
              </w:rPr>
              <w:t>ficheros</w:t>
            </w:r>
          </w:p>
        </w:tc>
        <w:tc>
          <w:tcPr>
            <w:tcW w:w="26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EE3E4D7" w14:textId="77777777" w:rsidR="001C0CEA" w:rsidRDefault="00000000">
            <w:r>
              <w:rPr>
                <w:sz w:val="19"/>
                <w:szCs w:val="19"/>
              </w:rPr>
              <w:t xml:space="preserve">Red dedicada que ofrece </w:t>
            </w:r>
            <w:r>
              <w:rPr>
                <w:b/>
                <w:bCs/>
                <w:sz w:val="19"/>
                <w:szCs w:val="19"/>
              </w:rPr>
              <w:t>bloques</w:t>
            </w:r>
            <w:r>
              <w:rPr>
                <w:sz w:val="19"/>
                <w:szCs w:val="19"/>
              </w:rPr>
              <w:t xml:space="preserve"> a los servidores</w:t>
            </w:r>
          </w:p>
        </w:tc>
      </w:tr>
      <w:tr w:rsidR="001C0CEA" w14:paraId="2F7A31DF" w14:textId="77777777">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2E8D9AB" w14:textId="77777777" w:rsidR="001C0CEA" w:rsidRDefault="00000000">
            <w:r>
              <w:rPr>
                <w:sz w:val="19"/>
                <w:szCs w:val="19"/>
              </w:rPr>
              <w:t>Acceso</w:t>
            </w:r>
          </w:p>
        </w:tc>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9F35F11" w14:textId="77777777" w:rsidR="001C0CEA" w:rsidRDefault="00000000">
            <w:r>
              <w:rPr>
                <w:sz w:val="19"/>
                <w:szCs w:val="19"/>
              </w:rPr>
              <w:t>Bloque, local</w:t>
            </w:r>
          </w:p>
        </w:tc>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893093D" w14:textId="77777777" w:rsidR="001C0CEA" w:rsidRDefault="00000000">
            <w:r>
              <w:rPr>
                <w:sz w:val="19"/>
                <w:szCs w:val="19"/>
              </w:rPr>
              <w:t>Fichero: NFS, SMB/CIFS</w:t>
            </w:r>
          </w:p>
        </w:tc>
        <w:tc>
          <w:tcPr>
            <w:tcW w:w="26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BD61898" w14:textId="77777777" w:rsidR="001C0CEA" w:rsidRDefault="00000000">
            <w:r>
              <w:rPr>
                <w:sz w:val="19"/>
                <w:szCs w:val="19"/>
              </w:rPr>
              <w:t>Bloque: Fibre Channel, iSCSI, FCoE, NVMe-oF</w:t>
            </w:r>
          </w:p>
        </w:tc>
      </w:tr>
      <w:tr w:rsidR="001C0CEA" w14:paraId="75DB8F9A" w14:textId="77777777">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DD809C1" w14:textId="77777777" w:rsidR="001C0CEA" w:rsidRDefault="00000000">
            <w:r>
              <w:rPr>
                <w:sz w:val="19"/>
                <w:szCs w:val="19"/>
              </w:rPr>
              <w:t>Red</w:t>
            </w:r>
          </w:p>
        </w:tc>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3FB37D5" w14:textId="77777777" w:rsidR="001C0CEA" w:rsidRDefault="00000000">
            <w:r>
              <w:rPr>
                <w:sz w:val="19"/>
                <w:szCs w:val="19"/>
              </w:rPr>
              <w:t>Ninguna (SAS/SATA/NVMe)</w:t>
            </w:r>
          </w:p>
        </w:tc>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799D6FF" w14:textId="77777777" w:rsidR="001C0CEA" w:rsidRDefault="00000000">
            <w:r>
              <w:rPr>
                <w:sz w:val="19"/>
                <w:szCs w:val="19"/>
              </w:rPr>
              <w:t>LAN Ethernet</w:t>
            </w:r>
          </w:p>
        </w:tc>
        <w:tc>
          <w:tcPr>
            <w:tcW w:w="26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3D9CEB4" w14:textId="77777777" w:rsidR="001C0CEA" w:rsidRDefault="00000000">
            <w:r>
              <w:rPr>
                <w:sz w:val="19"/>
                <w:szCs w:val="19"/>
              </w:rPr>
              <w:t>Red específica (FC o Ethernet dedicada)</w:t>
            </w:r>
          </w:p>
        </w:tc>
      </w:tr>
      <w:tr w:rsidR="001C0CEA" w14:paraId="15EE0AEC" w14:textId="77777777">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320FA57" w14:textId="77777777" w:rsidR="001C0CEA" w:rsidRDefault="00000000">
            <w:r>
              <w:rPr>
                <w:sz w:val="19"/>
                <w:szCs w:val="19"/>
              </w:rPr>
              <w:t>Compartición</w:t>
            </w:r>
          </w:p>
        </w:tc>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3308498" w14:textId="77777777" w:rsidR="001C0CEA" w:rsidRDefault="00000000">
            <w:r>
              <w:rPr>
                <w:sz w:val="19"/>
                <w:szCs w:val="19"/>
              </w:rPr>
              <w:t>Solo su servidor</w:t>
            </w:r>
          </w:p>
        </w:tc>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75B7C69" w14:textId="77777777" w:rsidR="001C0CEA" w:rsidRDefault="00000000">
            <w:r>
              <w:rPr>
                <w:sz w:val="19"/>
                <w:szCs w:val="19"/>
              </w:rPr>
              <w:t>Muchos clientes a nivel de fichero</w:t>
            </w:r>
          </w:p>
        </w:tc>
        <w:tc>
          <w:tcPr>
            <w:tcW w:w="26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BC093AC" w14:textId="77777777" w:rsidR="001C0CEA" w:rsidRDefault="00000000">
            <w:r>
              <w:rPr>
                <w:sz w:val="19"/>
                <w:szCs w:val="19"/>
              </w:rPr>
              <w:t>Muchos servidores; el sistema de ficheros lo gestiona el servidor</w:t>
            </w:r>
          </w:p>
        </w:tc>
      </w:tr>
      <w:tr w:rsidR="001C0CEA" w14:paraId="18B03C5B" w14:textId="77777777">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825C69D" w14:textId="77777777" w:rsidR="001C0CEA" w:rsidRDefault="00000000">
            <w:r>
              <w:rPr>
                <w:sz w:val="19"/>
                <w:szCs w:val="19"/>
              </w:rPr>
              <w:t>Uso típico</w:t>
            </w:r>
          </w:p>
        </w:tc>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C416ECC" w14:textId="77777777" w:rsidR="001C0CEA" w:rsidRDefault="00000000">
            <w:r>
              <w:rPr>
                <w:sz w:val="19"/>
                <w:szCs w:val="19"/>
              </w:rPr>
              <w:t>Servidores aislados, nodos hiperconvergentes</w:t>
            </w:r>
          </w:p>
        </w:tc>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54441F4" w14:textId="77777777" w:rsidR="001C0CEA" w:rsidRDefault="00000000">
            <w:r>
              <w:rPr>
                <w:sz w:val="19"/>
                <w:szCs w:val="19"/>
              </w:rPr>
              <w:t>Carpetas compartidas, repositorios documentales</w:t>
            </w:r>
          </w:p>
        </w:tc>
        <w:tc>
          <w:tcPr>
            <w:tcW w:w="26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6A3102B" w14:textId="77777777" w:rsidR="001C0CEA" w:rsidRDefault="00000000">
            <w:r>
              <w:rPr>
                <w:sz w:val="19"/>
                <w:szCs w:val="19"/>
              </w:rPr>
              <w:t>Bases de datos, virtualización, aplicaciones críticas</w:t>
            </w:r>
          </w:p>
        </w:tc>
      </w:tr>
    </w:tbl>
    <w:p w14:paraId="3C0836C4" w14:textId="77777777" w:rsidR="001C0CEA" w:rsidRDefault="001C0CEA">
      <w:pPr>
        <w:spacing w:after="120"/>
      </w:pPr>
    </w:p>
    <w:p w14:paraId="2229D087" w14:textId="77777777" w:rsidR="001C0CEA" w:rsidRDefault="00000000">
      <w:pPr>
        <w:spacing w:after="120"/>
        <w:jc w:val="both"/>
      </w:pPr>
      <w:r>
        <w:t xml:space="preserve">Se añade el </w:t>
      </w:r>
      <w:r>
        <w:rPr>
          <w:b/>
          <w:bCs/>
        </w:rPr>
        <w:t>almacenamiento de objetos</w:t>
      </w:r>
      <w:r>
        <w:t xml:space="preserve"> (API tipo S3), muy utilizado para archivo, copias y datos no estructurados, y el </w:t>
      </w:r>
      <w:r>
        <w:rPr>
          <w:b/>
          <w:bCs/>
        </w:rPr>
        <w:t>almacenamiento definido por software</w:t>
      </w:r>
      <w:r>
        <w:t xml:space="preserve"> propio de las soluciones hiperconvergentes.</w:t>
      </w:r>
    </w:p>
    <w:p w14:paraId="39317DEC" w14:textId="77777777" w:rsidR="001C0CEA" w:rsidRDefault="00000000">
      <w:pPr>
        <w:pStyle w:val="Ttulo2"/>
      </w:pPr>
      <w:bookmarkStart w:id="53" w:name="_Toc241337934"/>
      <w:r>
        <w:t>12.2. RAID</w:t>
      </w:r>
      <w:bookmarkEnd w:id="5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000"/>
        <w:gridCol w:w="1200"/>
        <w:gridCol w:w="2000"/>
        <w:gridCol w:w="1426"/>
      </w:tblGrid>
      <w:tr w:rsidR="001C0CEA" w14:paraId="56E771FF" w14:textId="77777777">
        <w:trPr>
          <w:tblHeader/>
        </w:trPr>
        <w:tc>
          <w:tcPr>
            <w:tcW w:w="14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3AB88706" w14:textId="77777777" w:rsidR="001C0CEA" w:rsidRDefault="00000000">
            <w:r>
              <w:rPr>
                <w:b/>
                <w:bCs/>
                <w:color w:val="FFFFFF"/>
                <w:sz w:val="19"/>
                <w:szCs w:val="19"/>
              </w:rPr>
              <w:t>Nivel</w:t>
            </w:r>
          </w:p>
        </w:tc>
        <w:tc>
          <w:tcPr>
            <w:tcW w:w="30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5420C52C" w14:textId="77777777" w:rsidR="001C0CEA" w:rsidRDefault="00000000">
            <w:r>
              <w:rPr>
                <w:b/>
                <w:bCs/>
                <w:color w:val="FFFFFF"/>
                <w:sz w:val="19"/>
                <w:szCs w:val="19"/>
              </w:rPr>
              <w:t>Técnica</w:t>
            </w:r>
          </w:p>
        </w:tc>
        <w:tc>
          <w:tcPr>
            <w:tcW w:w="12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08391A94" w14:textId="77777777" w:rsidR="001C0CEA" w:rsidRDefault="00000000">
            <w:r>
              <w:rPr>
                <w:b/>
                <w:bCs/>
                <w:color w:val="FFFFFF"/>
                <w:sz w:val="19"/>
                <w:szCs w:val="19"/>
              </w:rPr>
              <w:t>Discos mín.</w:t>
            </w:r>
          </w:p>
        </w:tc>
        <w:tc>
          <w:tcPr>
            <w:tcW w:w="20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11BD6155" w14:textId="77777777" w:rsidR="001C0CEA" w:rsidRDefault="00000000">
            <w:r>
              <w:rPr>
                <w:b/>
                <w:bCs/>
                <w:color w:val="FFFFFF"/>
                <w:sz w:val="19"/>
                <w:szCs w:val="19"/>
              </w:rPr>
              <w:t>Tolera</w:t>
            </w:r>
          </w:p>
        </w:tc>
        <w:tc>
          <w:tcPr>
            <w:tcW w:w="1426"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294BAAE2" w14:textId="77777777" w:rsidR="001C0CEA" w:rsidRDefault="00000000">
            <w:r>
              <w:rPr>
                <w:b/>
                <w:bCs/>
                <w:color w:val="FFFFFF"/>
                <w:sz w:val="19"/>
                <w:szCs w:val="19"/>
              </w:rPr>
              <w:t>Capacidad útil</w:t>
            </w:r>
          </w:p>
        </w:tc>
      </w:tr>
      <w:tr w:rsidR="001C0CEA" w14:paraId="07AC0431" w14:textId="77777777">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80D31EF" w14:textId="77777777" w:rsidR="001C0CEA" w:rsidRDefault="00000000">
            <w:r>
              <w:rPr>
                <w:sz w:val="19"/>
                <w:szCs w:val="19"/>
              </w:rPr>
              <w:t>RAID 0</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D415FAF" w14:textId="77777777" w:rsidR="001C0CEA" w:rsidRDefault="00000000">
            <w:r>
              <w:rPr>
                <w:sz w:val="19"/>
                <w:szCs w:val="19"/>
              </w:rPr>
              <w:t>Striping (reparto) sin paridad</w:t>
            </w:r>
          </w:p>
        </w:tc>
        <w:tc>
          <w:tcPr>
            <w:tcW w:w="1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000AFD0" w14:textId="77777777" w:rsidR="001C0CEA" w:rsidRDefault="00000000">
            <w:r>
              <w:rPr>
                <w:sz w:val="19"/>
                <w:szCs w:val="19"/>
              </w:rPr>
              <w:t>2</w:t>
            </w:r>
          </w:p>
        </w:tc>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565A67D" w14:textId="77777777" w:rsidR="001C0CEA" w:rsidRDefault="00000000">
            <w:r>
              <w:rPr>
                <w:sz w:val="19"/>
                <w:szCs w:val="19"/>
              </w:rPr>
              <w:t>Ningún fallo</w:t>
            </w:r>
          </w:p>
        </w:tc>
        <w:tc>
          <w:tcPr>
            <w:tcW w:w="14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7B0E0C6" w14:textId="77777777" w:rsidR="001C0CEA" w:rsidRDefault="00000000">
            <w:r>
              <w:rPr>
                <w:sz w:val="19"/>
                <w:szCs w:val="19"/>
              </w:rPr>
              <w:t>100 %</w:t>
            </w:r>
          </w:p>
        </w:tc>
      </w:tr>
      <w:tr w:rsidR="001C0CEA" w14:paraId="1621014A" w14:textId="77777777">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D2993BB" w14:textId="77777777" w:rsidR="001C0CEA" w:rsidRDefault="00000000">
            <w:r>
              <w:rPr>
                <w:sz w:val="19"/>
                <w:szCs w:val="19"/>
              </w:rPr>
              <w:t>RAID 1</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F155528" w14:textId="77777777" w:rsidR="001C0CEA" w:rsidRDefault="00000000">
            <w:r>
              <w:rPr>
                <w:sz w:val="19"/>
                <w:szCs w:val="19"/>
              </w:rPr>
              <w:t>Espejo (mirroring)</w:t>
            </w:r>
          </w:p>
        </w:tc>
        <w:tc>
          <w:tcPr>
            <w:tcW w:w="1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070D2D9" w14:textId="77777777" w:rsidR="001C0CEA" w:rsidRDefault="00000000">
            <w:r>
              <w:rPr>
                <w:sz w:val="19"/>
                <w:szCs w:val="19"/>
              </w:rPr>
              <w:t>2</w:t>
            </w:r>
          </w:p>
        </w:tc>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355974A" w14:textId="77777777" w:rsidR="001C0CEA" w:rsidRDefault="00000000">
            <w:r>
              <w:rPr>
                <w:sz w:val="19"/>
                <w:szCs w:val="19"/>
              </w:rPr>
              <w:t>1 disco por espejo</w:t>
            </w:r>
          </w:p>
        </w:tc>
        <w:tc>
          <w:tcPr>
            <w:tcW w:w="14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599BE29" w14:textId="77777777" w:rsidR="001C0CEA" w:rsidRDefault="00000000">
            <w:r>
              <w:rPr>
                <w:sz w:val="19"/>
                <w:szCs w:val="19"/>
              </w:rPr>
              <w:t>50 %</w:t>
            </w:r>
          </w:p>
        </w:tc>
      </w:tr>
      <w:tr w:rsidR="001C0CEA" w14:paraId="2D638B48" w14:textId="77777777">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B3B37EC" w14:textId="77777777" w:rsidR="001C0CEA" w:rsidRDefault="00000000">
            <w:r>
              <w:rPr>
                <w:sz w:val="19"/>
                <w:szCs w:val="19"/>
              </w:rPr>
              <w:t>RAID 5</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9DD0982" w14:textId="77777777" w:rsidR="001C0CEA" w:rsidRDefault="00000000">
            <w:r>
              <w:rPr>
                <w:sz w:val="19"/>
                <w:szCs w:val="19"/>
              </w:rPr>
              <w:t>Striping con paridad distribuida</w:t>
            </w:r>
          </w:p>
        </w:tc>
        <w:tc>
          <w:tcPr>
            <w:tcW w:w="1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FC2C9F2" w14:textId="77777777" w:rsidR="001C0CEA" w:rsidRDefault="00000000">
            <w:r>
              <w:rPr>
                <w:sz w:val="19"/>
                <w:szCs w:val="19"/>
              </w:rPr>
              <w:t>3</w:t>
            </w:r>
          </w:p>
        </w:tc>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ECA1D5B" w14:textId="77777777" w:rsidR="001C0CEA" w:rsidRDefault="00000000">
            <w:r>
              <w:rPr>
                <w:sz w:val="19"/>
                <w:szCs w:val="19"/>
              </w:rPr>
              <w:t>1 disco</w:t>
            </w:r>
          </w:p>
        </w:tc>
        <w:tc>
          <w:tcPr>
            <w:tcW w:w="14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AD5211A" w14:textId="77777777" w:rsidR="001C0CEA" w:rsidRDefault="00000000">
            <w:r>
              <w:rPr>
                <w:sz w:val="19"/>
                <w:szCs w:val="19"/>
              </w:rPr>
              <w:t>(n−1)/n</w:t>
            </w:r>
          </w:p>
        </w:tc>
      </w:tr>
      <w:tr w:rsidR="001C0CEA" w14:paraId="3275D65C" w14:textId="77777777">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EE322C5" w14:textId="77777777" w:rsidR="001C0CEA" w:rsidRDefault="00000000">
            <w:r>
              <w:rPr>
                <w:sz w:val="19"/>
                <w:szCs w:val="19"/>
              </w:rPr>
              <w:t>RAID 6</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AB9C2B2" w14:textId="77777777" w:rsidR="001C0CEA" w:rsidRDefault="00000000">
            <w:r>
              <w:rPr>
                <w:sz w:val="19"/>
                <w:szCs w:val="19"/>
              </w:rPr>
              <w:t>Striping con doble paridad</w:t>
            </w:r>
          </w:p>
        </w:tc>
        <w:tc>
          <w:tcPr>
            <w:tcW w:w="1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36F0C6A" w14:textId="77777777" w:rsidR="001C0CEA" w:rsidRDefault="00000000">
            <w:r>
              <w:rPr>
                <w:sz w:val="19"/>
                <w:szCs w:val="19"/>
              </w:rPr>
              <w:t>4</w:t>
            </w:r>
          </w:p>
        </w:tc>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63C31F8" w14:textId="77777777" w:rsidR="001C0CEA" w:rsidRDefault="00000000">
            <w:r>
              <w:rPr>
                <w:sz w:val="19"/>
                <w:szCs w:val="19"/>
              </w:rPr>
              <w:t>2 discos</w:t>
            </w:r>
          </w:p>
        </w:tc>
        <w:tc>
          <w:tcPr>
            <w:tcW w:w="14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E55F3C7" w14:textId="77777777" w:rsidR="001C0CEA" w:rsidRDefault="00000000">
            <w:r>
              <w:rPr>
                <w:sz w:val="19"/>
                <w:szCs w:val="19"/>
              </w:rPr>
              <w:t>(n−2)/n</w:t>
            </w:r>
          </w:p>
        </w:tc>
      </w:tr>
      <w:tr w:rsidR="001C0CEA" w14:paraId="3BB99276" w14:textId="77777777">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DAD62AF" w14:textId="77777777" w:rsidR="001C0CEA" w:rsidRDefault="00000000">
            <w:r>
              <w:rPr>
                <w:sz w:val="19"/>
                <w:szCs w:val="19"/>
              </w:rPr>
              <w:t>RAID 10 (1+0)</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FAFB68E" w14:textId="77777777" w:rsidR="001C0CEA" w:rsidRDefault="00000000">
            <w:r>
              <w:rPr>
                <w:sz w:val="19"/>
                <w:szCs w:val="19"/>
              </w:rPr>
              <w:t>Espejos agrupados en striping</w:t>
            </w:r>
          </w:p>
        </w:tc>
        <w:tc>
          <w:tcPr>
            <w:tcW w:w="1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2FB3D7B" w14:textId="77777777" w:rsidR="001C0CEA" w:rsidRDefault="00000000">
            <w:r>
              <w:rPr>
                <w:sz w:val="19"/>
                <w:szCs w:val="19"/>
              </w:rPr>
              <w:t>4</w:t>
            </w:r>
          </w:p>
        </w:tc>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B724DA1" w14:textId="77777777" w:rsidR="001C0CEA" w:rsidRDefault="00000000">
            <w:r>
              <w:rPr>
                <w:sz w:val="19"/>
                <w:szCs w:val="19"/>
              </w:rPr>
              <w:t>1 por espejo (varios si en espejos distintos)</w:t>
            </w:r>
          </w:p>
        </w:tc>
        <w:tc>
          <w:tcPr>
            <w:tcW w:w="14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B19114C" w14:textId="77777777" w:rsidR="001C0CEA" w:rsidRDefault="00000000">
            <w:r>
              <w:rPr>
                <w:sz w:val="19"/>
                <w:szCs w:val="19"/>
              </w:rPr>
              <w:t>50 %</w:t>
            </w:r>
          </w:p>
        </w:tc>
      </w:tr>
    </w:tbl>
    <w:p w14:paraId="59348A76" w14:textId="77777777" w:rsidR="001C0CEA" w:rsidRDefault="001C0CEA">
      <w:pPr>
        <w:spacing w:after="120"/>
      </w:pPr>
    </w:p>
    <w:p w14:paraId="4FB0C9A7" w14:textId="77777777" w:rsidR="001C0CEA" w:rsidRDefault="00000000">
      <w:pPr>
        <w:spacing w:after="120"/>
        <w:jc w:val="both"/>
      </w:pPr>
      <w:r>
        <w:t xml:space="preserve">El RAID protege frente al </w:t>
      </w:r>
      <w:r>
        <w:rPr>
          <w:b/>
          <w:bCs/>
        </w:rPr>
        <w:t>fallo de discos</w:t>
      </w:r>
      <w:r>
        <w:t xml:space="preserve">, no frente al borrado accidental, la corrupción lógica o el ransomware: </w:t>
      </w:r>
      <w:r>
        <w:rPr>
          <w:b/>
          <w:bCs/>
        </w:rPr>
        <w:t>RAID no es backup</w:t>
      </w:r>
      <w:r>
        <w:t xml:space="preserve">. Otras funciones de las cabinas: </w:t>
      </w:r>
      <w:r>
        <w:rPr>
          <w:b/>
          <w:bCs/>
        </w:rPr>
        <w:t>instantáneas (snapshots)</w:t>
      </w:r>
      <w:r>
        <w:t xml:space="preserve">, clonación, </w:t>
      </w:r>
      <w:r>
        <w:rPr>
          <w:i/>
          <w:iCs/>
        </w:rPr>
        <w:t>thin provisioning</w:t>
      </w:r>
      <w:r>
        <w:t xml:space="preserve"> (asignación bajo demanda), deduplicación y compresión, y </w:t>
      </w:r>
      <w:r>
        <w:rPr>
          <w:b/>
          <w:bCs/>
        </w:rPr>
        <w:t>tiering</w:t>
      </w:r>
      <w:r>
        <w:t xml:space="preserve"> (movimiento automático de datos entre discos rápidos y lentos).</w:t>
      </w:r>
    </w:p>
    <w:p w14:paraId="4C34DE04" w14:textId="77777777" w:rsidR="001C0CEA" w:rsidRDefault="00000000">
      <w:pPr>
        <w:pStyle w:val="Ttulo2"/>
      </w:pPr>
      <w:bookmarkStart w:id="54" w:name="_Toc241337935"/>
      <w:r>
        <w:t>12.3. Replicación</w:t>
      </w:r>
      <w:bookmarkEnd w:id="54"/>
    </w:p>
    <w:p w14:paraId="23360AD5" w14:textId="77777777" w:rsidR="001C0CEA" w:rsidRDefault="00000000">
      <w:pPr>
        <w:pStyle w:val="Prrafodelista"/>
        <w:numPr>
          <w:ilvl w:val="0"/>
          <w:numId w:val="2"/>
        </w:numPr>
        <w:spacing w:after="60"/>
      </w:pPr>
      <w:r>
        <w:rPr>
          <w:b/>
          <w:bCs/>
        </w:rPr>
        <w:t>Síncrona:</w:t>
      </w:r>
      <w:r>
        <w:t xml:space="preserve"> la escritura no se confirma hasta que se ha realizado en ambos sitios → </w:t>
      </w:r>
      <w:r>
        <w:rPr>
          <w:b/>
          <w:bCs/>
        </w:rPr>
        <w:t>RPO ≈ 0</w:t>
      </w:r>
      <w:r>
        <w:t>, pero añade latencia; limitada a distancias cortas.</w:t>
      </w:r>
    </w:p>
    <w:p w14:paraId="6B4A5CE0" w14:textId="77777777" w:rsidR="001C0CEA" w:rsidRDefault="00000000">
      <w:pPr>
        <w:pStyle w:val="Prrafodelista"/>
        <w:numPr>
          <w:ilvl w:val="0"/>
          <w:numId w:val="2"/>
        </w:numPr>
        <w:spacing w:after="60"/>
      </w:pPr>
      <w:r>
        <w:rPr>
          <w:b/>
          <w:bCs/>
        </w:rPr>
        <w:t>Asíncrona:</w:t>
      </w:r>
      <w:r>
        <w:t xml:space="preserve"> se confirma localmente y se envía después → pequeña pérdida potencial (</w:t>
      </w:r>
      <w:r>
        <w:rPr>
          <w:b/>
          <w:bCs/>
        </w:rPr>
        <w:t>RPO &gt; 0</w:t>
      </w:r>
      <w:r>
        <w:t>), sin límite práctico de distancia.</w:t>
      </w:r>
    </w:p>
    <w:p w14:paraId="1ED9F2DD" w14:textId="77777777" w:rsidR="001C0CEA" w:rsidRDefault="00000000">
      <w:pPr>
        <w:pStyle w:val="Prrafodelista"/>
        <w:numPr>
          <w:ilvl w:val="0"/>
          <w:numId w:val="2"/>
        </w:numPr>
        <w:spacing w:after="60"/>
      </w:pPr>
      <w:r>
        <w:t>Puede hacerse a nivel de cabina, de hipervisor, de base de datos o de aplicación.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C0CEA" w14:paraId="00DFE746" w14:textId="77777777">
        <w:trPr>
          <w:cantSplit/>
        </w:trPr>
        <w:tc>
          <w:tcPr>
            <w:tcW w:w="9026" w:type="dxa"/>
            <w:tcBorders>
              <w:top w:val="single" w:sz="12" w:space="0" w:color="BF9000"/>
              <w:left w:val="single" w:sz="12" w:space="0" w:color="BF9000"/>
              <w:bottom w:val="single" w:sz="12" w:space="0" w:color="BF9000"/>
              <w:right w:val="single" w:sz="12" w:space="0" w:color="BF9000"/>
            </w:tcBorders>
            <w:shd w:val="clear" w:color="auto" w:fill="FFF2CC"/>
            <w:tcMar>
              <w:top w:w="120" w:type="dxa"/>
              <w:left w:w="160" w:type="dxa"/>
              <w:bottom w:w="120" w:type="dxa"/>
              <w:right w:w="160" w:type="dxa"/>
            </w:tcMar>
          </w:tcPr>
          <w:p w14:paraId="2A46DAEF" w14:textId="77777777" w:rsidR="001C0CEA" w:rsidRDefault="00000000">
            <w:pPr>
              <w:spacing w:after="80"/>
            </w:pPr>
            <w:r>
              <w:rPr>
                <w:b/>
                <w:bCs/>
                <w:color w:val="7F6000"/>
              </w:rPr>
              <w:lastRenderedPageBreak/>
              <w:t>Claves para el examen</w:t>
            </w:r>
          </w:p>
          <w:p w14:paraId="7B49C3B5" w14:textId="77777777" w:rsidR="001C0CEA" w:rsidRDefault="00000000">
            <w:pPr>
              <w:pStyle w:val="Prrafodelista"/>
              <w:numPr>
                <w:ilvl w:val="0"/>
                <w:numId w:val="2"/>
              </w:numPr>
              <w:spacing w:after="40"/>
            </w:pPr>
            <w:r>
              <w:rPr>
                <w:sz w:val="20"/>
                <w:szCs w:val="20"/>
              </w:rPr>
              <w:t>NAS = fichero (NFS/SMB) sobre LAN; SAN = bloque (FC/iSCSI) sobre red dedicada.</w:t>
            </w:r>
          </w:p>
          <w:p w14:paraId="57E6027E" w14:textId="77777777" w:rsidR="001C0CEA" w:rsidRDefault="00000000">
            <w:pPr>
              <w:pStyle w:val="Prrafodelista"/>
              <w:numPr>
                <w:ilvl w:val="0"/>
                <w:numId w:val="2"/>
              </w:numPr>
              <w:spacing w:after="40"/>
            </w:pPr>
            <w:r>
              <w:rPr>
                <w:sz w:val="20"/>
                <w:szCs w:val="20"/>
              </w:rPr>
              <w:t>RAID 5 tolera 1 disco; RAID 6, 2; RAID 0 ninguno.</w:t>
            </w:r>
          </w:p>
          <w:p w14:paraId="2DFA92D6" w14:textId="77777777" w:rsidR="001C0CEA" w:rsidRDefault="00000000">
            <w:pPr>
              <w:pStyle w:val="Prrafodelista"/>
              <w:numPr>
                <w:ilvl w:val="0"/>
                <w:numId w:val="2"/>
              </w:numPr>
              <w:spacing w:after="40"/>
            </w:pPr>
            <w:r>
              <w:rPr>
                <w:sz w:val="20"/>
                <w:szCs w:val="20"/>
              </w:rPr>
              <w:t xml:space="preserve">RAID y replicación </w:t>
            </w:r>
            <w:r>
              <w:rPr>
                <w:b/>
                <w:bCs/>
                <w:sz w:val="20"/>
                <w:szCs w:val="20"/>
              </w:rPr>
              <w:t>no sustituyen</w:t>
            </w:r>
            <w:r>
              <w:rPr>
                <w:sz w:val="20"/>
                <w:szCs w:val="20"/>
              </w:rPr>
              <w:t xml:space="preserve"> a las copias de seguridad.</w:t>
            </w:r>
          </w:p>
        </w:tc>
      </w:tr>
    </w:tbl>
    <w:p w14:paraId="28B81F81" w14:textId="77777777" w:rsidR="001C0CEA" w:rsidRDefault="001C0CEA">
      <w:pPr>
        <w:spacing w:after="120"/>
      </w:pPr>
    </w:p>
    <w:p w14:paraId="3A9D5EBF" w14:textId="77777777" w:rsidR="001C0CEA" w:rsidRDefault="00000000">
      <w:pPr>
        <w:pStyle w:val="Ttulo1"/>
        <w:pageBreakBefore/>
      </w:pPr>
      <w:bookmarkStart w:id="55" w:name="_Toc241337936"/>
      <w:r>
        <w:lastRenderedPageBreak/>
        <w:t>13. Virtualización e hiperconvergencia</w:t>
      </w:r>
      <w:bookmarkEnd w:id="55"/>
    </w:p>
    <w:p w14:paraId="4248A449" w14:textId="77777777" w:rsidR="001C0CEA" w:rsidRDefault="00000000">
      <w:pPr>
        <w:pStyle w:val="Ttulo2"/>
      </w:pPr>
      <w:bookmarkStart w:id="56" w:name="_Toc241337937"/>
      <w:r>
        <w:t>13.1. Concepto y tipos de hipervisor</w:t>
      </w:r>
      <w:bookmarkEnd w:id="56"/>
    </w:p>
    <w:p w14:paraId="77D34D0C" w14:textId="77777777" w:rsidR="001C0CEA" w:rsidRDefault="00000000">
      <w:pPr>
        <w:spacing w:after="120"/>
        <w:jc w:val="both"/>
      </w:pPr>
      <w:r>
        <w:t xml:space="preserve">La </w:t>
      </w:r>
      <w:r>
        <w:rPr>
          <w:b/>
          <w:bCs/>
        </w:rPr>
        <w:t>virtualización</w:t>
      </w:r>
      <w:r>
        <w:t xml:space="preserve"> abstrae los recursos físicos (CPU, memoria, almacenamiento, red) para ejecutar varias </w:t>
      </w:r>
      <w:r>
        <w:rPr>
          <w:b/>
          <w:bCs/>
        </w:rPr>
        <w:t>máquinas virtuales (VM)</w:t>
      </w:r>
      <w:r>
        <w:t xml:space="preserve"> aisladas sobre un mismo servidor físico. El software que lo hace es el </w:t>
      </w:r>
      <w:r>
        <w:rPr>
          <w:b/>
          <w:bCs/>
        </w:rPr>
        <w:t>hipervisor</w:t>
      </w:r>
      <w:r>
        <w:t xml:space="preserve"> (o monitor de máquinas virtuales).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800"/>
        <w:gridCol w:w="2826"/>
      </w:tblGrid>
      <w:tr w:rsidR="001C0CEA" w14:paraId="0B7F7DDA" w14:textId="77777777">
        <w:trPr>
          <w:tblHeader/>
        </w:trPr>
        <w:tc>
          <w:tcPr>
            <w:tcW w:w="24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003FBEF9" w14:textId="77777777" w:rsidR="001C0CEA" w:rsidRDefault="00000000">
            <w:r>
              <w:rPr>
                <w:b/>
                <w:bCs/>
                <w:color w:val="FFFFFF"/>
                <w:sz w:val="19"/>
                <w:szCs w:val="19"/>
              </w:rPr>
              <w:t>Tipo</w:t>
            </w:r>
          </w:p>
        </w:tc>
        <w:tc>
          <w:tcPr>
            <w:tcW w:w="38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288E0271" w14:textId="77777777" w:rsidR="001C0CEA" w:rsidRDefault="00000000">
            <w:r>
              <w:rPr>
                <w:b/>
                <w:bCs/>
                <w:color w:val="FFFFFF"/>
                <w:sz w:val="19"/>
                <w:szCs w:val="19"/>
              </w:rPr>
              <w:t>Definición</w:t>
            </w:r>
          </w:p>
        </w:tc>
        <w:tc>
          <w:tcPr>
            <w:tcW w:w="2826"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6B00746E" w14:textId="77777777" w:rsidR="001C0CEA" w:rsidRDefault="00000000">
            <w:r>
              <w:rPr>
                <w:b/>
                <w:bCs/>
                <w:color w:val="FFFFFF"/>
                <w:sz w:val="19"/>
                <w:szCs w:val="19"/>
              </w:rPr>
              <w:t>Ejemplos</w:t>
            </w:r>
          </w:p>
        </w:tc>
      </w:tr>
      <w:tr w:rsidR="001C0CEA" w14:paraId="0EC1F831" w14:textId="77777777">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50BB83D" w14:textId="77777777" w:rsidR="001C0CEA" w:rsidRDefault="00000000">
            <w:r>
              <w:rPr>
                <w:sz w:val="19"/>
                <w:szCs w:val="19"/>
              </w:rPr>
              <w:t xml:space="preserve">Tipo 1 (nativo o </w:t>
            </w:r>
            <w:r>
              <w:rPr>
                <w:i/>
                <w:iCs/>
                <w:sz w:val="19"/>
                <w:szCs w:val="19"/>
              </w:rPr>
              <w:t>bare metal</w:t>
            </w:r>
            <w:r>
              <w:rPr>
                <w:sz w:val="19"/>
                <w:szCs w:val="19"/>
              </w:rPr>
              <w:t>)</w:t>
            </w:r>
          </w:p>
        </w:tc>
        <w:tc>
          <w:tcPr>
            <w:tcW w:w="3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DA7BDCD" w14:textId="77777777" w:rsidR="001C0CEA" w:rsidRDefault="00000000">
            <w:r>
              <w:rPr>
                <w:sz w:val="19"/>
                <w:szCs w:val="19"/>
              </w:rPr>
              <w:t>Se ejecuta directamente sobre el hardware, sin sistema operativo anfitrión</w:t>
            </w:r>
          </w:p>
        </w:tc>
        <w:tc>
          <w:tcPr>
            <w:tcW w:w="28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7291972" w14:textId="77777777" w:rsidR="001C0CEA" w:rsidRDefault="00000000">
            <w:r>
              <w:rPr>
                <w:sz w:val="19"/>
                <w:szCs w:val="19"/>
              </w:rPr>
              <w:t>VMware ESXi, Microsoft Hyper-V, KVM, Xen, Proxmox VE (basado en KVM)</w:t>
            </w:r>
          </w:p>
        </w:tc>
      </w:tr>
      <w:tr w:rsidR="001C0CEA" w14:paraId="51E87C5B" w14:textId="77777777">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25B381B" w14:textId="77777777" w:rsidR="001C0CEA" w:rsidRDefault="00000000">
            <w:r>
              <w:rPr>
                <w:sz w:val="19"/>
                <w:szCs w:val="19"/>
              </w:rPr>
              <w:t xml:space="preserve">Tipo 2 (alojado o </w:t>
            </w:r>
            <w:r>
              <w:rPr>
                <w:i/>
                <w:iCs/>
                <w:sz w:val="19"/>
                <w:szCs w:val="19"/>
              </w:rPr>
              <w:t>hosted</w:t>
            </w:r>
            <w:r>
              <w:rPr>
                <w:sz w:val="19"/>
                <w:szCs w:val="19"/>
              </w:rPr>
              <w:t>)</w:t>
            </w:r>
          </w:p>
        </w:tc>
        <w:tc>
          <w:tcPr>
            <w:tcW w:w="3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0844883" w14:textId="77777777" w:rsidR="001C0CEA" w:rsidRDefault="00000000">
            <w:r>
              <w:rPr>
                <w:sz w:val="19"/>
                <w:szCs w:val="19"/>
              </w:rPr>
              <w:t>Se ejecuta como aplicación sobre un sistema operativo anfitrión</w:t>
            </w:r>
          </w:p>
        </w:tc>
        <w:tc>
          <w:tcPr>
            <w:tcW w:w="28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DDEA83A" w14:textId="77777777" w:rsidR="001C0CEA" w:rsidRDefault="00000000">
            <w:r>
              <w:rPr>
                <w:sz w:val="19"/>
                <w:szCs w:val="19"/>
              </w:rPr>
              <w:t>Oracle VirtualBox, VMware Workstation</w:t>
            </w:r>
          </w:p>
        </w:tc>
      </w:tr>
    </w:tbl>
    <w:p w14:paraId="5EF78D3E" w14:textId="77777777" w:rsidR="001C0CEA" w:rsidRDefault="001C0CEA">
      <w:pPr>
        <w:spacing w:after="120"/>
      </w:pPr>
    </w:p>
    <w:p w14:paraId="59F269B9" w14:textId="77777777" w:rsidR="001C0CEA" w:rsidRDefault="00000000">
      <w:pPr>
        <w:pStyle w:val="Ttulo2"/>
      </w:pPr>
      <w:bookmarkStart w:id="57" w:name="_Toc241337938"/>
      <w:r>
        <w:t>13.2. Funcionalidades relevantes para la explotación</w:t>
      </w:r>
      <w:bookmarkEnd w:id="57"/>
    </w:p>
    <w:p w14:paraId="43CED51E" w14:textId="77777777" w:rsidR="001C0CEA" w:rsidRDefault="00000000">
      <w:pPr>
        <w:pStyle w:val="Prrafodelista"/>
        <w:numPr>
          <w:ilvl w:val="0"/>
          <w:numId w:val="2"/>
        </w:numPr>
        <w:spacing w:after="60"/>
      </w:pPr>
      <w:r>
        <w:rPr>
          <w:b/>
          <w:bCs/>
        </w:rPr>
        <w:t>Migración en caliente</w:t>
      </w:r>
      <w:r>
        <w:t xml:space="preserve"> (live migration, p. ej. vMotion): mover una VM entre hosts sin pararla → permite mantenimiento sin interrupción.</w:t>
      </w:r>
    </w:p>
    <w:p w14:paraId="70D2C3DA" w14:textId="77777777" w:rsidR="001C0CEA" w:rsidRDefault="00000000">
      <w:pPr>
        <w:pStyle w:val="Prrafodelista"/>
        <w:numPr>
          <w:ilvl w:val="0"/>
          <w:numId w:val="2"/>
        </w:numPr>
        <w:spacing w:after="60"/>
      </w:pPr>
      <w:r>
        <w:rPr>
          <w:b/>
          <w:bCs/>
        </w:rPr>
        <w:t>Alta disponibilidad del clúster:</w:t>
      </w:r>
      <w:r>
        <w:t xml:space="preserve"> si un host falla, sus VM se reinician automáticamente en otros hosts (hay una breve interrupción; no es tolerancia a fallos total).</w:t>
      </w:r>
    </w:p>
    <w:p w14:paraId="60B067DF" w14:textId="77777777" w:rsidR="001C0CEA" w:rsidRDefault="00000000">
      <w:pPr>
        <w:pStyle w:val="Prrafodelista"/>
        <w:numPr>
          <w:ilvl w:val="0"/>
          <w:numId w:val="2"/>
        </w:numPr>
        <w:spacing w:after="60"/>
      </w:pPr>
      <w:r>
        <w:rPr>
          <w:b/>
          <w:bCs/>
        </w:rPr>
        <w:t>Balanceo automático de recursos</w:t>
      </w:r>
      <w:r>
        <w:t xml:space="preserve"> entre hosts del clúster.</w:t>
      </w:r>
    </w:p>
    <w:p w14:paraId="6A8DC295" w14:textId="77777777" w:rsidR="001C0CEA" w:rsidRDefault="00000000">
      <w:pPr>
        <w:pStyle w:val="Prrafodelista"/>
        <w:numPr>
          <w:ilvl w:val="0"/>
          <w:numId w:val="2"/>
        </w:numPr>
        <w:spacing w:after="60"/>
      </w:pPr>
      <w:r>
        <w:rPr>
          <w:b/>
          <w:bCs/>
        </w:rPr>
        <w:t>Instantáneas (snapshots):</w:t>
      </w:r>
      <w:r>
        <w:t xml:space="preserve"> útiles antes de un cambio para volver atrás, pero </w:t>
      </w:r>
      <w:r>
        <w:rPr>
          <w:b/>
          <w:bCs/>
        </w:rPr>
        <w:t>no son copias de seguridad</w:t>
      </w:r>
      <w:r>
        <w:t xml:space="preserve"> y degradan el rendimiento si se conservan mucho tiempo.</w:t>
      </w:r>
    </w:p>
    <w:p w14:paraId="5B6EAF89" w14:textId="77777777" w:rsidR="001C0CEA" w:rsidRDefault="00000000">
      <w:pPr>
        <w:pStyle w:val="Prrafodelista"/>
        <w:numPr>
          <w:ilvl w:val="0"/>
          <w:numId w:val="2"/>
        </w:numPr>
        <w:spacing w:after="60"/>
      </w:pPr>
      <w:r>
        <w:rPr>
          <w:b/>
          <w:bCs/>
        </w:rPr>
        <w:t>Plantillas</w:t>
      </w:r>
      <w:r>
        <w:t xml:space="preserve"> y aprovisionamiento rápido; sobresuscripción (</w:t>
      </w:r>
      <w:r>
        <w:rPr>
          <w:i/>
          <w:iCs/>
        </w:rPr>
        <w:t>overcommit</w:t>
      </w:r>
      <w:r>
        <w:t>) de CPU y memoria, que exige gestionar la capacidad.</w:t>
      </w:r>
    </w:p>
    <w:p w14:paraId="4050F9B4" w14:textId="77777777" w:rsidR="001C0CEA" w:rsidRDefault="00000000">
      <w:pPr>
        <w:pStyle w:val="Prrafodelista"/>
        <w:numPr>
          <w:ilvl w:val="0"/>
          <w:numId w:val="2"/>
        </w:numPr>
        <w:spacing w:after="60"/>
      </w:pPr>
      <w:r>
        <w:rPr>
          <w:b/>
          <w:bCs/>
        </w:rPr>
        <w:t>Contenedores</w:t>
      </w:r>
      <w:r>
        <w:t xml:space="preserve"> (Docker, orquestados con Kubernetes): virtualización a nivel de sistema operativo, más ligera, que comparte el núcleo del anfitrión.</w:t>
      </w:r>
    </w:p>
    <w:p w14:paraId="7D884D8C" w14:textId="77777777" w:rsidR="001C0CEA" w:rsidRDefault="00000000">
      <w:pPr>
        <w:pStyle w:val="Ttulo2"/>
      </w:pPr>
      <w:bookmarkStart w:id="58" w:name="_Toc241337939"/>
      <w:r>
        <w:t>13.3. Ventajas y limitaciones</w:t>
      </w:r>
      <w:bookmarkEnd w:id="5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1C0CEA" w14:paraId="7912DB17" w14:textId="77777777">
        <w:trPr>
          <w:tblHeader/>
        </w:trPr>
        <w:tc>
          <w:tcPr>
            <w:tcW w:w="4513"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7113E7EC" w14:textId="77777777" w:rsidR="001C0CEA" w:rsidRDefault="00000000">
            <w:r>
              <w:rPr>
                <w:b/>
                <w:bCs/>
                <w:color w:val="FFFFFF"/>
                <w:sz w:val="19"/>
                <w:szCs w:val="19"/>
              </w:rPr>
              <w:t>Ventajas</w:t>
            </w:r>
          </w:p>
        </w:tc>
        <w:tc>
          <w:tcPr>
            <w:tcW w:w="4513"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23B53083" w14:textId="77777777" w:rsidR="001C0CEA" w:rsidRDefault="00000000">
            <w:r>
              <w:rPr>
                <w:b/>
                <w:bCs/>
                <w:color w:val="FFFFFF"/>
                <w:sz w:val="19"/>
                <w:szCs w:val="19"/>
              </w:rPr>
              <w:t>Limitaciones</w:t>
            </w:r>
          </w:p>
        </w:tc>
      </w:tr>
      <w:tr w:rsidR="001C0CEA" w14:paraId="6027788B" w14:textId="77777777">
        <w:tc>
          <w:tcPr>
            <w:tcW w:w="451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36C08D3" w14:textId="77777777" w:rsidR="001C0CEA" w:rsidRDefault="00000000">
            <w:r>
              <w:rPr>
                <w:sz w:val="19"/>
                <w:szCs w:val="19"/>
              </w:rPr>
              <w:t>Consolidación: menos servidores, menos espacio y energía</w:t>
            </w:r>
          </w:p>
        </w:tc>
        <w:tc>
          <w:tcPr>
            <w:tcW w:w="451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29B7014" w14:textId="77777777" w:rsidR="001C0CEA" w:rsidRDefault="00000000">
            <w:r>
              <w:rPr>
                <w:sz w:val="19"/>
                <w:szCs w:val="19"/>
              </w:rPr>
              <w:t>Concentración de riesgo: un host caído afecta a muchas VM</w:t>
            </w:r>
          </w:p>
        </w:tc>
      </w:tr>
      <w:tr w:rsidR="001C0CEA" w14:paraId="066FC452" w14:textId="77777777">
        <w:tc>
          <w:tcPr>
            <w:tcW w:w="451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5485F0F" w14:textId="77777777" w:rsidR="001C0CEA" w:rsidRDefault="00000000">
            <w:r>
              <w:rPr>
                <w:sz w:val="19"/>
                <w:szCs w:val="19"/>
              </w:rPr>
              <w:t>Aprovisionamiento rápido y estandarizado</w:t>
            </w:r>
          </w:p>
        </w:tc>
        <w:tc>
          <w:tcPr>
            <w:tcW w:w="451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473B83D" w14:textId="77777777" w:rsidR="001C0CEA" w:rsidRDefault="00000000">
            <w:r>
              <w:rPr>
                <w:sz w:val="19"/>
                <w:szCs w:val="19"/>
              </w:rPr>
              <w:t>Sobrecarga del hipervisor y contención de recursos</w:t>
            </w:r>
          </w:p>
        </w:tc>
      </w:tr>
      <w:tr w:rsidR="001C0CEA" w14:paraId="2D3279C0" w14:textId="77777777">
        <w:tc>
          <w:tcPr>
            <w:tcW w:w="451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8CB2E32" w14:textId="77777777" w:rsidR="001C0CEA" w:rsidRDefault="00000000">
            <w:r>
              <w:rPr>
                <w:sz w:val="19"/>
                <w:szCs w:val="19"/>
              </w:rPr>
              <w:t>Mantenimiento sin parada (migración)</w:t>
            </w:r>
          </w:p>
        </w:tc>
        <w:tc>
          <w:tcPr>
            <w:tcW w:w="451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5B7F4AD" w14:textId="77777777" w:rsidR="001C0CEA" w:rsidRDefault="00000000">
            <w:r>
              <w:rPr>
                <w:sz w:val="19"/>
                <w:szCs w:val="19"/>
              </w:rPr>
              <w:t>Licenciamiento y dependencia del fabricante</w:t>
            </w:r>
          </w:p>
        </w:tc>
      </w:tr>
      <w:tr w:rsidR="001C0CEA" w14:paraId="617DC9CB" w14:textId="77777777">
        <w:tc>
          <w:tcPr>
            <w:tcW w:w="451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475799E" w14:textId="77777777" w:rsidR="001C0CEA" w:rsidRDefault="00000000">
            <w:r>
              <w:rPr>
                <w:sz w:val="19"/>
                <w:szCs w:val="19"/>
              </w:rPr>
              <w:t>Facilita alta disponibilidad y recuperación</w:t>
            </w:r>
          </w:p>
        </w:tc>
        <w:tc>
          <w:tcPr>
            <w:tcW w:w="451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9C76516" w14:textId="77777777" w:rsidR="001C0CEA" w:rsidRDefault="00000000">
            <w:r>
              <w:rPr>
                <w:sz w:val="19"/>
                <w:szCs w:val="19"/>
              </w:rPr>
              <w:t>Proliferación descontrolada de VM (</w:t>
            </w:r>
            <w:r>
              <w:rPr>
                <w:i/>
                <w:iCs/>
                <w:sz w:val="19"/>
                <w:szCs w:val="19"/>
              </w:rPr>
              <w:t>VM sprawl</w:t>
            </w:r>
            <w:r>
              <w:rPr>
                <w:sz w:val="19"/>
                <w:szCs w:val="19"/>
              </w:rPr>
              <w:t>)</w:t>
            </w:r>
          </w:p>
        </w:tc>
      </w:tr>
    </w:tbl>
    <w:p w14:paraId="31B3518E" w14:textId="77777777" w:rsidR="001C0CEA" w:rsidRDefault="001C0CEA">
      <w:pPr>
        <w:spacing w:after="120"/>
      </w:pPr>
    </w:p>
    <w:p w14:paraId="474C8223" w14:textId="77777777" w:rsidR="001C0CEA" w:rsidRDefault="00000000">
      <w:pPr>
        <w:pStyle w:val="Ttulo2"/>
      </w:pPr>
      <w:bookmarkStart w:id="59" w:name="_Toc241337940"/>
      <w:r>
        <w:t>13.4. Hiperconvergencia</w:t>
      </w:r>
      <w:bookmarkEnd w:id="59"/>
    </w:p>
    <w:p w14:paraId="5D29527A" w14:textId="77777777" w:rsidR="001C0CEA" w:rsidRDefault="00000000">
      <w:pPr>
        <w:spacing w:after="120"/>
        <w:jc w:val="both"/>
      </w:pPr>
      <w:r>
        <w:t xml:space="preserve">La </w:t>
      </w:r>
      <w:r>
        <w:rPr>
          <w:b/>
          <w:bCs/>
        </w:rPr>
        <w:t>infraestructura hiperconvergente (HCI)</w:t>
      </w:r>
      <w:r>
        <w:t xml:space="preserve"> integra en cada nodo x86 cómputo, almacenamiento (discos locales agrupados por software) y red virtualizada, gestionados como un único sistema escalable por nodos. El SAS desarrolló desde 2020 un proyecto de «</w:t>
      </w:r>
      <w:r>
        <w:rPr>
          <w:b/>
          <w:bCs/>
        </w:rPr>
        <w:t>Infraestructura Hiperconvergente para el Servicio Andaluz de Salud</w:t>
      </w:r>
      <w:r>
        <w:t>» impulsado por su área TIC (información publicada en el portal ayudaDIGITAL).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C0CEA" w14:paraId="575E476E" w14:textId="77777777">
        <w:trPr>
          <w:cantSplit/>
        </w:trPr>
        <w:tc>
          <w:tcPr>
            <w:tcW w:w="9026" w:type="dxa"/>
            <w:tcBorders>
              <w:top w:val="single" w:sz="12" w:space="0" w:color="BF9000"/>
              <w:left w:val="single" w:sz="12" w:space="0" w:color="BF9000"/>
              <w:bottom w:val="single" w:sz="12" w:space="0" w:color="BF9000"/>
              <w:right w:val="single" w:sz="12" w:space="0" w:color="BF9000"/>
            </w:tcBorders>
            <w:shd w:val="clear" w:color="auto" w:fill="FFF2CC"/>
            <w:tcMar>
              <w:top w:w="120" w:type="dxa"/>
              <w:left w:w="160" w:type="dxa"/>
              <w:bottom w:w="120" w:type="dxa"/>
              <w:right w:w="160" w:type="dxa"/>
            </w:tcMar>
          </w:tcPr>
          <w:p w14:paraId="154E0364" w14:textId="77777777" w:rsidR="001C0CEA" w:rsidRDefault="00000000">
            <w:pPr>
              <w:spacing w:after="80"/>
            </w:pPr>
            <w:r>
              <w:rPr>
                <w:b/>
                <w:bCs/>
                <w:color w:val="7F6000"/>
              </w:rPr>
              <w:lastRenderedPageBreak/>
              <w:t>Claves para el examen</w:t>
            </w:r>
          </w:p>
          <w:p w14:paraId="6CE4CA79" w14:textId="77777777" w:rsidR="001C0CEA" w:rsidRDefault="00000000">
            <w:pPr>
              <w:pStyle w:val="Prrafodelista"/>
              <w:numPr>
                <w:ilvl w:val="0"/>
                <w:numId w:val="2"/>
              </w:numPr>
              <w:spacing w:after="40"/>
            </w:pPr>
            <w:r>
              <w:rPr>
                <w:sz w:val="20"/>
                <w:szCs w:val="20"/>
              </w:rPr>
              <w:t>Hipervisor tipo 1 = sobre el hardware (ESXi, Hyper-V, KVM); tipo 2 = sobre un SO (VirtualBox).</w:t>
            </w:r>
          </w:p>
          <w:p w14:paraId="2038782C" w14:textId="77777777" w:rsidR="001C0CEA" w:rsidRDefault="00000000">
            <w:pPr>
              <w:pStyle w:val="Prrafodelista"/>
              <w:numPr>
                <w:ilvl w:val="0"/>
                <w:numId w:val="2"/>
              </w:numPr>
              <w:spacing w:after="40"/>
            </w:pPr>
            <w:r>
              <w:rPr>
                <w:sz w:val="20"/>
                <w:szCs w:val="20"/>
              </w:rPr>
              <w:t>Snapshot ≠ backup.</w:t>
            </w:r>
          </w:p>
          <w:p w14:paraId="3166FF56" w14:textId="77777777" w:rsidR="001C0CEA" w:rsidRDefault="00000000">
            <w:pPr>
              <w:pStyle w:val="Prrafodelista"/>
              <w:numPr>
                <w:ilvl w:val="0"/>
                <w:numId w:val="2"/>
              </w:numPr>
              <w:spacing w:after="40"/>
            </w:pPr>
            <w:r>
              <w:rPr>
                <w:sz w:val="20"/>
                <w:szCs w:val="20"/>
              </w:rPr>
              <w:t>HA del clúster reinicia VM en otro host (breve corte); la migración en caliente no corta.</w:t>
            </w:r>
          </w:p>
        </w:tc>
      </w:tr>
    </w:tbl>
    <w:p w14:paraId="56E721D9" w14:textId="77777777" w:rsidR="001C0CEA" w:rsidRDefault="001C0CEA">
      <w:pPr>
        <w:spacing w:after="120"/>
      </w:pPr>
    </w:p>
    <w:p w14:paraId="7C0A6855" w14:textId="77777777" w:rsidR="001C0CEA" w:rsidRDefault="00000000">
      <w:pPr>
        <w:pStyle w:val="Ttulo1"/>
        <w:pageBreakBefore/>
      </w:pPr>
      <w:bookmarkStart w:id="60" w:name="_Toc241337941"/>
      <w:r>
        <w:lastRenderedPageBreak/>
        <w:t>14. Copias de seguridad y recuperación</w:t>
      </w:r>
      <w:bookmarkEnd w:id="60"/>
    </w:p>
    <w:p w14:paraId="3651714D" w14:textId="77777777" w:rsidR="001C0CEA" w:rsidRDefault="00000000">
      <w:pPr>
        <w:pStyle w:val="Ttulo2"/>
      </w:pPr>
      <w:bookmarkStart w:id="61" w:name="_Toc241337942"/>
      <w:r>
        <w:t>14.1. Conceptos</w:t>
      </w:r>
      <w:bookmarkEnd w:id="61"/>
    </w:p>
    <w:p w14:paraId="6D746A84" w14:textId="77777777" w:rsidR="001C0CEA" w:rsidRDefault="00000000">
      <w:pPr>
        <w:pStyle w:val="Prrafodelista"/>
        <w:numPr>
          <w:ilvl w:val="0"/>
          <w:numId w:val="2"/>
        </w:numPr>
        <w:spacing w:after="60"/>
      </w:pPr>
      <w:r>
        <w:rPr>
          <w:b/>
          <w:bCs/>
        </w:rPr>
        <w:t>Backup (copia de seguridad):</w:t>
      </w:r>
      <w:r>
        <w:t xml:space="preserve"> copia de datos en un momento dado, conservada de forma independiente para poder </w:t>
      </w:r>
      <w:r>
        <w:rPr>
          <w:b/>
          <w:bCs/>
        </w:rPr>
        <w:t>restaurarlos</w:t>
      </w:r>
      <w:r>
        <w:t xml:space="preserve"> (restore) ante pérdida, corrupción, borrado o ataque.</w:t>
      </w:r>
    </w:p>
    <w:p w14:paraId="2627381A" w14:textId="77777777" w:rsidR="001C0CEA" w:rsidRDefault="00000000">
      <w:pPr>
        <w:pStyle w:val="Prrafodelista"/>
        <w:numPr>
          <w:ilvl w:val="0"/>
          <w:numId w:val="2"/>
        </w:numPr>
        <w:spacing w:after="60"/>
      </w:pPr>
      <w:r>
        <w:rPr>
          <w:b/>
          <w:bCs/>
        </w:rPr>
        <w:t>Restauración (restore):</w:t>
      </w:r>
      <w:r>
        <w:t xml:space="preserve"> recuperación de los datos desde la copia; una copia que no se ha probado a restaurar no ofrece garantías.</w:t>
      </w:r>
    </w:p>
    <w:p w14:paraId="499FF185" w14:textId="77777777" w:rsidR="001C0CEA" w:rsidRDefault="00000000">
      <w:pPr>
        <w:pStyle w:val="Prrafodelista"/>
        <w:numPr>
          <w:ilvl w:val="0"/>
          <w:numId w:val="2"/>
        </w:numPr>
        <w:spacing w:after="60"/>
      </w:pPr>
      <w:r>
        <w:rPr>
          <w:b/>
          <w:bCs/>
        </w:rPr>
        <w:t>Retención:</w:t>
      </w:r>
      <w:r>
        <w:t xml:space="preserve"> tiempo durante el que se conserva cada copia; </w:t>
      </w:r>
      <w:r>
        <w:rPr>
          <w:b/>
          <w:bCs/>
        </w:rPr>
        <w:t>rotación:</w:t>
      </w:r>
      <w:r>
        <w:t xml:space="preserve"> esquema de reutilización de soportes/conjuntos (p. ej., abuelo-padre-hijo, GFS: diarias, semanales y mensuales).</w:t>
      </w:r>
    </w:p>
    <w:p w14:paraId="18015E60" w14:textId="77777777" w:rsidR="001C0CEA" w:rsidRDefault="00000000">
      <w:pPr>
        <w:pStyle w:val="Ttulo2"/>
      </w:pPr>
      <w:bookmarkStart w:id="62" w:name="_Toc241337943"/>
      <w:r>
        <w:t>14.2. Tipos de copia</w:t>
      </w:r>
      <w:bookmarkEnd w:id="6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300"/>
        <w:gridCol w:w="1700"/>
        <w:gridCol w:w="2300"/>
        <w:gridCol w:w="1226"/>
      </w:tblGrid>
      <w:tr w:rsidR="001C0CEA" w14:paraId="482E75FC" w14:textId="77777777">
        <w:trPr>
          <w:tblHeader/>
        </w:trPr>
        <w:tc>
          <w:tcPr>
            <w:tcW w:w="15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078E414D" w14:textId="77777777" w:rsidR="001C0CEA" w:rsidRDefault="00000000">
            <w:r>
              <w:rPr>
                <w:b/>
                <w:bCs/>
                <w:color w:val="FFFFFF"/>
                <w:sz w:val="19"/>
                <w:szCs w:val="19"/>
              </w:rPr>
              <w:t>Tipo</w:t>
            </w:r>
          </w:p>
        </w:tc>
        <w:tc>
          <w:tcPr>
            <w:tcW w:w="23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776BD1D4" w14:textId="77777777" w:rsidR="001C0CEA" w:rsidRDefault="00000000">
            <w:r>
              <w:rPr>
                <w:b/>
                <w:bCs/>
                <w:color w:val="FFFFFF"/>
                <w:sz w:val="19"/>
                <w:szCs w:val="19"/>
              </w:rPr>
              <w:t>Qué copia</w:t>
            </w:r>
          </w:p>
        </w:tc>
        <w:tc>
          <w:tcPr>
            <w:tcW w:w="17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7E5DAE51" w14:textId="77777777" w:rsidR="001C0CEA" w:rsidRDefault="00000000">
            <w:r>
              <w:rPr>
                <w:b/>
                <w:bCs/>
                <w:color w:val="FFFFFF"/>
                <w:sz w:val="19"/>
                <w:szCs w:val="19"/>
              </w:rPr>
              <w:t>Copia</w:t>
            </w:r>
          </w:p>
        </w:tc>
        <w:tc>
          <w:tcPr>
            <w:tcW w:w="23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6AF566D0" w14:textId="77777777" w:rsidR="001C0CEA" w:rsidRDefault="00000000">
            <w:r>
              <w:rPr>
                <w:b/>
                <w:bCs/>
                <w:color w:val="FFFFFF"/>
                <w:sz w:val="19"/>
                <w:szCs w:val="19"/>
              </w:rPr>
              <w:t>Restauración</w:t>
            </w:r>
          </w:p>
        </w:tc>
        <w:tc>
          <w:tcPr>
            <w:tcW w:w="1226"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63763079" w14:textId="77777777" w:rsidR="001C0CEA" w:rsidRDefault="00000000">
            <w:r>
              <w:rPr>
                <w:b/>
                <w:bCs/>
                <w:color w:val="FFFFFF"/>
                <w:sz w:val="19"/>
                <w:szCs w:val="19"/>
              </w:rPr>
              <w:t>Bit de archivo</w:t>
            </w:r>
          </w:p>
        </w:tc>
      </w:tr>
      <w:tr w:rsidR="001C0CEA" w14:paraId="63F3642C" w14:textId="77777777">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9713132" w14:textId="77777777" w:rsidR="001C0CEA" w:rsidRDefault="00000000">
            <w:r>
              <w:rPr>
                <w:sz w:val="19"/>
                <w:szCs w:val="19"/>
              </w:rPr>
              <w:t>Completa (full)</w:t>
            </w:r>
          </w:p>
        </w:tc>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6790D2D" w14:textId="77777777" w:rsidR="001C0CEA" w:rsidRDefault="00000000">
            <w:r>
              <w:rPr>
                <w:sz w:val="19"/>
                <w:szCs w:val="19"/>
              </w:rPr>
              <w:t>Todos los datos seleccionados</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CFB522A" w14:textId="77777777" w:rsidR="001C0CEA" w:rsidRDefault="00000000">
            <w:r>
              <w:rPr>
                <w:sz w:val="19"/>
                <w:szCs w:val="19"/>
              </w:rPr>
              <w:t>Lenta y voluminosa</w:t>
            </w:r>
          </w:p>
        </w:tc>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08BCE6E" w14:textId="77777777" w:rsidR="001C0CEA" w:rsidRDefault="00000000">
            <w:r>
              <w:rPr>
                <w:sz w:val="19"/>
                <w:szCs w:val="19"/>
              </w:rPr>
              <w:t>Rápida: solo la última completa</w:t>
            </w:r>
          </w:p>
        </w:tc>
        <w:tc>
          <w:tcPr>
            <w:tcW w:w="12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E7B1C24" w14:textId="77777777" w:rsidR="001C0CEA" w:rsidRDefault="00000000">
            <w:r>
              <w:rPr>
                <w:sz w:val="19"/>
                <w:szCs w:val="19"/>
              </w:rPr>
              <w:t>Lo desactiva</w:t>
            </w:r>
          </w:p>
        </w:tc>
      </w:tr>
      <w:tr w:rsidR="001C0CEA" w14:paraId="4045BB2A" w14:textId="77777777">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B56D6B0" w14:textId="77777777" w:rsidR="001C0CEA" w:rsidRDefault="00000000">
            <w:r>
              <w:rPr>
                <w:sz w:val="19"/>
                <w:szCs w:val="19"/>
              </w:rPr>
              <w:t>Incremental</w:t>
            </w:r>
          </w:p>
        </w:tc>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D76C43A" w14:textId="77777777" w:rsidR="001C0CEA" w:rsidRDefault="00000000">
            <w:r>
              <w:rPr>
                <w:sz w:val="19"/>
                <w:szCs w:val="19"/>
              </w:rPr>
              <w:t xml:space="preserve">Lo cambiado desde la </w:t>
            </w:r>
            <w:r>
              <w:rPr>
                <w:b/>
                <w:bCs/>
                <w:sz w:val="19"/>
                <w:szCs w:val="19"/>
              </w:rPr>
              <w:t>última copia de cualquier tipo</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052B7F0" w14:textId="77777777" w:rsidR="001C0CEA" w:rsidRDefault="00000000">
            <w:r>
              <w:rPr>
                <w:sz w:val="19"/>
                <w:szCs w:val="19"/>
              </w:rPr>
              <w:t>La más rápida y pequeña</w:t>
            </w:r>
          </w:p>
        </w:tc>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0676E58" w14:textId="77777777" w:rsidR="001C0CEA" w:rsidRDefault="00000000">
            <w:r>
              <w:rPr>
                <w:sz w:val="19"/>
                <w:szCs w:val="19"/>
              </w:rPr>
              <w:t xml:space="preserve">La más lenta: completa + </w:t>
            </w:r>
            <w:r>
              <w:rPr>
                <w:b/>
                <w:bCs/>
                <w:sz w:val="19"/>
                <w:szCs w:val="19"/>
              </w:rPr>
              <w:t>todas</w:t>
            </w:r>
            <w:r>
              <w:rPr>
                <w:sz w:val="19"/>
                <w:szCs w:val="19"/>
              </w:rPr>
              <w:t xml:space="preserve"> las incrementales</w:t>
            </w:r>
          </w:p>
        </w:tc>
        <w:tc>
          <w:tcPr>
            <w:tcW w:w="12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B00FF10" w14:textId="77777777" w:rsidR="001C0CEA" w:rsidRDefault="00000000">
            <w:r>
              <w:rPr>
                <w:sz w:val="19"/>
                <w:szCs w:val="19"/>
              </w:rPr>
              <w:t>Lo desactiva</w:t>
            </w:r>
          </w:p>
        </w:tc>
      </w:tr>
      <w:tr w:rsidR="001C0CEA" w14:paraId="2FD94928" w14:textId="77777777">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E2A167E" w14:textId="77777777" w:rsidR="001C0CEA" w:rsidRDefault="00000000">
            <w:r>
              <w:rPr>
                <w:sz w:val="19"/>
                <w:szCs w:val="19"/>
              </w:rPr>
              <w:t>Diferencial</w:t>
            </w:r>
          </w:p>
        </w:tc>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FADD09E" w14:textId="77777777" w:rsidR="001C0CEA" w:rsidRDefault="00000000">
            <w:r>
              <w:rPr>
                <w:sz w:val="19"/>
                <w:szCs w:val="19"/>
              </w:rPr>
              <w:t xml:space="preserve">Lo cambiado desde la </w:t>
            </w:r>
            <w:r>
              <w:rPr>
                <w:b/>
                <w:bCs/>
                <w:sz w:val="19"/>
                <w:szCs w:val="19"/>
              </w:rPr>
              <w:t>última completa</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A290602" w14:textId="77777777" w:rsidR="001C0CEA" w:rsidRDefault="00000000">
            <w:r>
              <w:rPr>
                <w:sz w:val="19"/>
                <w:szCs w:val="19"/>
              </w:rPr>
              <w:t>Crece cada día</w:t>
            </w:r>
          </w:p>
        </w:tc>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2D82E93" w14:textId="77777777" w:rsidR="001C0CEA" w:rsidRDefault="00000000">
            <w:r>
              <w:rPr>
                <w:sz w:val="19"/>
                <w:szCs w:val="19"/>
              </w:rPr>
              <w:t xml:space="preserve">Completa + </w:t>
            </w:r>
            <w:r>
              <w:rPr>
                <w:b/>
                <w:bCs/>
                <w:sz w:val="19"/>
                <w:szCs w:val="19"/>
              </w:rPr>
              <w:t>la última</w:t>
            </w:r>
            <w:r>
              <w:rPr>
                <w:sz w:val="19"/>
                <w:szCs w:val="19"/>
              </w:rPr>
              <w:t xml:space="preserve"> diferencial</w:t>
            </w:r>
          </w:p>
        </w:tc>
        <w:tc>
          <w:tcPr>
            <w:tcW w:w="12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A7FB1EB" w14:textId="77777777" w:rsidR="001C0CEA" w:rsidRDefault="00000000">
            <w:r>
              <w:rPr>
                <w:sz w:val="19"/>
                <w:szCs w:val="19"/>
              </w:rPr>
              <w:t>No lo desactiva</w:t>
            </w:r>
          </w:p>
        </w:tc>
      </w:tr>
    </w:tbl>
    <w:p w14:paraId="3DD853A1" w14:textId="77777777" w:rsidR="001C0CEA" w:rsidRDefault="001C0CEA">
      <w:pPr>
        <w:spacing w:after="120"/>
      </w:pPr>
    </w:p>
    <w:p w14:paraId="2F0D27FF" w14:textId="77777777" w:rsidR="001C0CEA" w:rsidRDefault="00000000">
      <w:pPr>
        <w:spacing w:after="120"/>
        <w:jc w:val="both"/>
      </w:pPr>
      <w:r>
        <w:t xml:space="preserve">Variantes: copia </w:t>
      </w:r>
      <w:r>
        <w:rPr>
          <w:b/>
          <w:bCs/>
        </w:rPr>
        <w:t>sintética</w:t>
      </w:r>
      <w:r>
        <w:t xml:space="preserve"> (se construye una completa combinando la anterior y las incrementales sin releer el origen), </w:t>
      </w:r>
      <w:r>
        <w:rPr>
          <w:b/>
          <w:bCs/>
        </w:rPr>
        <w:t>incremental permanente</w:t>
      </w:r>
      <w:r>
        <w:t xml:space="preserve"> (</w:t>
      </w:r>
      <w:r>
        <w:rPr>
          <w:i/>
          <w:iCs/>
        </w:rPr>
        <w:t>forever incremental</w:t>
      </w:r>
      <w:r>
        <w:t>), copia continua (CDP).</w:t>
      </w:r>
    </w:p>
    <w:p w14:paraId="26C439AE" w14:textId="77777777" w:rsidR="001C0CEA" w:rsidRDefault="00000000">
      <w:pPr>
        <w:pStyle w:val="Ttulo2"/>
      </w:pPr>
      <w:bookmarkStart w:id="63" w:name="_Toc241337944"/>
      <w:r>
        <w:t>14.3. Estrategias de protección</w:t>
      </w:r>
      <w:bookmarkEnd w:id="63"/>
    </w:p>
    <w:p w14:paraId="50E58C18" w14:textId="77777777" w:rsidR="001C0CEA" w:rsidRDefault="00000000">
      <w:pPr>
        <w:pStyle w:val="Prrafodelista"/>
        <w:numPr>
          <w:ilvl w:val="0"/>
          <w:numId w:val="2"/>
        </w:numPr>
        <w:spacing w:after="60"/>
      </w:pPr>
      <w:r>
        <w:rPr>
          <w:b/>
          <w:bCs/>
        </w:rPr>
        <w:t>Regla 3-2-1:</w:t>
      </w:r>
      <w:r>
        <w:t xml:space="preserve"> 3 copias de los datos, en 2 soportes distintos, 1 fuera del sitio (off-site). Extensión </w:t>
      </w:r>
      <w:r>
        <w:rPr>
          <w:b/>
          <w:bCs/>
        </w:rPr>
        <w:t>3-2-1-1-0:</w:t>
      </w:r>
      <w:r>
        <w:t xml:space="preserve"> además 1 copia offline o inmutable y 0 errores en las pruebas de restauración.</w:t>
      </w:r>
    </w:p>
    <w:p w14:paraId="113C644A" w14:textId="77777777" w:rsidR="001C0CEA" w:rsidRDefault="00000000">
      <w:pPr>
        <w:pStyle w:val="Prrafodelista"/>
        <w:numPr>
          <w:ilvl w:val="0"/>
          <w:numId w:val="2"/>
        </w:numPr>
        <w:spacing w:after="60"/>
      </w:pPr>
      <w:r>
        <w:rPr>
          <w:b/>
          <w:bCs/>
        </w:rPr>
        <w:t>Copias off-site:</w:t>
      </w:r>
      <w:r>
        <w:t xml:space="preserve"> en otro CPD o proveedor. </w:t>
      </w:r>
      <w:r>
        <w:rPr>
          <w:b/>
          <w:bCs/>
        </w:rPr>
        <w:t>Copias offline (air gap):</w:t>
      </w:r>
      <w:r>
        <w:t xml:space="preserve"> desconectadas de la red (p. ej., cintas extraídas).</w:t>
      </w:r>
    </w:p>
    <w:p w14:paraId="54E0301E" w14:textId="77777777" w:rsidR="001C0CEA" w:rsidRDefault="00000000">
      <w:pPr>
        <w:pStyle w:val="Prrafodelista"/>
        <w:numPr>
          <w:ilvl w:val="0"/>
          <w:numId w:val="2"/>
        </w:numPr>
        <w:spacing w:after="60"/>
      </w:pPr>
      <w:r>
        <w:rPr>
          <w:b/>
          <w:bCs/>
        </w:rPr>
        <w:t>Inmutabilidad (WORM):</w:t>
      </w:r>
      <w:r>
        <w:t xml:space="preserve"> copias que no pueden modificarse ni borrarse durante su retención; defensa clave frente a ransomware.</w:t>
      </w:r>
    </w:p>
    <w:p w14:paraId="37A2C272" w14:textId="77777777" w:rsidR="001C0CEA" w:rsidRDefault="00000000">
      <w:pPr>
        <w:pStyle w:val="Prrafodelista"/>
        <w:numPr>
          <w:ilvl w:val="0"/>
          <w:numId w:val="2"/>
        </w:numPr>
        <w:spacing w:after="60"/>
      </w:pPr>
      <w:r>
        <w:rPr>
          <w:b/>
          <w:bCs/>
        </w:rPr>
        <w:t>Cifrado</w:t>
      </w:r>
      <w:r>
        <w:t xml:space="preserve"> de copias y control de acceso a la consola de backup (objetivo prioritario de los atacantes).</w:t>
      </w:r>
    </w:p>
    <w:p w14:paraId="7A0A5731" w14:textId="77777777" w:rsidR="001C0CEA" w:rsidRDefault="00000000">
      <w:pPr>
        <w:pStyle w:val="Prrafodelista"/>
        <w:numPr>
          <w:ilvl w:val="0"/>
          <w:numId w:val="2"/>
        </w:numPr>
        <w:spacing w:after="60"/>
      </w:pPr>
      <w:r>
        <w:rPr>
          <w:b/>
          <w:bCs/>
        </w:rPr>
        <w:t>Librerías de cintas</w:t>
      </w:r>
      <w:r>
        <w:t xml:space="preserve"> (LTO) y </w:t>
      </w:r>
      <w:r>
        <w:rPr>
          <w:b/>
          <w:bCs/>
        </w:rPr>
        <w:t>appliances de disco</w:t>
      </w:r>
      <w:r>
        <w:t xml:space="preserve"> con deduplicación; cada vez más, copia a almacenamiento de objetos.</w:t>
      </w:r>
    </w:p>
    <w:p w14:paraId="79BFF373" w14:textId="77777777" w:rsidR="001C0CEA" w:rsidRDefault="00000000">
      <w:pPr>
        <w:pStyle w:val="Ttulo2"/>
      </w:pPr>
      <w:bookmarkStart w:id="64" w:name="_Toc241337945"/>
      <w:r>
        <w:t>14.4. RPO y RTO</w:t>
      </w:r>
      <w:bookmarkEnd w:id="6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700"/>
        <w:gridCol w:w="2000"/>
        <w:gridCol w:w="2126"/>
      </w:tblGrid>
      <w:tr w:rsidR="001C0CEA" w14:paraId="328561F1" w14:textId="77777777">
        <w:trPr>
          <w:tblHeader/>
        </w:trPr>
        <w:tc>
          <w:tcPr>
            <w:tcW w:w="22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53EB7E55" w14:textId="77777777" w:rsidR="001C0CEA" w:rsidRDefault="00000000">
            <w:r>
              <w:rPr>
                <w:b/>
                <w:bCs/>
                <w:color w:val="FFFFFF"/>
                <w:sz w:val="19"/>
                <w:szCs w:val="19"/>
              </w:rPr>
              <w:t>Indicador</w:t>
            </w:r>
          </w:p>
        </w:tc>
        <w:tc>
          <w:tcPr>
            <w:tcW w:w="27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0C5A70F4" w14:textId="77777777" w:rsidR="001C0CEA" w:rsidRDefault="00000000">
            <w:r>
              <w:rPr>
                <w:b/>
                <w:bCs/>
                <w:color w:val="FFFFFF"/>
                <w:sz w:val="19"/>
                <w:szCs w:val="19"/>
              </w:rPr>
              <w:t>Pregunta que responde</w:t>
            </w:r>
          </w:p>
        </w:tc>
        <w:tc>
          <w:tcPr>
            <w:tcW w:w="20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04ABED9A" w14:textId="77777777" w:rsidR="001C0CEA" w:rsidRDefault="00000000">
            <w:r>
              <w:rPr>
                <w:b/>
                <w:bCs/>
                <w:color w:val="FFFFFF"/>
                <w:sz w:val="19"/>
                <w:szCs w:val="19"/>
              </w:rPr>
              <w:t>Se relaciona con</w:t>
            </w:r>
          </w:p>
        </w:tc>
        <w:tc>
          <w:tcPr>
            <w:tcW w:w="2126"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52C6DFD2" w14:textId="77777777" w:rsidR="001C0CEA" w:rsidRDefault="00000000">
            <w:r>
              <w:rPr>
                <w:b/>
                <w:bCs/>
                <w:color w:val="FFFFFF"/>
                <w:sz w:val="19"/>
                <w:szCs w:val="19"/>
              </w:rPr>
              <w:t>Ejemplo</w:t>
            </w:r>
          </w:p>
        </w:tc>
      </w:tr>
      <w:tr w:rsidR="001C0CEA" w14:paraId="270CB18F" w14:textId="77777777">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20B2E8C" w14:textId="77777777" w:rsidR="001C0CEA" w:rsidRDefault="00000000">
            <w:r>
              <w:rPr>
                <w:sz w:val="19"/>
                <w:szCs w:val="19"/>
              </w:rPr>
              <w:t>RPO (Recovery Point Objective)</w:t>
            </w:r>
          </w:p>
        </w:tc>
        <w:tc>
          <w:tcPr>
            <w:tcW w:w="2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2057C16" w14:textId="77777777" w:rsidR="001C0CEA" w:rsidRDefault="00000000">
            <w:r>
              <w:rPr>
                <w:sz w:val="19"/>
                <w:szCs w:val="19"/>
              </w:rPr>
              <w:t>¿Cuántos datos (medidos en tiempo) puedo permitirme perder?</w:t>
            </w:r>
          </w:p>
        </w:tc>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7763FEA" w14:textId="77777777" w:rsidR="001C0CEA" w:rsidRDefault="00000000">
            <w:r>
              <w:rPr>
                <w:sz w:val="19"/>
                <w:szCs w:val="19"/>
              </w:rPr>
              <w:t>Frecuencia de copia o tipo de replicación</w:t>
            </w:r>
          </w:p>
        </w:tc>
        <w:tc>
          <w:tcPr>
            <w:tcW w:w="21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E7EF1BD" w14:textId="77777777" w:rsidR="001C0CEA" w:rsidRDefault="00000000">
            <w:r>
              <w:rPr>
                <w:sz w:val="19"/>
                <w:szCs w:val="19"/>
              </w:rPr>
              <w:t>RPO 24 h → copia diaria basta; RPO 0 → replicación síncrona</w:t>
            </w:r>
          </w:p>
        </w:tc>
      </w:tr>
      <w:tr w:rsidR="001C0CEA" w14:paraId="7705FC6B" w14:textId="77777777">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D0482E2" w14:textId="77777777" w:rsidR="001C0CEA" w:rsidRDefault="00000000">
            <w:r>
              <w:rPr>
                <w:sz w:val="19"/>
                <w:szCs w:val="19"/>
              </w:rPr>
              <w:t>RTO (Recovery Time Objective)</w:t>
            </w:r>
          </w:p>
        </w:tc>
        <w:tc>
          <w:tcPr>
            <w:tcW w:w="2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11DD9F7" w14:textId="77777777" w:rsidR="001C0CEA" w:rsidRDefault="00000000">
            <w:r>
              <w:rPr>
                <w:sz w:val="19"/>
                <w:szCs w:val="19"/>
              </w:rPr>
              <w:t>¿En cuánto tiempo debe estar restablecido el servicio?</w:t>
            </w:r>
          </w:p>
        </w:tc>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13FA59C" w14:textId="77777777" w:rsidR="001C0CEA" w:rsidRDefault="00000000">
            <w:r>
              <w:rPr>
                <w:sz w:val="19"/>
                <w:szCs w:val="19"/>
              </w:rPr>
              <w:t>Estrategia de recuperación, automatización, sitio alternativo</w:t>
            </w:r>
          </w:p>
        </w:tc>
        <w:tc>
          <w:tcPr>
            <w:tcW w:w="21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1C11315" w14:textId="77777777" w:rsidR="001C0CEA" w:rsidRDefault="00000000">
            <w:r>
              <w:rPr>
                <w:sz w:val="19"/>
                <w:szCs w:val="19"/>
              </w:rPr>
              <w:t>RTO 4 h → hace falta infraestructura preparada</w:t>
            </w:r>
          </w:p>
        </w:tc>
      </w:tr>
    </w:tbl>
    <w:p w14:paraId="3BB19560" w14:textId="77777777" w:rsidR="001C0CEA" w:rsidRDefault="001C0CEA">
      <w:pPr>
        <w:spacing w:after="120"/>
      </w:pPr>
    </w:p>
    <w:p w14:paraId="26BC4B22" w14:textId="77777777" w:rsidR="001C0CEA" w:rsidRDefault="00000000">
      <w:pPr>
        <w:spacing w:after="120"/>
        <w:jc w:val="both"/>
      </w:pPr>
      <w:r>
        <w:lastRenderedPageBreak/>
        <w:t xml:space="preserve">Otros indicadores de ISO 22301 y buenas prácticas: </w:t>
      </w:r>
      <w:r>
        <w:rPr>
          <w:b/>
          <w:bCs/>
        </w:rPr>
        <w:t>MTPD/MAO</w:t>
      </w:r>
      <w:r>
        <w:t xml:space="preserve"> (periodo máximo tolerable de interrupción; el RTO debe ser menor) y </w:t>
      </w:r>
      <w:r>
        <w:rPr>
          <w:b/>
          <w:bCs/>
        </w:rPr>
        <w:t>MBCO</w:t>
      </w:r>
      <w:r>
        <w:t xml:space="preserve"> (objetivo mínimo de continuidad: nivel de servicio aceptable durante la contingencia).</w:t>
      </w:r>
    </w:p>
    <w:p w14:paraId="209B273A" w14:textId="77777777" w:rsidR="001C0CEA" w:rsidRDefault="00000000">
      <w:pPr>
        <w:pStyle w:val="Ttulo2"/>
      </w:pPr>
      <w:bookmarkStart w:id="65" w:name="_Toc241337946"/>
      <w:r>
        <w:t>14.5. Backup, replicación, alta disponibilidad y recuperación ante desastres</w:t>
      </w:r>
      <w:bookmarkEnd w:id="6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600"/>
        <w:gridCol w:w="2400"/>
        <w:gridCol w:w="2126"/>
      </w:tblGrid>
      <w:tr w:rsidR="001C0CEA" w14:paraId="4855B8D0" w14:textId="77777777">
        <w:trPr>
          <w:tblHeader/>
        </w:trPr>
        <w:tc>
          <w:tcPr>
            <w:tcW w:w="19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7B3CA7AB" w14:textId="77777777" w:rsidR="001C0CEA" w:rsidRDefault="00000000">
            <w:r>
              <w:rPr>
                <w:b/>
                <w:bCs/>
                <w:color w:val="FFFFFF"/>
                <w:sz w:val="19"/>
                <w:szCs w:val="19"/>
              </w:rPr>
              <w:t>Mecanismo</w:t>
            </w:r>
          </w:p>
        </w:tc>
        <w:tc>
          <w:tcPr>
            <w:tcW w:w="26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60F955E3" w14:textId="77777777" w:rsidR="001C0CEA" w:rsidRDefault="00000000">
            <w:r>
              <w:rPr>
                <w:b/>
                <w:bCs/>
                <w:color w:val="FFFFFF"/>
                <w:sz w:val="19"/>
                <w:szCs w:val="19"/>
              </w:rPr>
              <w:t>Protege frente a</w:t>
            </w:r>
          </w:p>
        </w:tc>
        <w:tc>
          <w:tcPr>
            <w:tcW w:w="24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5860CE97" w14:textId="77777777" w:rsidR="001C0CEA" w:rsidRDefault="00000000">
            <w:r>
              <w:rPr>
                <w:b/>
                <w:bCs/>
                <w:color w:val="FFFFFF"/>
                <w:sz w:val="19"/>
                <w:szCs w:val="19"/>
              </w:rPr>
              <w:t>No protege frente a</w:t>
            </w:r>
          </w:p>
        </w:tc>
        <w:tc>
          <w:tcPr>
            <w:tcW w:w="2126"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14E24AA1" w14:textId="77777777" w:rsidR="001C0CEA" w:rsidRDefault="00000000">
            <w:r>
              <w:rPr>
                <w:b/>
                <w:bCs/>
                <w:color w:val="FFFFFF"/>
                <w:sz w:val="19"/>
                <w:szCs w:val="19"/>
              </w:rPr>
              <w:t>RPO / RTO típicos</w:t>
            </w:r>
          </w:p>
        </w:tc>
      </w:tr>
      <w:tr w:rsidR="001C0CEA" w14:paraId="6A66BD1D" w14:textId="77777777">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B9FD17E" w14:textId="77777777" w:rsidR="001C0CEA" w:rsidRDefault="00000000">
            <w:r>
              <w:rPr>
                <w:sz w:val="19"/>
                <w:szCs w:val="19"/>
              </w:rPr>
              <w:t>Backup</w:t>
            </w:r>
          </w:p>
        </w:tc>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D347EA7" w14:textId="77777777" w:rsidR="001C0CEA" w:rsidRDefault="00000000">
            <w:r>
              <w:rPr>
                <w:sz w:val="19"/>
                <w:szCs w:val="19"/>
              </w:rPr>
              <w:t>Borrado, corrupción, ransomware, desastre (si hay copia externa)</w:t>
            </w:r>
          </w:p>
        </w:tc>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1EBA921" w14:textId="77777777" w:rsidR="001C0CEA" w:rsidRDefault="00000000">
            <w:r>
              <w:rPr>
                <w:sz w:val="19"/>
                <w:szCs w:val="19"/>
              </w:rPr>
              <w:t>Parada del servicio mientras se restaura</w:t>
            </w:r>
          </w:p>
        </w:tc>
        <w:tc>
          <w:tcPr>
            <w:tcW w:w="21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8C43660" w14:textId="77777777" w:rsidR="001C0CEA" w:rsidRDefault="00000000">
            <w:r>
              <w:rPr>
                <w:sz w:val="19"/>
                <w:szCs w:val="19"/>
              </w:rPr>
              <w:t>RPO horas; RTO horas–días</w:t>
            </w:r>
          </w:p>
        </w:tc>
      </w:tr>
      <w:tr w:rsidR="001C0CEA" w14:paraId="543E10AD" w14:textId="77777777">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272033D" w14:textId="77777777" w:rsidR="001C0CEA" w:rsidRDefault="00000000">
            <w:r>
              <w:rPr>
                <w:sz w:val="19"/>
                <w:szCs w:val="19"/>
              </w:rPr>
              <w:t>Replicación</w:t>
            </w:r>
          </w:p>
        </w:tc>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AF2FEBE" w14:textId="77777777" w:rsidR="001C0CEA" w:rsidRDefault="00000000">
            <w:r>
              <w:rPr>
                <w:sz w:val="19"/>
                <w:szCs w:val="19"/>
              </w:rPr>
              <w:t>Pérdida del sistema o del sitio primario</w:t>
            </w:r>
          </w:p>
        </w:tc>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723B916" w14:textId="77777777" w:rsidR="001C0CEA" w:rsidRDefault="00000000">
            <w:r>
              <w:rPr>
                <w:sz w:val="19"/>
                <w:szCs w:val="19"/>
              </w:rPr>
              <w:t>Errores lógicos (se replican también)</w:t>
            </w:r>
          </w:p>
        </w:tc>
        <w:tc>
          <w:tcPr>
            <w:tcW w:w="21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080475B" w14:textId="77777777" w:rsidR="001C0CEA" w:rsidRDefault="00000000">
            <w:r>
              <w:rPr>
                <w:sz w:val="19"/>
                <w:szCs w:val="19"/>
              </w:rPr>
              <w:t>RPO 0–minutos; RTO según automatización</w:t>
            </w:r>
          </w:p>
        </w:tc>
      </w:tr>
      <w:tr w:rsidR="001C0CEA" w14:paraId="54A127CD" w14:textId="77777777">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C12938A" w14:textId="77777777" w:rsidR="001C0CEA" w:rsidRDefault="00000000">
            <w:r>
              <w:rPr>
                <w:sz w:val="19"/>
                <w:szCs w:val="19"/>
              </w:rPr>
              <w:t>Alta disponibilidad</w:t>
            </w:r>
          </w:p>
        </w:tc>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FB30082" w14:textId="77777777" w:rsidR="001C0CEA" w:rsidRDefault="00000000">
            <w:r>
              <w:rPr>
                <w:sz w:val="19"/>
                <w:szCs w:val="19"/>
              </w:rPr>
              <w:t>Fallo de un componente o nodo</w:t>
            </w:r>
          </w:p>
        </w:tc>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12739F1" w14:textId="77777777" w:rsidR="001C0CEA" w:rsidRDefault="00000000">
            <w:r>
              <w:rPr>
                <w:sz w:val="19"/>
                <w:szCs w:val="19"/>
              </w:rPr>
              <w:t>Desastre del sitio completo, corrupción lógica</w:t>
            </w:r>
          </w:p>
        </w:tc>
        <w:tc>
          <w:tcPr>
            <w:tcW w:w="21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8E6ADAA" w14:textId="77777777" w:rsidR="001C0CEA" w:rsidRDefault="00000000">
            <w:r>
              <w:rPr>
                <w:sz w:val="19"/>
                <w:szCs w:val="19"/>
              </w:rPr>
              <w:t>Paradas mínimas o nulas</w:t>
            </w:r>
          </w:p>
        </w:tc>
      </w:tr>
      <w:tr w:rsidR="001C0CEA" w14:paraId="22BFE0A4" w14:textId="77777777">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580C388" w14:textId="77777777" w:rsidR="001C0CEA" w:rsidRDefault="00000000">
            <w:r>
              <w:rPr>
                <w:sz w:val="19"/>
                <w:szCs w:val="19"/>
              </w:rPr>
              <w:t>Recuperación ante desastres (DR)</w:t>
            </w:r>
          </w:p>
        </w:tc>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7DA0CFF" w14:textId="77777777" w:rsidR="001C0CEA" w:rsidRDefault="00000000">
            <w:r>
              <w:rPr>
                <w:sz w:val="19"/>
                <w:szCs w:val="19"/>
              </w:rPr>
              <w:t>Pérdida del CPD completo</w:t>
            </w:r>
          </w:p>
        </w:tc>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331959E" w14:textId="77777777" w:rsidR="001C0CEA" w:rsidRDefault="00000000">
            <w:r>
              <w:rPr>
                <w:sz w:val="19"/>
                <w:szCs w:val="19"/>
              </w:rPr>
              <w:t>—</w:t>
            </w:r>
          </w:p>
        </w:tc>
        <w:tc>
          <w:tcPr>
            <w:tcW w:w="21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0456EFF" w14:textId="77777777" w:rsidR="001C0CEA" w:rsidRDefault="00000000">
            <w:r>
              <w:rPr>
                <w:sz w:val="19"/>
                <w:szCs w:val="19"/>
              </w:rPr>
              <w:t>Según plan (combina replicación, backup y sitio alternativo)</w:t>
            </w:r>
          </w:p>
        </w:tc>
      </w:tr>
    </w:tbl>
    <w:p w14:paraId="3619C04E" w14:textId="77777777" w:rsidR="001C0CEA" w:rsidRDefault="001C0CEA">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C0CEA" w14:paraId="31EBF870" w14:textId="77777777">
        <w:trPr>
          <w:cantSplit/>
        </w:trPr>
        <w:tc>
          <w:tcPr>
            <w:tcW w:w="9026" w:type="dxa"/>
            <w:tcBorders>
              <w:top w:val="single" w:sz="12" w:space="0" w:color="548235"/>
              <w:left w:val="single" w:sz="12" w:space="0" w:color="548235"/>
              <w:bottom w:val="single" w:sz="12" w:space="0" w:color="548235"/>
              <w:right w:val="single" w:sz="12" w:space="0" w:color="548235"/>
            </w:tcBorders>
            <w:shd w:val="clear" w:color="auto" w:fill="E2EFD9"/>
            <w:tcMar>
              <w:top w:w="120" w:type="dxa"/>
              <w:left w:w="160" w:type="dxa"/>
              <w:bottom w:w="120" w:type="dxa"/>
              <w:right w:w="160" w:type="dxa"/>
            </w:tcMar>
          </w:tcPr>
          <w:p w14:paraId="14F34A2E" w14:textId="77777777" w:rsidR="001C0CEA" w:rsidRDefault="00000000">
            <w:pPr>
              <w:spacing w:after="80"/>
            </w:pPr>
            <w:r>
              <w:rPr>
                <w:b/>
                <w:bCs/>
                <w:color w:val="548235"/>
              </w:rPr>
              <w:t>Caso práctico: backup, restauración y RPO/RTO</w:t>
            </w:r>
          </w:p>
          <w:p w14:paraId="54717205" w14:textId="77777777" w:rsidR="001C0CEA" w:rsidRDefault="00000000">
            <w:pPr>
              <w:pStyle w:val="Prrafodelista"/>
              <w:numPr>
                <w:ilvl w:val="0"/>
                <w:numId w:val="2"/>
              </w:numPr>
              <w:spacing w:after="40"/>
            </w:pPr>
            <w:r>
              <w:rPr>
                <w:sz w:val="20"/>
                <w:szCs w:val="20"/>
              </w:rPr>
              <w:t>Sistema de laboratorio: copia completa el domingo, incrementales diarias a las 23:00. El jueves a las 10:00 se corrompe la base de datos.</w:t>
            </w:r>
          </w:p>
          <w:p w14:paraId="1F300335" w14:textId="77777777" w:rsidR="001C0CEA" w:rsidRDefault="00000000">
            <w:pPr>
              <w:pStyle w:val="Prrafodelista"/>
              <w:numPr>
                <w:ilvl w:val="0"/>
                <w:numId w:val="2"/>
              </w:numPr>
              <w:spacing w:after="40"/>
            </w:pPr>
            <w:r>
              <w:rPr>
                <w:sz w:val="20"/>
                <w:szCs w:val="20"/>
              </w:rPr>
              <w:t xml:space="preserve">Restauración: completa del domingo + incrementales de lunes, martes y miércoles. Se pierden los datos entre el miércoles a las 23:00 y el jueves a las 10:00 (11 h). Si el RPO del servicio es 4 h, </w:t>
            </w:r>
            <w:r>
              <w:rPr>
                <w:b/>
                <w:bCs/>
                <w:sz w:val="20"/>
                <w:szCs w:val="20"/>
              </w:rPr>
              <w:t>la estrategia no cumple</w:t>
            </w:r>
            <w:r>
              <w:rPr>
                <w:sz w:val="20"/>
                <w:szCs w:val="20"/>
              </w:rPr>
              <w:t xml:space="preserve"> y habría que copiar logs de transacciones cada hora o replicar.</w:t>
            </w:r>
          </w:p>
          <w:p w14:paraId="0FF7D67B" w14:textId="77777777" w:rsidR="001C0CEA" w:rsidRDefault="00000000">
            <w:pPr>
              <w:pStyle w:val="Prrafodelista"/>
              <w:numPr>
                <w:ilvl w:val="0"/>
                <w:numId w:val="2"/>
              </w:numPr>
              <w:spacing w:after="40"/>
            </w:pPr>
            <w:r>
              <w:rPr>
                <w:sz w:val="20"/>
                <w:szCs w:val="20"/>
              </w:rPr>
              <w:t>Si la restauración tarda 6 h y el RTO es 4 h, tampoco cumple: se necesitaría un entorno de espera o replicación con conmutación.</w:t>
            </w:r>
          </w:p>
        </w:tc>
      </w:tr>
    </w:tbl>
    <w:p w14:paraId="44A6ACAA" w14:textId="77777777" w:rsidR="001C0CEA" w:rsidRDefault="001C0CEA">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C0CEA" w14:paraId="19904E2B" w14:textId="77777777">
        <w:trPr>
          <w:cantSplit/>
        </w:trPr>
        <w:tc>
          <w:tcPr>
            <w:tcW w:w="9026" w:type="dxa"/>
            <w:tcBorders>
              <w:top w:val="single" w:sz="12" w:space="0" w:color="BF9000"/>
              <w:left w:val="single" w:sz="12" w:space="0" w:color="BF9000"/>
              <w:bottom w:val="single" w:sz="12" w:space="0" w:color="BF9000"/>
              <w:right w:val="single" w:sz="12" w:space="0" w:color="BF9000"/>
            </w:tcBorders>
            <w:shd w:val="clear" w:color="auto" w:fill="FFF2CC"/>
            <w:tcMar>
              <w:top w:w="120" w:type="dxa"/>
              <w:left w:w="160" w:type="dxa"/>
              <w:bottom w:w="120" w:type="dxa"/>
              <w:right w:w="160" w:type="dxa"/>
            </w:tcMar>
          </w:tcPr>
          <w:p w14:paraId="493AD6A4" w14:textId="77777777" w:rsidR="001C0CEA" w:rsidRDefault="00000000">
            <w:pPr>
              <w:spacing w:after="80"/>
            </w:pPr>
            <w:r>
              <w:rPr>
                <w:b/>
                <w:bCs/>
                <w:color w:val="7F6000"/>
              </w:rPr>
              <w:t>Claves para el examen</w:t>
            </w:r>
          </w:p>
          <w:p w14:paraId="71492618" w14:textId="77777777" w:rsidR="001C0CEA" w:rsidRDefault="00000000">
            <w:pPr>
              <w:pStyle w:val="Prrafodelista"/>
              <w:numPr>
                <w:ilvl w:val="0"/>
                <w:numId w:val="2"/>
              </w:numPr>
              <w:spacing w:after="40"/>
            </w:pPr>
            <w:r>
              <w:rPr>
                <w:sz w:val="20"/>
                <w:szCs w:val="20"/>
              </w:rPr>
              <w:t xml:space="preserve">Incremental: desde la última copia de </w:t>
            </w:r>
            <w:r>
              <w:rPr>
                <w:b/>
                <w:bCs/>
                <w:sz w:val="20"/>
                <w:szCs w:val="20"/>
              </w:rPr>
              <w:t>cualquier</w:t>
            </w:r>
            <w:r>
              <w:rPr>
                <w:sz w:val="20"/>
                <w:szCs w:val="20"/>
              </w:rPr>
              <w:t xml:space="preserve"> tipo. Diferencial: desde la última </w:t>
            </w:r>
            <w:r>
              <w:rPr>
                <w:b/>
                <w:bCs/>
                <w:sz w:val="20"/>
                <w:szCs w:val="20"/>
              </w:rPr>
              <w:t>completa</w:t>
            </w:r>
            <w:r>
              <w:rPr>
                <w:sz w:val="20"/>
                <w:szCs w:val="20"/>
              </w:rPr>
              <w:t>.</w:t>
            </w:r>
          </w:p>
          <w:p w14:paraId="1E4762BA" w14:textId="77777777" w:rsidR="001C0CEA" w:rsidRDefault="00000000">
            <w:pPr>
              <w:pStyle w:val="Prrafodelista"/>
              <w:numPr>
                <w:ilvl w:val="0"/>
                <w:numId w:val="2"/>
              </w:numPr>
              <w:spacing w:after="40"/>
            </w:pPr>
            <w:r>
              <w:rPr>
                <w:sz w:val="20"/>
                <w:szCs w:val="20"/>
              </w:rPr>
              <w:t>RPO = pérdida de datos admisible (mira hacia atrás). RTO = tiempo de recuperación admisible (mira hacia delante).</w:t>
            </w:r>
          </w:p>
          <w:p w14:paraId="33A344B9" w14:textId="77777777" w:rsidR="001C0CEA" w:rsidRDefault="00000000">
            <w:pPr>
              <w:pStyle w:val="Prrafodelista"/>
              <w:numPr>
                <w:ilvl w:val="0"/>
                <w:numId w:val="2"/>
              </w:numPr>
              <w:spacing w:after="40"/>
            </w:pPr>
            <w:r>
              <w:rPr>
                <w:sz w:val="20"/>
                <w:szCs w:val="20"/>
              </w:rPr>
              <w:t>3-2-1: tres copias, dos soportes, una fuera.</w:t>
            </w:r>
          </w:p>
        </w:tc>
      </w:tr>
    </w:tbl>
    <w:p w14:paraId="50137CBF" w14:textId="77777777" w:rsidR="001C0CEA" w:rsidRDefault="001C0CEA">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C0CEA" w14:paraId="30355F3A" w14:textId="77777777">
        <w:trPr>
          <w:cantSplit/>
        </w:trPr>
        <w:tc>
          <w:tcPr>
            <w:tcW w:w="9026" w:type="dxa"/>
            <w:tcBorders>
              <w:top w:val="single" w:sz="12" w:space="0" w:color="C00000"/>
              <w:left w:val="single" w:sz="12" w:space="0" w:color="C00000"/>
              <w:bottom w:val="single" w:sz="12" w:space="0" w:color="C00000"/>
              <w:right w:val="single" w:sz="12" w:space="0" w:color="C00000"/>
            </w:tcBorders>
            <w:shd w:val="clear" w:color="auto" w:fill="FBE4E4"/>
            <w:tcMar>
              <w:top w:w="120" w:type="dxa"/>
              <w:left w:w="160" w:type="dxa"/>
              <w:bottom w:w="120" w:type="dxa"/>
              <w:right w:w="160" w:type="dxa"/>
            </w:tcMar>
          </w:tcPr>
          <w:p w14:paraId="16A57CE9" w14:textId="77777777" w:rsidR="001C0CEA" w:rsidRDefault="00000000">
            <w:pPr>
              <w:spacing w:after="80"/>
            </w:pPr>
            <w:r>
              <w:rPr>
                <w:b/>
                <w:bCs/>
                <w:color w:val="C00000"/>
              </w:rPr>
              <w:t>Posibles trampas de test</w:t>
            </w:r>
          </w:p>
          <w:p w14:paraId="65B5C218" w14:textId="77777777" w:rsidR="001C0CEA" w:rsidRDefault="00000000">
            <w:pPr>
              <w:pStyle w:val="Prrafodelista"/>
              <w:numPr>
                <w:ilvl w:val="0"/>
                <w:numId w:val="2"/>
              </w:numPr>
              <w:spacing w:after="40"/>
            </w:pPr>
            <w:r>
              <w:rPr>
                <w:sz w:val="20"/>
                <w:szCs w:val="20"/>
              </w:rPr>
              <w:t xml:space="preserve">Restaurar con incrementales exige la completa y </w:t>
            </w:r>
            <w:r>
              <w:rPr>
                <w:b/>
                <w:bCs/>
                <w:sz w:val="20"/>
                <w:szCs w:val="20"/>
              </w:rPr>
              <w:t>todas</w:t>
            </w:r>
            <w:r>
              <w:rPr>
                <w:sz w:val="20"/>
                <w:szCs w:val="20"/>
              </w:rPr>
              <w:t xml:space="preserve"> las incrementales; con diferenciales, la completa y </w:t>
            </w:r>
            <w:r>
              <w:rPr>
                <w:b/>
                <w:bCs/>
                <w:sz w:val="20"/>
                <w:szCs w:val="20"/>
              </w:rPr>
              <w:t>solo la última</w:t>
            </w:r>
            <w:r>
              <w:rPr>
                <w:sz w:val="20"/>
                <w:szCs w:val="20"/>
              </w:rPr>
              <w:t xml:space="preserve"> diferencial.</w:t>
            </w:r>
          </w:p>
          <w:p w14:paraId="08E40F8E" w14:textId="77777777" w:rsidR="001C0CEA" w:rsidRDefault="00000000">
            <w:pPr>
              <w:pStyle w:val="Prrafodelista"/>
              <w:numPr>
                <w:ilvl w:val="0"/>
                <w:numId w:val="2"/>
              </w:numPr>
              <w:spacing w:after="40"/>
            </w:pPr>
            <w:r>
              <w:rPr>
                <w:sz w:val="20"/>
                <w:szCs w:val="20"/>
              </w:rPr>
              <w:t>La replicación copia también los errores lógicos y el cifrado del ransomware: no sustituye al backup.</w:t>
            </w:r>
          </w:p>
        </w:tc>
      </w:tr>
    </w:tbl>
    <w:p w14:paraId="0A930718" w14:textId="77777777" w:rsidR="001C0CEA" w:rsidRDefault="001C0CEA">
      <w:pPr>
        <w:spacing w:after="120"/>
      </w:pPr>
    </w:p>
    <w:p w14:paraId="4583E116" w14:textId="77777777" w:rsidR="001C0CEA" w:rsidRDefault="00000000">
      <w:pPr>
        <w:pStyle w:val="Ttulo1"/>
        <w:pageBreakBefore/>
      </w:pPr>
      <w:bookmarkStart w:id="66" w:name="_Toc241337947"/>
      <w:r>
        <w:lastRenderedPageBreak/>
        <w:t>15. Continuidad de negocio y recuperación ante desastres</w:t>
      </w:r>
      <w:bookmarkEnd w:id="66"/>
    </w:p>
    <w:p w14:paraId="6F5ED9C3" w14:textId="77777777" w:rsidR="001C0CEA" w:rsidRDefault="00000000">
      <w:pPr>
        <w:pStyle w:val="Ttulo2"/>
      </w:pPr>
      <w:bookmarkStart w:id="67" w:name="_Toc241337948"/>
      <w:r>
        <w:t>15.1. Conceptos</w:t>
      </w:r>
      <w:bookmarkEnd w:id="67"/>
    </w:p>
    <w:p w14:paraId="24D506B3" w14:textId="77777777" w:rsidR="001C0CEA" w:rsidRDefault="00000000">
      <w:pPr>
        <w:pStyle w:val="Prrafodelista"/>
        <w:numPr>
          <w:ilvl w:val="0"/>
          <w:numId w:val="2"/>
        </w:numPr>
        <w:spacing w:after="60"/>
      </w:pPr>
      <w:r>
        <w:rPr>
          <w:b/>
          <w:bCs/>
        </w:rPr>
        <w:t>Continuidad de negocio (BCM):</w:t>
      </w:r>
      <w:r>
        <w:t xml:space="preserve"> capacidad de la organización de seguir prestando sus productos o servicios en niveles aceptables tras un incidente disruptivo. Norma de referencia: </w:t>
      </w:r>
      <w:r>
        <w:rPr>
          <w:b/>
          <w:bCs/>
        </w:rPr>
        <w:t>ISO 22301</w:t>
      </w:r>
      <w:r>
        <w:t xml:space="preserve"> (sistema de gestión de la continuidad, certificable).</w:t>
      </w:r>
    </w:p>
    <w:p w14:paraId="1B6EDA6B" w14:textId="77777777" w:rsidR="001C0CEA" w:rsidRDefault="00000000">
      <w:pPr>
        <w:pStyle w:val="Prrafodelista"/>
        <w:numPr>
          <w:ilvl w:val="0"/>
          <w:numId w:val="2"/>
        </w:numPr>
        <w:spacing w:after="60"/>
      </w:pPr>
      <w:r>
        <w:rPr>
          <w:b/>
          <w:bCs/>
        </w:rPr>
        <w:t>Continuidad TIC / preparación TIC para la continuidad:</w:t>
      </w:r>
      <w:r>
        <w:t xml:space="preserve"> parte tecnológica (ISO/IEC 27031).</w:t>
      </w:r>
    </w:p>
    <w:p w14:paraId="06BE091A" w14:textId="77777777" w:rsidR="001C0CEA" w:rsidRDefault="00000000">
      <w:pPr>
        <w:pStyle w:val="Prrafodelista"/>
        <w:numPr>
          <w:ilvl w:val="0"/>
          <w:numId w:val="2"/>
        </w:numPr>
        <w:spacing w:after="60"/>
      </w:pPr>
      <w:r>
        <w:rPr>
          <w:b/>
          <w:bCs/>
        </w:rPr>
        <w:t>Recuperación ante desastres (DRP):</w:t>
      </w:r>
      <w:r>
        <w:t xml:space="preserve"> conjunto de medidas para restaurar la infraestructura y los sistemas TIC tras un desastre. El DRP es un </w:t>
      </w:r>
      <w:r>
        <w:rPr>
          <w:b/>
          <w:bCs/>
        </w:rPr>
        <w:t>componente</w:t>
      </w:r>
      <w:r>
        <w:t xml:space="preserve"> del plan de continuidad.</w:t>
      </w:r>
    </w:p>
    <w:p w14:paraId="436FCFD6" w14:textId="77777777" w:rsidR="001C0CEA" w:rsidRDefault="00000000">
      <w:pPr>
        <w:pStyle w:val="Prrafodelista"/>
        <w:numPr>
          <w:ilvl w:val="0"/>
          <w:numId w:val="2"/>
        </w:numPr>
        <w:spacing w:after="60"/>
      </w:pPr>
      <w:r>
        <w:rPr>
          <w:b/>
          <w:bCs/>
        </w:rPr>
        <w:t>Análisis de impacto en el negocio (BIA):</w:t>
      </w:r>
      <w:r>
        <w:t xml:space="preserve"> identifica procesos críticos, dependencias, impacto de su interrupción a lo largo del tiempo y fija MTPD, RTO y RPO.</w:t>
      </w:r>
    </w:p>
    <w:p w14:paraId="338510B8" w14:textId="77777777" w:rsidR="001C0CEA" w:rsidRDefault="00000000">
      <w:pPr>
        <w:pStyle w:val="Prrafodelista"/>
        <w:numPr>
          <w:ilvl w:val="0"/>
          <w:numId w:val="2"/>
        </w:numPr>
        <w:spacing w:after="60"/>
      </w:pPr>
      <w:r>
        <w:rPr>
          <w:b/>
          <w:bCs/>
        </w:rPr>
        <w:t>Análisis de riesgos:</w:t>
      </w:r>
      <w:r>
        <w:t xml:space="preserve"> identifica amenazas y vulnerabilidades y su probabilidad e impacto (en el sector público, alineado con el ENS; metodología MAGERIT/herramienta PILAR).</w:t>
      </w:r>
    </w:p>
    <w:p w14:paraId="12DF43BB" w14:textId="77777777" w:rsidR="001C0CEA" w:rsidRDefault="00000000">
      <w:pPr>
        <w:pStyle w:val="Ttulo2"/>
      </w:pPr>
      <w:bookmarkStart w:id="68" w:name="_Toc241337949"/>
      <w:r>
        <w:t>15.2. Estrategias y sitios alternativos</w:t>
      </w:r>
      <w:bookmarkEnd w:id="6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700"/>
        <w:gridCol w:w="1500"/>
        <w:gridCol w:w="1526"/>
      </w:tblGrid>
      <w:tr w:rsidR="001C0CEA" w14:paraId="0A16383A" w14:textId="77777777">
        <w:trPr>
          <w:tblHeader/>
        </w:trPr>
        <w:tc>
          <w:tcPr>
            <w:tcW w:w="23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1A360B18" w14:textId="77777777" w:rsidR="001C0CEA" w:rsidRDefault="00000000">
            <w:r>
              <w:rPr>
                <w:b/>
                <w:bCs/>
                <w:color w:val="FFFFFF"/>
                <w:sz w:val="19"/>
                <w:szCs w:val="19"/>
              </w:rPr>
              <w:t>Tipo de sitio</w:t>
            </w:r>
          </w:p>
        </w:tc>
        <w:tc>
          <w:tcPr>
            <w:tcW w:w="37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26544700" w14:textId="77777777" w:rsidR="001C0CEA" w:rsidRDefault="00000000">
            <w:r>
              <w:rPr>
                <w:b/>
                <w:bCs/>
                <w:color w:val="FFFFFF"/>
                <w:sz w:val="19"/>
                <w:szCs w:val="19"/>
              </w:rPr>
              <w:t>Descripción</w:t>
            </w:r>
          </w:p>
        </w:tc>
        <w:tc>
          <w:tcPr>
            <w:tcW w:w="15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0A349615" w14:textId="77777777" w:rsidR="001C0CEA" w:rsidRDefault="00000000">
            <w:r>
              <w:rPr>
                <w:b/>
                <w:bCs/>
                <w:color w:val="FFFFFF"/>
                <w:sz w:val="19"/>
                <w:szCs w:val="19"/>
              </w:rPr>
              <w:t>RTO</w:t>
            </w:r>
          </w:p>
        </w:tc>
        <w:tc>
          <w:tcPr>
            <w:tcW w:w="1526"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1E6E5742" w14:textId="77777777" w:rsidR="001C0CEA" w:rsidRDefault="00000000">
            <w:r>
              <w:rPr>
                <w:b/>
                <w:bCs/>
                <w:color w:val="FFFFFF"/>
                <w:sz w:val="19"/>
                <w:szCs w:val="19"/>
              </w:rPr>
              <w:t>Coste</w:t>
            </w:r>
          </w:p>
        </w:tc>
      </w:tr>
      <w:tr w:rsidR="001C0CEA" w14:paraId="068FFA32" w14:textId="77777777">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177B3DC" w14:textId="77777777" w:rsidR="001C0CEA" w:rsidRDefault="00000000">
            <w:r>
              <w:rPr>
                <w:sz w:val="19"/>
                <w:szCs w:val="19"/>
              </w:rPr>
              <w:t>Hot site (sitio caliente)</w:t>
            </w:r>
          </w:p>
        </w:tc>
        <w:tc>
          <w:tcPr>
            <w:tcW w:w="3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83BA789" w14:textId="77777777" w:rsidR="001C0CEA" w:rsidRDefault="00000000">
            <w:r>
              <w:rPr>
                <w:sz w:val="19"/>
                <w:szCs w:val="19"/>
              </w:rPr>
              <w:t>Infraestructura completa, equipada y con datos actualizados (replicación); listo para asumir la carga</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396F77A" w14:textId="77777777" w:rsidR="001C0CEA" w:rsidRDefault="00000000">
            <w:r>
              <w:rPr>
                <w:sz w:val="19"/>
                <w:szCs w:val="19"/>
              </w:rPr>
              <w:t>Minutos–horas</w:t>
            </w:r>
          </w:p>
        </w:tc>
        <w:tc>
          <w:tcPr>
            <w:tcW w:w="15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1A0F2D1" w14:textId="77777777" w:rsidR="001C0CEA" w:rsidRDefault="00000000">
            <w:r>
              <w:rPr>
                <w:sz w:val="19"/>
                <w:szCs w:val="19"/>
              </w:rPr>
              <w:t>Alto</w:t>
            </w:r>
          </w:p>
        </w:tc>
      </w:tr>
      <w:tr w:rsidR="001C0CEA" w14:paraId="3CF3DDF7" w14:textId="77777777">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C7E0177" w14:textId="77777777" w:rsidR="001C0CEA" w:rsidRDefault="00000000">
            <w:r>
              <w:rPr>
                <w:sz w:val="19"/>
                <w:szCs w:val="19"/>
              </w:rPr>
              <w:t>Warm site (sitio templado)</w:t>
            </w:r>
          </w:p>
        </w:tc>
        <w:tc>
          <w:tcPr>
            <w:tcW w:w="3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90B2000" w14:textId="77777777" w:rsidR="001C0CEA" w:rsidRDefault="00000000">
            <w:r>
              <w:rPr>
                <w:sz w:val="19"/>
                <w:szCs w:val="19"/>
              </w:rPr>
              <w:t>Instalaciones y parte del equipamiento; requiere cargar datos/configurar</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AD77DCF" w14:textId="77777777" w:rsidR="001C0CEA" w:rsidRDefault="00000000">
            <w:r>
              <w:rPr>
                <w:sz w:val="19"/>
                <w:szCs w:val="19"/>
              </w:rPr>
              <w:t>Horas–días</w:t>
            </w:r>
          </w:p>
        </w:tc>
        <w:tc>
          <w:tcPr>
            <w:tcW w:w="15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80257EC" w14:textId="77777777" w:rsidR="001C0CEA" w:rsidRDefault="00000000">
            <w:r>
              <w:rPr>
                <w:sz w:val="19"/>
                <w:szCs w:val="19"/>
              </w:rPr>
              <w:t>Medio</w:t>
            </w:r>
          </w:p>
        </w:tc>
      </w:tr>
      <w:tr w:rsidR="001C0CEA" w14:paraId="37A1FEC4" w14:textId="77777777">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2970F6A" w14:textId="77777777" w:rsidR="001C0CEA" w:rsidRDefault="00000000">
            <w:r>
              <w:rPr>
                <w:sz w:val="19"/>
                <w:szCs w:val="19"/>
              </w:rPr>
              <w:t>Cold site (sitio frío)</w:t>
            </w:r>
          </w:p>
        </w:tc>
        <w:tc>
          <w:tcPr>
            <w:tcW w:w="3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83748AD" w14:textId="77777777" w:rsidR="001C0CEA" w:rsidRDefault="00000000">
            <w:r>
              <w:rPr>
                <w:sz w:val="19"/>
                <w:szCs w:val="19"/>
              </w:rPr>
              <w:t>Espacio con instalaciones básicas (energía, clima) sin equipos</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BEBCF5D" w14:textId="77777777" w:rsidR="001C0CEA" w:rsidRDefault="00000000">
            <w:r>
              <w:rPr>
                <w:sz w:val="19"/>
                <w:szCs w:val="19"/>
              </w:rPr>
              <w:t>Días–semanas</w:t>
            </w:r>
          </w:p>
        </w:tc>
        <w:tc>
          <w:tcPr>
            <w:tcW w:w="15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07F1DAB" w14:textId="77777777" w:rsidR="001C0CEA" w:rsidRDefault="00000000">
            <w:r>
              <w:rPr>
                <w:sz w:val="19"/>
                <w:szCs w:val="19"/>
              </w:rPr>
              <w:t>Bajo</w:t>
            </w:r>
          </w:p>
        </w:tc>
      </w:tr>
      <w:tr w:rsidR="001C0CEA" w14:paraId="7B5AB7FC" w14:textId="77777777">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CB77048" w14:textId="77777777" w:rsidR="001C0CEA" w:rsidRDefault="00000000">
            <w:r>
              <w:rPr>
                <w:sz w:val="19"/>
                <w:szCs w:val="19"/>
              </w:rPr>
              <w:t>Mirror / activo-activo</w:t>
            </w:r>
          </w:p>
        </w:tc>
        <w:tc>
          <w:tcPr>
            <w:tcW w:w="3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45B5426" w14:textId="77777777" w:rsidR="001C0CEA" w:rsidRDefault="00000000">
            <w:r>
              <w:rPr>
                <w:sz w:val="19"/>
                <w:szCs w:val="19"/>
              </w:rPr>
              <w:t>Dos CPD sirviendo carga simultáneamente</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EB7EF0D" w14:textId="77777777" w:rsidR="001C0CEA" w:rsidRDefault="00000000">
            <w:r>
              <w:rPr>
                <w:sz w:val="19"/>
                <w:szCs w:val="19"/>
              </w:rPr>
              <w:t>Casi nulo</w:t>
            </w:r>
          </w:p>
        </w:tc>
        <w:tc>
          <w:tcPr>
            <w:tcW w:w="15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15A96DF" w14:textId="77777777" w:rsidR="001C0CEA" w:rsidRDefault="00000000">
            <w:r>
              <w:rPr>
                <w:sz w:val="19"/>
                <w:szCs w:val="19"/>
              </w:rPr>
              <w:t>Muy alto</w:t>
            </w:r>
          </w:p>
        </w:tc>
      </w:tr>
      <w:tr w:rsidR="001C0CEA" w14:paraId="0306DB99" w14:textId="77777777">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251299E" w14:textId="77777777" w:rsidR="001C0CEA" w:rsidRDefault="00000000">
            <w:r>
              <w:rPr>
                <w:sz w:val="19"/>
                <w:szCs w:val="19"/>
              </w:rPr>
              <w:t>Acuerdo recíproco / proveedor externo / nube (DRaaS)</w:t>
            </w:r>
          </w:p>
        </w:tc>
        <w:tc>
          <w:tcPr>
            <w:tcW w:w="3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EB681F7" w14:textId="77777777" w:rsidR="001C0CEA" w:rsidRDefault="00000000">
            <w:r>
              <w:rPr>
                <w:sz w:val="19"/>
                <w:szCs w:val="19"/>
              </w:rPr>
              <w:t>Uso de instalaciones de terceros o de nube como sitio de recuperación</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AA4CC55" w14:textId="77777777" w:rsidR="001C0CEA" w:rsidRDefault="00000000">
            <w:r>
              <w:rPr>
                <w:sz w:val="19"/>
                <w:szCs w:val="19"/>
              </w:rPr>
              <w:t>Variable</w:t>
            </w:r>
          </w:p>
        </w:tc>
        <w:tc>
          <w:tcPr>
            <w:tcW w:w="15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F3F8610" w14:textId="77777777" w:rsidR="001C0CEA" w:rsidRDefault="00000000">
            <w:r>
              <w:rPr>
                <w:sz w:val="19"/>
                <w:szCs w:val="19"/>
              </w:rPr>
              <w:t>Variable</w:t>
            </w:r>
          </w:p>
        </w:tc>
      </w:tr>
    </w:tbl>
    <w:p w14:paraId="39233082" w14:textId="77777777" w:rsidR="001C0CEA" w:rsidRDefault="001C0CEA">
      <w:pPr>
        <w:spacing w:after="120"/>
      </w:pPr>
    </w:p>
    <w:p w14:paraId="1608C05A" w14:textId="77777777" w:rsidR="001C0CEA" w:rsidRDefault="00000000">
      <w:pPr>
        <w:pStyle w:val="Ttulo2"/>
      </w:pPr>
      <w:bookmarkStart w:id="69" w:name="_Toc241337950"/>
      <w:r>
        <w:t>15.3. Planes, pruebas y mejora</w:t>
      </w:r>
      <w:bookmarkEnd w:id="69"/>
    </w:p>
    <w:p w14:paraId="68C7EDFF" w14:textId="77777777" w:rsidR="001C0CEA" w:rsidRDefault="00000000">
      <w:pPr>
        <w:pStyle w:val="Prrafodelista"/>
        <w:numPr>
          <w:ilvl w:val="0"/>
          <w:numId w:val="2"/>
        </w:numPr>
        <w:spacing w:after="60"/>
      </w:pPr>
      <w:r>
        <w:rPr>
          <w:b/>
          <w:bCs/>
        </w:rPr>
        <w:t>Plan de continuidad:</w:t>
      </w:r>
      <w:r>
        <w:t xml:space="preserve"> roles (comité de crisis), criterios de activación, comunicación, procedimientos alternativos (incluidos procedimientos manuales en la asistencia sanitaria), recuperación y vuelta a la normalidad.</w:t>
      </w:r>
    </w:p>
    <w:p w14:paraId="59023D68" w14:textId="77777777" w:rsidR="001C0CEA" w:rsidRDefault="00000000">
      <w:pPr>
        <w:pStyle w:val="Prrafodelista"/>
        <w:numPr>
          <w:ilvl w:val="0"/>
          <w:numId w:val="2"/>
        </w:numPr>
        <w:spacing w:after="60"/>
      </w:pPr>
      <w:r>
        <w:rPr>
          <w:b/>
          <w:bCs/>
        </w:rPr>
        <w:t>Plan de recuperación ante desastres:</w:t>
      </w:r>
      <w:r>
        <w:t xml:space="preserve"> secuencia técnica de recuperación de sistemas según prioridades del BIA.</w:t>
      </w:r>
    </w:p>
    <w:p w14:paraId="45FA9C97" w14:textId="77777777" w:rsidR="001C0CEA" w:rsidRDefault="00000000">
      <w:pPr>
        <w:pStyle w:val="Prrafodelista"/>
        <w:numPr>
          <w:ilvl w:val="0"/>
          <w:numId w:val="2"/>
        </w:numPr>
        <w:spacing w:after="60"/>
      </w:pPr>
      <w:r>
        <w:rPr>
          <w:b/>
          <w:bCs/>
        </w:rPr>
        <w:t>Pruebas:</w:t>
      </w:r>
      <w:r>
        <w:t xml:space="preserve"> revisión documental, ejercicios de mesa (</w:t>
      </w:r>
      <w:r>
        <w:rPr>
          <w:i/>
          <w:iCs/>
        </w:rPr>
        <w:t>tabletop</w:t>
      </w:r>
      <w:r>
        <w:t>), simulacros parciales, pruebas de conmutación real al sitio alternativo y vuelta atrás. Sin pruebas periódicas el plan no es fiable.</w:t>
      </w:r>
    </w:p>
    <w:p w14:paraId="3A563694" w14:textId="77777777" w:rsidR="001C0CEA" w:rsidRDefault="00000000">
      <w:pPr>
        <w:pStyle w:val="Prrafodelista"/>
        <w:numPr>
          <w:ilvl w:val="0"/>
          <w:numId w:val="2"/>
        </w:numPr>
        <w:spacing w:after="60"/>
      </w:pPr>
      <w:r>
        <w:rPr>
          <w:b/>
          <w:bCs/>
        </w:rPr>
        <w:t>Mantenimiento:</w:t>
      </w:r>
      <w:r>
        <w:t xml:space="preserve"> actualización tras cambios relevantes, tras incidentes y periódicamente (ciclo PDCA de ISO 22301).</w:t>
      </w:r>
    </w:p>
    <w:p w14:paraId="1878B0EC" w14:textId="77777777" w:rsidR="001C0CEA" w:rsidRDefault="00000000">
      <w:pPr>
        <w:pStyle w:val="Prrafodelista"/>
        <w:numPr>
          <w:ilvl w:val="0"/>
          <w:numId w:val="2"/>
        </w:numPr>
        <w:spacing w:after="60"/>
      </w:pPr>
      <w:r>
        <w:t xml:space="preserve">En el </w:t>
      </w:r>
      <w:r>
        <w:rPr>
          <w:b/>
          <w:bCs/>
        </w:rPr>
        <w:t>ENS</w:t>
      </w:r>
      <w:r>
        <w:t xml:space="preserve">, la continuidad aparece en las medidas </w:t>
      </w:r>
      <w:r>
        <w:rPr>
          <w:b/>
          <w:bCs/>
        </w:rPr>
        <w:t>op.cont</w:t>
      </w:r>
      <w:r>
        <w:t xml:space="preserve"> (análisis de impacto, plan de continuidad, pruebas periódicas, medios alternativos), exigibles según la categoría y la dimensión de disponibilidad.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C0CEA" w14:paraId="3CED7BB5" w14:textId="77777777">
        <w:trPr>
          <w:cantSplit/>
        </w:trPr>
        <w:tc>
          <w:tcPr>
            <w:tcW w:w="9026" w:type="dxa"/>
            <w:tcBorders>
              <w:top w:val="single" w:sz="12" w:space="0" w:color="548235"/>
              <w:left w:val="single" w:sz="12" w:space="0" w:color="548235"/>
              <w:bottom w:val="single" w:sz="12" w:space="0" w:color="548235"/>
              <w:right w:val="single" w:sz="12" w:space="0" w:color="548235"/>
            </w:tcBorders>
            <w:shd w:val="clear" w:color="auto" w:fill="E2EFD9"/>
            <w:tcMar>
              <w:top w:w="120" w:type="dxa"/>
              <w:left w:w="160" w:type="dxa"/>
              <w:bottom w:w="120" w:type="dxa"/>
              <w:right w:w="160" w:type="dxa"/>
            </w:tcMar>
          </w:tcPr>
          <w:p w14:paraId="69280973" w14:textId="77777777" w:rsidR="001C0CEA" w:rsidRDefault="00000000">
            <w:pPr>
              <w:spacing w:after="80"/>
            </w:pPr>
            <w:r>
              <w:rPr>
                <w:b/>
                <w:bCs/>
                <w:color w:val="548235"/>
              </w:rPr>
              <w:lastRenderedPageBreak/>
              <w:t>Caso práctico: recuperación ante desastre</w:t>
            </w:r>
          </w:p>
          <w:p w14:paraId="3FFF7810" w14:textId="77777777" w:rsidR="001C0CEA" w:rsidRDefault="00000000">
            <w:pPr>
              <w:pStyle w:val="Prrafodelista"/>
              <w:numPr>
                <w:ilvl w:val="0"/>
                <w:numId w:val="2"/>
              </w:numPr>
              <w:spacing w:after="40"/>
            </w:pPr>
            <w:r>
              <w:rPr>
                <w:sz w:val="20"/>
                <w:szCs w:val="20"/>
              </w:rPr>
              <w:t>Una inundación deja inoperativo el CPD principal. El comité de crisis activa el plan.</w:t>
            </w:r>
          </w:p>
          <w:p w14:paraId="46ADDE3F" w14:textId="77777777" w:rsidR="001C0CEA" w:rsidRDefault="00000000">
            <w:pPr>
              <w:pStyle w:val="Prrafodelista"/>
              <w:numPr>
                <w:ilvl w:val="0"/>
                <w:numId w:val="2"/>
              </w:numPr>
              <w:spacing w:after="40"/>
            </w:pPr>
            <w:r>
              <w:rPr>
                <w:sz w:val="20"/>
                <w:szCs w:val="20"/>
              </w:rPr>
              <w:t>Servicios de prioridad 1 (historia clínica, receta) conmutan al CPD de respaldo, donde los datos están replicados: RTO cumplido en minutos u horas.</w:t>
            </w:r>
          </w:p>
          <w:p w14:paraId="1733E7F6" w14:textId="77777777" w:rsidR="001C0CEA" w:rsidRDefault="00000000">
            <w:pPr>
              <w:pStyle w:val="Prrafodelista"/>
              <w:numPr>
                <w:ilvl w:val="0"/>
                <w:numId w:val="2"/>
              </w:numPr>
              <w:spacing w:after="40"/>
            </w:pPr>
            <w:r>
              <w:rPr>
                <w:sz w:val="20"/>
                <w:szCs w:val="20"/>
              </w:rPr>
              <w:t>Servicios de prioridad 3 (informes estadísticos) se restauran desde backup en días, según su RTO.</w:t>
            </w:r>
          </w:p>
          <w:p w14:paraId="3D569060" w14:textId="77777777" w:rsidR="001C0CEA" w:rsidRDefault="00000000">
            <w:pPr>
              <w:pStyle w:val="Prrafodelista"/>
              <w:numPr>
                <w:ilvl w:val="0"/>
                <w:numId w:val="2"/>
              </w:numPr>
              <w:spacing w:after="40"/>
            </w:pPr>
            <w:r>
              <w:rPr>
                <w:sz w:val="20"/>
                <w:szCs w:val="20"/>
              </w:rPr>
              <w:t>Mientras tanto, los centros aplican procedimientos de contingencia; al final se planifica la vuelta (</w:t>
            </w:r>
            <w:r>
              <w:rPr>
                <w:i/>
                <w:iCs/>
                <w:sz w:val="20"/>
                <w:szCs w:val="20"/>
              </w:rPr>
              <w:t>failback</w:t>
            </w:r>
            <w:r>
              <w:rPr>
                <w:sz w:val="20"/>
                <w:szCs w:val="20"/>
              </w:rPr>
              <w:t>) y se documentan lecciones aprendidas.</w:t>
            </w:r>
          </w:p>
        </w:tc>
      </w:tr>
    </w:tbl>
    <w:p w14:paraId="7DAF9781" w14:textId="77777777" w:rsidR="001C0CEA" w:rsidRDefault="001C0CEA">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C0CEA" w14:paraId="739FB375" w14:textId="77777777">
        <w:trPr>
          <w:cantSplit/>
        </w:trPr>
        <w:tc>
          <w:tcPr>
            <w:tcW w:w="9026" w:type="dxa"/>
            <w:tcBorders>
              <w:top w:val="single" w:sz="12" w:space="0" w:color="BF9000"/>
              <w:left w:val="single" w:sz="12" w:space="0" w:color="BF9000"/>
              <w:bottom w:val="single" w:sz="12" w:space="0" w:color="BF9000"/>
              <w:right w:val="single" w:sz="12" w:space="0" w:color="BF9000"/>
            </w:tcBorders>
            <w:shd w:val="clear" w:color="auto" w:fill="FFF2CC"/>
            <w:tcMar>
              <w:top w:w="120" w:type="dxa"/>
              <w:left w:w="160" w:type="dxa"/>
              <w:bottom w:w="120" w:type="dxa"/>
              <w:right w:w="160" w:type="dxa"/>
            </w:tcMar>
          </w:tcPr>
          <w:p w14:paraId="54543E60" w14:textId="77777777" w:rsidR="001C0CEA" w:rsidRDefault="00000000">
            <w:pPr>
              <w:spacing w:after="80"/>
            </w:pPr>
            <w:r>
              <w:rPr>
                <w:b/>
                <w:bCs/>
                <w:color w:val="7F6000"/>
              </w:rPr>
              <w:t>Claves para el examen</w:t>
            </w:r>
          </w:p>
          <w:p w14:paraId="3EE9D54C" w14:textId="77777777" w:rsidR="001C0CEA" w:rsidRDefault="00000000">
            <w:pPr>
              <w:pStyle w:val="Prrafodelista"/>
              <w:numPr>
                <w:ilvl w:val="0"/>
                <w:numId w:val="2"/>
              </w:numPr>
              <w:spacing w:after="40"/>
            </w:pPr>
            <w:r>
              <w:rPr>
                <w:sz w:val="20"/>
                <w:szCs w:val="20"/>
              </w:rPr>
              <w:t>BIA → fija RTO/RPO; el análisis de riesgos → identifica amenazas.</w:t>
            </w:r>
          </w:p>
          <w:p w14:paraId="2BA89815" w14:textId="77777777" w:rsidR="001C0CEA" w:rsidRDefault="00000000">
            <w:pPr>
              <w:pStyle w:val="Prrafodelista"/>
              <w:numPr>
                <w:ilvl w:val="0"/>
                <w:numId w:val="2"/>
              </w:numPr>
              <w:spacing w:after="40"/>
            </w:pPr>
            <w:r>
              <w:rPr>
                <w:sz w:val="20"/>
                <w:szCs w:val="20"/>
              </w:rPr>
              <w:t>Hot = listo; warm = parcialmente equipado; cold = solo espacio e instalaciones.</w:t>
            </w:r>
          </w:p>
          <w:p w14:paraId="7DDF1E70" w14:textId="77777777" w:rsidR="001C0CEA" w:rsidRDefault="00000000">
            <w:pPr>
              <w:pStyle w:val="Prrafodelista"/>
              <w:numPr>
                <w:ilvl w:val="0"/>
                <w:numId w:val="2"/>
              </w:numPr>
              <w:spacing w:after="40"/>
            </w:pPr>
            <w:r>
              <w:rPr>
                <w:sz w:val="20"/>
                <w:szCs w:val="20"/>
              </w:rPr>
              <w:t>DRP ⊂ plan de continuidad. ISO 22301 = continuidad (certificable).</w:t>
            </w:r>
          </w:p>
        </w:tc>
      </w:tr>
    </w:tbl>
    <w:p w14:paraId="50B48A9C" w14:textId="77777777" w:rsidR="001C0CEA" w:rsidRDefault="001C0CEA">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C0CEA" w14:paraId="33428FA8" w14:textId="77777777">
        <w:trPr>
          <w:cantSplit/>
        </w:trPr>
        <w:tc>
          <w:tcPr>
            <w:tcW w:w="9026" w:type="dxa"/>
            <w:tcBorders>
              <w:top w:val="single" w:sz="12" w:space="0" w:color="C00000"/>
              <w:left w:val="single" w:sz="12" w:space="0" w:color="C00000"/>
              <w:bottom w:val="single" w:sz="12" w:space="0" w:color="C00000"/>
              <w:right w:val="single" w:sz="12" w:space="0" w:color="C00000"/>
            </w:tcBorders>
            <w:shd w:val="clear" w:color="auto" w:fill="FBE4E4"/>
            <w:tcMar>
              <w:top w:w="120" w:type="dxa"/>
              <w:left w:w="160" w:type="dxa"/>
              <w:bottom w:w="120" w:type="dxa"/>
              <w:right w:w="160" w:type="dxa"/>
            </w:tcMar>
          </w:tcPr>
          <w:p w14:paraId="39366D4C" w14:textId="77777777" w:rsidR="001C0CEA" w:rsidRDefault="00000000">
            <w:pPr>
              <w:spacing w:after="80"/>
            </w:pPr>
            <w:r>
              <w:rPr>
                <w:b/>
                <w:bCs/>
                <w:color w:val="C00000"/>
              </w:rPr>
              <w:t>Posibles trampas de test</w:t>
            </w:r>
          </w:p>
          <w:p w14:paraId="780BC24A" w14:textId="77777777" w:rsidR="001C0CEA" w:rsidRDefault="00000000">
            <w:pPr>
              <w:pStyle w:val="Prrafodelista"/>
              <w:numPr>
                <w:ilvl w:val="0"/>
                <w:numId w:val="2"/>
              </w:numPr>
              <w:spacing w:after="40"/>
            </w:pPr>
            <w:r>
              <w:rPr>
                <w:sz w:val="20"/>
                <w:szCs w:val="20"/>
              </w:rPr>
              <w:t>Continuidad (mantener el negocio) ≠ disponibilidad (porcentaje de tiempo operativo de un sistema).</w:t>
            </w:r>
          </w:p>
          <w:p w14:paraId="76298E3C" w14:textId="77777777" w:rsidR="001C0CEA" w:rsidRDefault="00000000">
            <w:pPr>
              <w:pStyle w:val="Prrafodelista"/>
              <w:numPr>
                <w:ilvl w:val="0"/>
                <w:numId w:val="2"/>
              </w:numPr>
              <w:spacing w:after="40"/>
            </w:pPr>
            <w:r>
              <w:rPr>
                <w:sz w:val="20"/>
                <w:szCs w:val="20"/>
              </w:rPr>
              <w:t>Un CPD de respaldo no es lo mismo que alta disponibilidad dentro del mismo CPD.</w:t>
            </w:r>
          </w:p>
        </w:tc>
      </w:tr>
    </w:tbl>
    <w:p w14:paraId="1B8DDD40" w14:textId="77777777" w:rsidR="001C0CEA" w:rsidRDefault="001C0CEA">
      <w:pPr>
        <w:spacing w:after="120"/>
      </w:pPr>
    </w:p>
    <w:p w14:paraId="2C6DA316" w14:textId="77777777" w:rsidR="001C0CEA" w:rsidRDefault="00000000">
      <w:pPr>
        <w:pStyle w:val="Ttulo1"/>
        <w:pageBreakBefore/>
      </w:pPr>
      <w:bookmarkStart w:id="70" w:name="_Toc241337951"/>
      <w:r>
        <w:lastRenderedPageBreak/>
        <w:t>16. Seguridad del CPD: física, lógica y organizativa</w:t>
      </w:r>
      <w:bookmarkEnd w:id="70"/>
    </w:p>
    <w:p w14:paraId="05165DBC" w14:textId="77777777" w:rsidR="001C0CEA" w:rsidRDefault="00000000">
      <w:pPr>
        <w:pStyle w:val="Ttulo2"/>
      </w:pPr>
      <w:bookmarkStart w:id="71" w:name="_Toc241337952"/>
      <w:r>
        <w:t>16.1. Seguridad física (resumen)</w:t>
      </w:r>
      <w:bookmarkEnd w:id="71"/>
    </w:p>
    <w:p w14:paraId="4616A780" w14:textId="77777777" w:rsidR="001C0CEA" w:rsidRDefault="00000000">
      <w:pPr>
        <w:spacing w:after="120"/>
        <w:jc w:val="both"/>
      </w:pPr>
      <w:r>
        <w:t>Control de acceso por zonas, perímetro, vigilancia y CCTV, protección contra incendios e inundaciones, control ambiental (temperatura y humedad) y suministro eléctrico garantizado (apartados 5 a 8).</w:t>
      </w:r>
    </w:p>
    <w:p w14:paraId="6E24A7CC" w14:textId="77777777" w:rsidR="001C0CEA" w:rsidRDefault="00000000">
      <w:pPr>
        <w:pStyle w:val="Ttulo2"/>
      </w:pPr>
      <w:bookmarkStart w:id="72" w:name="_Toc241337953"/>
      <w:r>
        <w:t>16.2. Seguridad lógica</w:t>
      </w:r>
      <w:bookmarkEnd w:id="72"/>
    </w:p>
    <w:p w14:paraId="0F463632" w14:textId="77777777" w:rsidR="001C0CEA" w:rsidRDefault="00000000">
      <w:pPr>
        <w:pStyle w:val="Prrafodelista"/>
        <w:numPr>
          <w:ilvl w:val="0"/>
          <w:numId w:val="2"/>
        </w:numPr>
        <w:spacing w:after="60"/>
      </w:pPr>
      <w:r>
        <w:rPr>
          <w:b/>
          <w:bCs/>
        </w:rPr>
        <w:t>Segmentación</w:t>
      </w:r>
      <w:r>
        <w:t xml:space="preserve"> de redes y zonas; cortafuegos entre zonas; redes de gestión aisladas.</w:t>
      </w:r>
    </w:p>
    <w:p w14:paraId="1399E406" w14:textId="77777777" w:rsidR="001C0CEA" w:rsidRDefault="00000000">
      <w:pPr>
        <w:pStyle w:val="Prrafodelista"/>
        <w:numPr>
          <w:ilvl w:val="0"/>
          <w:numId w:val="2"/>
        </w:numPr>
        <w:spacing w:after="60"/>
      </w:pPr>
      <w:r>
        <w:rPr>
          <w:b/>
          <w:bCs/>
        </w:rPr>
        <w:t>IDS/IPS</w:t>
      </w:r>
      <w:r>
        <w:t>, antimalware/EDR, filtrado de correo y navegación.</w:t>
      </w:r>
    </w:p>
    <w:p w14:paraId="11CD7514" w14:textId="77777777" w:rsidR="001C0CEA" w:rsidRDefault="00000000">
      <w:pPr>
        <w:pStyle w:val="Prrafodelista"/>
        <w:numPr>
          <w:ilvl w:val="0"/>
          <w:numId w:val="2"/>
        </w:numPr>
        <w:spacing w:after="60"/>
      </w:pPr>
      <w:r>
        <w:rPr>
          <w:b/>
          <w:bCs/>
        </w:rPr>
        <w:t>Autenticación robusta</w:t>
      </w:r>
      <w:r>
        <w:t xml:space="preserve"> (doble factor para administradores), gestión de identidades y </w:t>
      </w:r>
      <w:r>
        <w:rPr>
          <w:b/>
          <w:bCs/>
        </w:rPr>
        <w:t>cuentas privilegiadas</w:t>
      </w:r>
      <w:r>
        <w:t xml:space="preserve"> (PAM), mínimo privilegio y segregación de funciones.</w:t>
      </w:r>
    </w:p>
    <w:p w14:paraId="12112AE7" w14:textId="77777777" w:rsidR="001C0CEA" w:rsidRDefault="00000000">
      <w:pPr>
        <w:pStyle w:val="Prrafodelista"/>
        <w:numPr>
          <w:ilvl w:val="0"/>
          <w:numId w:val="2"/>
        </w:numPr>
        <w:spacing w:after="60"/>
      </w:pPr>
      <w:r>
        <w:rPr>
          <w:b/>
          <w:bCs/>
        </w:rPr>
        <w:t>Bastionado</w:t>
      </w:r>
      <w:r>
        <w:t xml:space="preserve"> (hardening) de sistemas según guías (en el sector público, guías </w:t>
      </w:r>
      <w:r>
        <w:rPr>
          <w:b/>
          <w:bCs/>
        </w:rPr>
        <w:t>CCN-STIC</w:t>
      </w:r>
      <w:r>
        <w:t>).</w:t>
      </w:r>
    </w:p>
    <w:p w14:paraId="37A7A0F5" w14:textId="77777777" w:rsidR="001C0CEA" w:rsidRDefault="00000000">
      <w:pPr>
        <w:pStyle w:val="Prrafodelista"/>
        <w:numPr>
          <w:ilvl w:val="0"/>
          <w:numId w:val="2"/>
        </w:numPr>
        <w:spacing w:after="60"/>
      </w:pPr>
      <w:r>
        <w:rPr>
          <w:b/>
          <w:bCs/>
        </w:rPr>
        <w:t>Gestión de vulnerabilidades y parches</w:t>
      </w:r>
      <w:r>
        <w:t>, planificada mediante gestión de cambios.</w:t>
      </w:r>
    </w:p>
    <w:p w14:paraId="34D6A3F5" w14:textId="77777777" w:rsidR="001C0CEA" w:rsidRDefault="00000000">
      <w:pPr>
        <w:pStyle w:val="Prrafodelista"/>
        <w:numPr>
          <w:ilvl w:val="0"/>
          <w:numId w:val="2"/>
        </w:numPr>
        <w:spacing w:after="60"/>
      </w:pPr>
      <w:r>
        <w:rPr>
          <w:b/>
          <w:bCs/>
        </w:rPr>
        <w:t>Registro y monitorización:</w:t>
      </w:r>
      <w:r>
        <w:t xml:space="preserve"> logs centralizados, correlación en un </w:t>
      </w:r>
      <w:r>
        <w:rPr>
          <w:b/>
          <w:bCs/>
        </w:rPr>
        <w:t>SIEM</w:t>
      </w:r>
      <w:r>
        <w:t xml:space="preserve"> y vigilancia por un </w:t>
      </w:r>
      <w:r>
        <w:rPr>
          <w:b/>
          <w:bCs/>
        </w:rPr>
        <w:t>SOC</w:t>
      </w:r>
      <w:r>
        <w:t>; sincronización horaria para trazabilidad.</w:t>
      </w:r>
    </w:p>
    <w:p w14:paraId="295CB663" w14:textId="77777777" w:rsidR="001C0CEA" w:rsidRDefault="00000000">
      <w:pPr>
        <w:pStyle w:val="Ttulo2"/>
      </w:pPr>
      <w:bookmarkStart w:id="73" w:name="_Toc241337954"/>
      <w:r>
        <w:t>16.3. Seguridad organizativa</w:t>
      </w:r>
      <w:bookmarkEnd w:id="73"/>
    </w:p>
    <w:p w14:paraId="64CDB946" w14:textId="77777777" w:rsidR="001C0CEA" w:rsidRDefault="00000000">
      <w:pPr>
        <w:pStyle w:val="Prrafodelista"/>
        <w:numPr>
          <w:ilvl w:val="0"/>
          <w:numId w:val="2"/>
        </w:numPr>
        <w:spacing w:after="60"/>
      </w:pPr>
      <w:r>
        <w:t>Política de seguridad, normativa y procedimientos; roles y responsabilidades (en el ENS: responsable de la información, del servicio, de la seguridad y del sistema).</w:t>
      </w:r>
    </w:p>
    <w:p w14:paraId="43498CF1" w14:textId="77777777" w:rsidR="001C0CEA" w:rsidRDefault="00000000">
      <w:pPr>
        <w:pStyle w:val="Prrafodelista"/>
        <w:numPr>
          <w:ilvl w:val="0"/>
          <w:numId w:val="2"/>
        </w:numPr>
        <w:spacing w:after="60"/>
      </w:pPr>
      <w:r>
        <w:t xml:space="preserve">Gestión de incidentes de seguridad y notificación (al CCN-CERT en el sector público; brechas de datos personales a la autoridad de control en </w:t>
      </w:r>
      <w:r>
        <w:rPr>
          <w:b/>
          <w:bCs/>
        </w:rPr>
        <w:t>72 horas</w:t>
      </w:r>
      <w:r>
        <w:t xml:space="preserve"> según el art. 33 RGPD).</w:t>
      </w:r>
    </w:p>
    <w:p w14:paraId="77B0E392" w14:textId="77777777" w:rsidR="001C0CEA" w:rsidRDefault="00000000">
      <w:pPr>
        <w:pStyle w:val="Prrafodelista"/>
        <w:numPr>
          <w:ilvl w:val="0"/>
          <w:numId w:val="2"/>
        </w:numPr>
        <w:spacing w:after="60"/>
      </w:pPr>
      <w:r>
        <w:t>Formación y concienciación; control de proveedores; auditorías periódicas.</w:t>
      </w:r>
    </w:p>
    <w:p w14:paraId="58175910" w14:textId="77777777" w:rsidR="001C0CEA" w:rsidRDefault="00000000">
      <w:pPr>
        <w:pStyle w:val="Ttulo2"/>
      </w:pPr>
      <w:bookmarkStart w:id="74" w:name="_Toc241337955"/>
      <w:r>
        <w:t>16.4. Esquema Nacional de Seguridad y protección de datos</w:t>
      </w:r>
      <w:bookmarkEnd w:id="74"/>
    </w:p>
    <w:p w14:paraId="12C0B2ED" w14:textId="77777777" w:rsidR="001C0CEA" w:rsidRDefault="00000000">
      <w:pPr>
        <w:spacing w:after="120"/>
        <w:jc w:val="both"/>
      </w:pPr>
      <w:r>
        <w:t xml:space="preserve">El </w:t>
      </w:r>
      <w:r>
        <w:rPr>
          <w:b/>
          <w:bCs/>
        </w:rPr>
        <w:t>ENS</w:t>
      </w:r>
      <w:r>
        <w:t xml:space="preserve"> (Real Decreto 311/2022, de 3 de mayo) es obligatorio para el sector público. Clasifica los sistemas en categorías </w:t>
      </w:r>
      <w:r>
        <w:rPr>
          <w:b/>
          <w:bCs/>
        </w:rPr>
        <w:t>BÁSICA, MEDIA o ALTA</w:t>
      </w:r>
      <w:r>
        <w:t xml:space="preserve"> según el impacto en las dimensiones de seguridad (</w:t>
      </w:r>
      <w:r>
        <w:rPr>
          <w:b/>
          <w:bCs/>
        </w:rPr>
        <w:t>disponibilidad, autenticidad, integridad, confidencialidad y trazabilidad</w:t>
      </w:r>
      <w:r>
        <w:t xml:space="preserve">) y establece medidas en tres marcos: </w:t>
      </w:r>
      <w:r>
        <w:rPr>
          <w:b/>
          <w:bCs/>
        </w:rPr>
        <w:t>organizativo (org), operacional (op)</w:t>
      </w:r>
      <w:r>
        <w:t xml:space="preserve"> —que incluye continuidad del servicio (op.cont) y monitorización (op.mon)— y </w:t>
      </w:r>
      <w:r>
        <w:rPr>
          <w:b/>
          <w:bCs/>
        </w:rPr>
        <w:t>medidas de protección (mp)</w:t>
      </w:r>
      <w:r>
        <w:t xml:space="preserve">, entre las que figuran las de </w:t>
      </w:r>
      <w:r>
        <w:rPr>
          <w:b/>
          <w:bCs/>
        </w:rPr>
        <w:t>protección de las instalaciones e infraestructuras (mp.if)</w:t>
      </w:r>
      <w:r>
        <w:t xml:space="preserve">: áreas separadas con control de acceso, identificación de las personas, acondicionamiento de los locales, energía eléctrica, protección frente a incendios, protección frente a inundaciones y registro de entrada y salida de equipamiento. La conformidad se acredita mediante declaración (categoría básica) o </w:t>
      </w:r>
      <w:r>
        <w:rPr>
          <w:b/>
          <w:bCs/>
        </w:rPr>
        <w:t>certificación</w:t>
      </w:r>
      <w:r>
        <w:t xml:space="preserve"> (media y alta).</w:t>
      </w:r>
    </w:p>
    <w:p w14:paraId="059CE819" w14:textId="77777777" w:rsidR="001C0CEA" w:rsidRDefault="00000000">
      <w:pPr>
        <w:spacing w:after="120"/>
        <w:jc w:val="both"/>
      </w:pPr>
      <w:r>
        <w:t xml:space="preserve">En la Junta de Andalucía, la política de seguridad TIC se regula por el </w:t>
      </w:r>
      <w:r>
        <w:rPr>
          <w:b/>
          <w:bCs/>
        </w:rPr>
        <w:t>Decreto 1/2011, de 11 de enero</w:t>
      </w:r>
      <w:r>
        <w:t>, al que remiten los propios decretos de estructura de la Consejería para adecuar sus políticas de seguridad.</w:t>
      </w:r>
    </w:p>
    <w:p w14:paraId="6F80AAD2" w14:textId="77777777" w:rsidR="001C0CEA" w:rsidRDefault="00000000">
      <w:pPr>
        <w:spacing w:after="120"/>
        <w:jc w:val="both"/>
      </w:pPr>
      <w:r>
        <w:t xml:space="preserve">Los datos de salud son </w:t>
      </w:r>
      <w:r>
        <w:rPr>
          <w:b/>
          <w:bCs/>
        </w:rPr>
        <w:t>categoría especial</w:t>
      </w:r>
      <w:r>
        <w:t xml:space="preserve"> de datos (art. 9 RGPD); su tratamiento exige medidas técnicas y organizativas apropiadas (art. 32 RGPD) y, en el sector público, la aplicación de las medidas del ENS (disposición adicional primera de la LOPDGDD).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1C0CEA" w14:paraId="58B3CDD0" w14:textId="77777777">
        <w:trPr>
          <w:tblHeader/>
        </w:trPr>
        <w:tc>
          <w:tcPr>
            <w:tcW w:w="4513"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36262CC8" w14:textId="77777777" w:rsidR="001C0CEA" w:rsidRDefault="00000000">
            <w:r>
              <w:rPr>
                <w:b/>
                <w:bCs/>
                <w:color w:val="FFFFFF"/>
                <w:sz w:val="19"/>
                <w:szCs w:val="19"/>
              </w:rPr>
              <w:t>Seguridad física</w:t>
            </w:r>
          </w:p>
        </w:tc>
        <w:tc>
          <w:tcPr>
            <w:tcW w:w="4513"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7190BD1C" w14:textId="77777777" w:rsidR="001C0CEA" w:rsidRDefault="00000000">
            <w:r>
              <w:rPr>
                <w:b/>
                <w:bCs/>
                <w:color w:val="FFFFFF"/>
                <w:sz w:val="19"/>
                <w:szCs w:val="19"/>
              </w:rPr>
              <w:t>Seguridad lógica</w:t>
            </w:r>
          </w:p>
        </w:tc>
      </w:tr>
      <w:tr w:rsidR="001C0CEA" w14:paraId="6CCBA38E" w14:textId="77777777">
        <w:tc>
          <w:tcPr>
            <w:tcW w:w="451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4EB7B1C" w14:textId="77777777" w:rsidR="001C0CEA" w:rsidRDefault="00000000">
            <w:r>
              <w:rPr>
                <w:sz w:val="19"/>
                <w:szCs w:val="19"/>
              </w:rPr>
              <w:t>Protege instalaciones, equipos y soportes</w:t>
            </w:r>
          </w:p>
        </w:tc>
        <w:tc>
          <w:tcPr>
            <w:tcW w:w="451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8DE8CC7" w14:textId="77777777" w:rsidR="001C0CEA" w:rsidRDefault="00000000">
            <w:r>
              <w:rPr>
                <w:sz w:val="19"/>
                <w:szCs w:val="19"/>
              </w:rPr>
              <w:t>Protege datos, sistemas y comunicaciones</w:t>
            </w:r>
          </w:p>
        </w:tc>
      </w:tr>
      <w:tr w:rsidR="001C0CEA" w14:paraId="7BA21E79" w14:textId="77777777">
        <w:tc>
          <w:tcPr>
            <w:tcW w:w="451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B4E62B0" w14:textId="77777777" w:rsidR="001C0CEA" w:rsidRDefault="00000000">
            <w:r>
              <w:rPr>
                <w:sz w:val="19"/>
                <w:szCs w:val="19"/>
              </w:rPr>
              <w:t>Control de acceso a espacios, CCTV, incendios, clima, energía</w:t>
            </w:r>
          </w:p>
        </w:tc>
        <w:tc>
          <w:tcPr>
            <w:tcW w:w="451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92CED8D" w14:textId="77777777" w:rsidR="001C0CEA" w:rsidRDefault="00000000">
            <w:r>
              <w:rPr>
                <w:sz w:val="19"/>
                <w:szCs w:val="19"/>
              </w:rPr>
              <w:t>Autenticación, autorización, cifrado, cortafuegos, parches</w:t>
            </w:r>
          </w:p>
        </w:tc>
      </w:tr>
      <w:tr w:rsidR="001C0CEA" w14:paraId="73A68BF7" w14:textId="77777777">
        <w:tc>
          <w:tcPr>
            <w:tcW w:w="451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5780983" w14:textId="77777777" w:rsidR="001C0CEA" w:rsidRDefault="00000000">
            <w:r>
              <w:rPr>
                <w:sz w:val="19"/>
                <w:szCs w:val="19"/>
              </w:rPr>
              <w:t>ENS: mp.if</w:t>
            </w:r>
          </w:p>
        </w:tc>
        <w:tc>
          <w:tcPr>
            <w:tcW w:w="451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9119C50" w14:textId="77777777" w:rsidR="001C0CEA" w:rsidRDefault="00000000">
            <w:r>
              <w:rPr>
                <w:sz w:val="19"/>
                <w:szCs w:val="19"/>
              </w:rPr>
              <w:t>ENS: op.acc, op.exp, mp.com, mp.info…</w:t>
            </w:r>
          </w:p>
        </w:tc>
      </w:tr>
    </w:tbl>
    <w:p w14:paraId="575479F1" w14:textId="77777777" w:rsidR="001C0CEA" w:rsidRDefault="001C0CEA">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C0CEA" w14:paraId="0AE70ABD" w14:textId="77777777">
        <w:trPr>
          <w:cantSplit/>
        </w:trPr>
        <w:tc>
          <w:tcPr>
            <w:tcW w:w="9026" w:type="dxa"/>
            <w:tcBorders>
              <w:top w:val="single" w:sz="12" w:space="0" w:color="BF9000"/>
              <w:left w:val="single" w:sz="12" w:space="0" w:color="BF9000"/>
              <w:bottom w:val="single" w:sz="12" w:space="0" w:color="BF9000"/>
              <w:right w:val="single" w:sz="12" w:space="0" w:color="BF9000"/>
            </w:tcBorders>
            <w:shd w:val="clear" w:color="auto" w:fill="FFF2CC"/>
            <w:tcMar>
              <w:top w:w="120" w:type="dxa"/>
              <w:left w:w="160" w:type="dxa"/>
              <w:bottom w:w="120" w:type="dxa"/>
              <w:right w:w="160" w:type="dxa"/>
            </w:tcMar>
          </w:tcPr>
          <w:p w14:paraId="5ED6EC17" w14:textId="77777777" w:rsidR="001C0CEA" w:rsidRDefault="00000000">
            <w:pPr>
              <w:spacing w:after="80"/>
            </w:pPr>
            <w:r>
              <w:rPr>
                <w:b/>
                <w:bCs/>
                <w:color w:val="7F6000"/>
              </w:rPr>
              <w:t>Claves para el examen</w:t>
            </w:r>
          </w:p>
          <w:p w14:paraId="762C0A84" w14:textId="77777777" w:rsidR="001C0CEA" w:rsidRDefault="00000000">
            <w:pPr>
              <w:pStyle w:val="Prrafodelista"/>
              <w:numPr>
                <w:ilvl w:val="0"/>
                <w:numId w:val="2"/>
              </w:numPr>
              <w:spacing w:after="40"/>
            </w:pPr>
            <w:r>
              <w:rPr>
                <w:sz w:val="20"/>
                <w:szCs w:val="20"/>
              </w:rPr>
              <w:t>ENS = RD 311/2022; categorías BÁSICA/MEDIA/ALTA; 5 dimensiones (D, A, I, C, T).</w:t>
            </w:r>
          </w:p>
          <w:p w14:paraId="129C53D4" w14:textId="77777777" w:rsidR="001C0CEA" w:rsidRDefault="00000000">
            <w:pPr>
              <w:pStyle w:val="Prrafodelista"/>
              <w:numPr>
                <w:ilvl w:val="0"/>
                <w:numId w:val="2"/>
              </w:numPr>
              <w:spacing w:after="40"/>
            </w:pPr>
            <w:r>
              <w:rPr>
                <w:sz w:val="20"/>
                <w:szCs w:val="20"/>
              </w:rPr>
              <w:t>mp.if = protección de instalaciones e infraestructuras (acceso, energía, incendios, inundaciones…).</w:t>
            </w:r>
          </w:p>
          <w:p w14:paraId="1248B8D2" w14:textId="77777777" w:rsidR="001C0CEA" w:rsidRDefault="00000000">
            <w:pPr>
              <w:pStyle w:val="Prrafodelista"/>
              <w:numPr>
                <w:ilvl w:val="0"/>
                <w:numId w:val="2"/>
              </w:numPr>
              <w:spacing w:after="40"/>
            </w:pPr>
            <w:r>
              <w:rPr>
                <w:sz w:val="20"/>
                <w:szCs w:val="20"/>
              </w:rPr>
              <w:t>Brecha de datos personales: notificar en 72 h (art. 33 RGPD).</w:t>
            </w:r>
          </w:p>
        </w:tc>
      </w:tr>
    </w:tbl>
    <w:p w14:paraId="5C939BD9" w14:textId="77777777" w:rsidR="001C0CEA" w:rsidRDefault="001C0CEA">
      <w:pPr>
        <w:spacing w:after="120"/>
      </w:pPr>
    </w:p>
    <w:p w14:paraId="25CEAD99" w14:textId="77777777" w:rsidR="001C0CEA" w:rsidRDefault="00000000">
      <w:pPr>
        <w:pStyle w:val="Ttulo1"/>
        <w:pageBreakBefore/>
      </w:pPr>
      <w:bookmarkStart w:id="75" w:name="_Toc241337956"/>
      <w:r>
        <w:lastRenderedPageBreak/>
        <w:t>17. Monitorización del CPD y gestión de eventos</w:t>
      </w:r>
      <w:bookmarkEnd w:id="75"/>
    </w:p>
    <w:p w14:paraId="04E6914A" w14:textId="77777777" w:rsidR="001C0CEA" w:rsidRDefault="00000000">
      <w:pPr>
        <w:pStyle w:val="Ttulo2"/>
      </w:pPr>
      <w:bookmarkStart w:id="76" w:name="_Toc241337957"/>
      <w:r>
        <w:t>17.1. Qué se monitoriza</w:t>
      </w:r>
      <w:bookmarkEnd w:id="7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1C0CEA" w14:paraId="4ACF74C0" w14:textId="77777777">
        <w:trPr>
          <w:tblHeader/>
        </w:trPr>
        <w:tc>
          <w:tcPr>
            <w:tcW w:w="24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1C607B08" w14:textId="77777777" w:rsidR="001C0CEA" w:rsidRDefault="00000000">
            <w:r>
              <w:rPr>
                <w:b/>
                <w:bCs/>
                <w:color w:val="FFFFFF"/>
                <w:sz w:val="19"/>
                <w:szCs w:val="19"/>
              </w:rPr>
              <w:t>Ámbito</w:t>
            </w:r>
          </w:p>
        </w:tc>
        <w:tc>
          <w:tcPr>
            <w:tcW w:w="6626"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3C5CAFC2" w14:textId="77777777" w:rsidR="001C0CEA" w:rsidRDefault="00000000">
            <w:r>
              <w:rPr>
                <w:b/>
                <w:bCs/>
                <w:color w:val="FFFFFF"/>
                <w:sz w:val="19"/>
                <w:szCs w:val="19"/>
              </w:rPr>
              <w:t>Métricas típicas</w:t>
            </w:r>
          </w:p>
        </w:tc>
      </w:tr>
      <w:tr w:rsidR="001C0CEA" w14:paraId="526CD397" w14:textId="77777777">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3BECA56" w14:textId="77777777" w:rsidR="001C0CEA" w:rsidRDefault="00000000">
            <w:r>
              <w:rPr>
                <w:sz w:val="19"/>
                <w:szCs w:val="19"/>
              </w:rPr>
              <w:t>Servidores y VM</w:t>
            </w:r>
          </w:p>
        </w:tc>
        <w:tc>
          <w:tcPr>
            <w:tcW w:w="66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964FDE4" w14:textId="77777777" w:rsidR="001C0CEA" w:rsidRDefault="00000000">
            <w:r>
              <w:rPr>
                <w:sz w:val="19"/>
                <w:szCs w:val="19"/>
              </w:rPr>
              <w:t>CPU, memoria, disco, procesos, disponibilidad de servicios</w:t>
            </w:r>
          </w:p>
        </w:tc>
      </w:tr>
      <w:tr w:rsidR="001C0CEA" w14:paraId="782F7160" w14:textId="77777777">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3FE37CD" w14:textId="77777777" w:rsidR="001C0CEA" w:rsidRDefault="00000000">
            <w:r>
              <w:rPr>
                <w:sz w:val="19"/>
                <w:szCs w:val="19"/>
              </w:rPr>
              <w:t>Red</w:t>
            </w:r>
          </w:p>
        </w:tc>
        <w:tc>
          <w:tcPr>
            <w:tcW w:w="66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AAF752F" w14:textId="77777777" w:rsidR="001C0CEA" w:rsidRDefault="00000000">
            <w:r>
              <w:rPr>
                <w:sz w:val="19"/>
                <w:szCs w:val="19"/>
              </w:rPr>
              <w:t>Estado de enlaces, ancho de banda, errores, latencia, pérdida de paquetes</w:t>
            </w:r>
          </w:p>
        </w:tc>
      </w:tr>
      <w:tr w:rsidR="001C0CEA" w14:paraId="2735D811" w14:textId="77777777">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F1D5FE4" w14:textId="77777777" w:rsidR="001C0CEA" w:rsidRDefault="00000000">
            <w:r>
              <w:rPr>
                <w:sz w:val="19"/>
                <w:szCs w:val="19"/>
              </w:rPr>
              <w:t>Almacenamiento</w:t>
            </w:r>
          </w:p>
        </w:tc>
        <w:tc>
          <w:tcPr>
            <w:tcW w:w="66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4F49CF3" w14:textId="77777777" w:rsidR="001C0CEA" w:rsidRDefault="00000000">
            <w:r>
              <w:rPr>
                <w:sz w:val="19"/>
                <w:szCs w:val="19"/>
              </w:rPr>
              <w:t>Capacidad libre, IOPS, latencia, estado de discos y controladoras, replicación</w:t>
            </w:r>
          </w:p>
        </w:tc>
      </w:tr>
      <w:tr w:rsidR="001C0CEA" w14:paraId="6BDBCB19" w14:textId="77777777">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7AECA15" w14:textId="77777777" w:rsidR="001C0CEA" w:rsidRDefault="00000000">
            <w:r>
              <w:rPr>
                <w:sz w:val="19"/>
                <w:szCs w:val="19"/>
              </w:rPr>
              <w:t>Aplicaciones</w:t>
            </w:r>
          </w:p>
        </w:tc>
        <w:tc>
          <w:tcPr>
            <w:tcW w:w="66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78B7386" w14:textId="77777777" w:rsidR="001C0CEA" w:rsidRDefault="00000000">
            <w:r>
              <w:rPr>
                <w:sz w:val="19"/>
                <w:szCs w:val="19"/>
              </w:rPr>
              <w:t>Tiempos de respuesta, transacciones, errores, experiencia de usuario (sondas sintéticas)</w:t>
            </w:r>
          </w:p>
        </w:tc>
      </w:tr>
      <w:tr w:rsidR="001C0CEA" w14:paraId="25C6A956" w14:textId="77777777">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A0B5BBD" w14:textId="77777777" w:rsidR="001C0CEA" w:rsidRDefault="00000000">
            <w:r>
              <w:rPr>
                <w:sz w:val="19"/>
                <w:szCs w:val="19"/>
              </w:rPr>
              <w:t>Eléctrica</w:t>
            </w:r>
          </w:p>
        </w:tc>
        <w:tc>
          <w:tcPr>
            <w:tcW w:w="66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0CB63F6" w14:textId="77777777" w:rsidR="001C0CEA" w:rsidRDefault="00000000">
            <w:r>
              <w:rPr>
                <w:sz w:val="19"/>
                <w:szCs w:val="19"/>
              </w:rPr>
              <w:t>Carga de SAI, autonomía de baterías, estado de grupos, consumo por rack/PDU</w:t>
            </w:r>
          </w:p>
        </w:tc>
      </w:tr>
      <w:tr w:rsidR="001C0CEA" w14:paraId="0676AD76" w14:textId="77777777">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15B2155" w14:textId="77777777" w:rsidR="001C0CEA" w:rsidRDefault="00000000">
            <w:r>
              <w:rPr>
                <w:sz w:val="19"/>
                <w:szCs w:val="19"/>
              </w:rPr>
              <w:t>Ambiental</w:t>
            </w:r>
          </w:p>
        </w:tc>
        <w:tc>
          <w:tcPr>
            <w:tcW w:w="66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01A9298" w14:textId="77777777" w:rsidR="001C0CEA" w:rsidRDefault="00000000">
            <w:r>
              <w:rPr>
                <w:sz w:val="19"/>
                <w:szCs w:val="19"/>
              </w:rPr>
              <w:t>Temperatura (entrada de racks), humedad, fugas de agua, puertas</w:t>
            </w:r>
          </w:p>
        </w:tc>
      </w:tr>
      <w:tr w:rsidR="001C0CEA" w14:paraId="47095162" w14:textId="77777777">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1E92BFC" w14:textId="77777777" w:rsidR="001C0CEA" w:rsidRDefault="00000000">
            <w:r>
              <w:rPr>
                <w:sz w:val="19"/>
                <w:szCs w:val="19"/>
              </w:rPr>
              <w:t>Energía y eficiencia</w:t>
            </w:r>
          </w:p>
        </w:tc>
        <w:tc>
          <w:tcPr>
            <w:tcW w:w="66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9492B27" w14:textId="77777777" w:rsidR="001C0CEA" w:rsidRDefault="00000000">
            <w:r>
              <w:rPr>
                <w:sz w:val="19"/>
                <w:szCs w:val="19"/>
              </w:rPr>
              <w:t>Consumo total y TI, PUE</w:t>
            </w:r>
          </w:p>
        </w:tc>
      </w:tr>
      <w:tr w:rsidR="001C0CEA" w14:paraId="6DC8F1A7" w14:textId="77777777">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B83EAC0" w14:textId="77777777" w:rsidR="001C0CEA" w:rsidRDefault="00000000">
            <w:r>
              <w:rPr>
                <w:sz w:val="19"/>
                <w:szCs w:val="19"/>
              </w:rPr>
              <w:t>Trabajos batch</w:t>
            </w:r>
          </w:p>
        </w:tc>
        <w:tc>
          <w:tcPr>
            <w:tcW w:w="66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ED1B2E6" w14:textId="77777777" w:rsidR="001C0CEA" w:rsidRDefault="00000000">
            <w:r>
              <w:rPr>
                <w:sz w:val="19"/>
                <w:szCs w:val="19"/>
              </w:rPr>
              <w:t>Estado de jobs, retrasos respecto al plan, códigos de retorno</w:t>
            </w:r>
          </w:p>
        </w:tc>
      </w:tr>
    </w:tbl>
    <w:p w14:paraId="50EB742D" w14:textId="77777777" w:rsidR="001C0CEA" w:rsidRDefault="001C0CEA">
      <w:pPr>
        <w:spacing w:after="120"/>
      </w:pPr>
    </w:p>
    <w:p w14:paraId="73D4BA63" w14:textId="77777777" w:rsidR="001C0CEA" w:rsidRDefault="00000000">
      <w:pPr>
        <w:spacing w:after="120"/>
        <w:jc w:val="both"/>
      </w:pPr>
      <w:r>
        <w:t xml:space="preserve">Herramientas: sistemas de gestión de red (NMS) basados en </w:t>
      </w:r>
      <w:r>
        <w:rPr>
          <w:b/>
          <w:bCs/>
        </w:rPr>
        <w:t>SNMP</w:t>
      </w:r>
      <w:r>
        <w:t>, agentes y monitorización de servicios, recogida de logs (</w:t>
      </w:r>
      <w:r>
        <w:rPr>
          <w:b/>
          <w:bCs/>
        </w:rPr>
        <w:t>syslog</w:t>
      </w:r>
      <w:r>
        <w:t xml:space="preserve">) y SIEM, plataformas </w:t>
      </w:r>
      <w:r>
        <w:rPr>
          <w:b/>
          <w:bCs/>
        </w:rPr>
        <w:t>DCIM</w:t>
      </w:r>
      <w:r>
        <w:t xml:space="preserve"> (</w:t>
      </w:r>
      <w:r>
        <w:rPr>
          <w:i/>
          <w:iCs/>
        </w:rPr>
        <w:t>Data Center Infrastructure Management</w:t>
      </w:r>
      <w:r>
        <w:t xml:space="preserve">) para la infraestructura física y </w:t>
      </w:r>
      <w:r>
        <w:rPr>
          <w:b/>
          <w:bCs/>
        </w:rPr>
        <w:t>BMS</w:t>
      </w:r>
      <w:r>
        <w:t xml:space="preserve"> para el edificio. Los eventos se visualizan en un centro de operaciones (</w:t>
      </w:r>
      <w:r>
        <w:rPr>
          <w:b/>
          <w:bCs/>
        </w:rPr>
        <w:t>NOC</w:t>
      </w:r>
      <w:r>
        <w:t>) 24×7.</w:t>
      </w:r>
    </w:p>
    <w:p w14:paraId="42FF5237" w14:textId="77777777" w:rsidR="001C0CEA" w:rsidRDefault="00000000">
      <w:pPr>
        <w:pStyle w:val="Ttulo2"/>
      </w:pPr>
      <w:bookmarkStart w:id="77" w:name="_Toc241337958"/>
      <w:r>
        <w:t>17.2. Monitorización, supervisión, eventos e incidencias</w:t>
      </w:r>
      <w:bookmarkEnd w:id="7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1C0CEA" w14:paraId="2431E4D0" w14:textId="77777777">
        <w:trPr>
          <w:tblHeader/>
        </w:trPr>
        <w:tc>
          <w:tcPr>
            <w:tcW w:w="24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5801D156" w14:textId="77777777" w:rsidR="001C0CEA" w:rsidRDefault="00000000">
            <w:r>
              <w:rPr>
                <w:b/>
                <w:bCs/>
                <w:color w:val="FFFFFF"/>
                <w:sz w:val="19"/>
                <w:szCs w:val="19"/>
              </w:rPr>
              <w:t>Concepto</w:t>
            </w:r>
          </w:p>
        </w:tc>
        <w:tc>
          <w:tcPr>
            <w:tcW w:w="6626"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58C8A369" w14:textId="77777777" w:rsidR="001C0CEA" w:rsidRDefault="00000000">
            <w:r>
              <w:rPr>
                <w:b/>
                <w:bCs/>
                <w:color w:val="FFFFFF"/>
                <w:sz w:val="19"/>
                <w:szCs w:val="19"/>
              </w:rPr>
              <w:t>Definición</w:t>
            </w:r>
          </w:p>
        </w:tc>
      </w:tr>
      <w:tr w:rsidR="001C0CEA" w14:paraId="4FCABD00" w14:textId="77777777">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923C818" w14:textId="77777777" w:rsidR="001C0CEA" w:rsidRDefault="00000000">
            <w:r>
              <w:rPr>
                <w:sz w:val="19"/>
                <w:szCs w:val="19"/>
              </w:rPr>
              <w:t>Monitorización</w:t>
            </w:r>
          </w:p>
        </w:tc>
        <w:tc>
          <w:tcPr>
            <w:tcW w:w="66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CC013F6" w14:textId="77777777" w:rsidR="001C0CEA" w:rsidRDefault="00000000">
            <w:r>
              <w:rPr>
                <w:sz w:val="19"/>
                <w:szCs w:val="19"/>
              </w:rPr>
              <w:t>Observación y medición continua, normalmente automática, del estado de los elementos</w:t>
            </w:r>
          </w:p>
        </w:tc>
      </w:tr>
      <w:tr w:rsidR="001C0CEA" w14:paraId="5DEF7DF9" w14:textId="77777777">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FC193C6" w14:textId="77777777" w:rsidR="001C0CEA" w:rsidRDefault="00000000">
            <w:r>
              <w:rPr>
                <w:sz w:val="19"/>
                <w:szCs w:val="19"/>
              </w:rPr>
              <w:t>Supervisión</w:t>
            </w:r>
          </w:p>
        </w:tc>
        <w:tc>
          <w:tcPr>
            <w:tcW w:w="66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04EE68D" w14:textId="77777777" w:rsidR="001C0CEA" w:rsidRDefault="00000000">
            <w:r>
              <w:rPr>
                <w:sz w:val="19"/>
                <w:szCs w:val="19"/>
              </w:rPr>
              <w:t>Actividad humana de vigilancia e interpretación de lo monitorizado y de toma de decisiones</w:t>
            </w:r>
          </w:p>
        </w:tc>
      </w:tr>
      <w:tr w:rsidR="001C0CEA" w14:paraId="1F010AE8" w14:textId="77777777">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7C08FA0" w14:textId="77777777" w:rsidR="001C0CEA" w:rsidRDefault="00000000">
            <w:r>
              <w:rPr>
                <w:sz w:val="19"/>
                <w:szCs w:val="19"/>
              </w:rPr>
              <w:t>Evento</w:t>
            </w:r>
          </w:p>
        </w:tc>
        <w:tc>
          <w:tcPr>
            <w:tcW w:w="66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152C29E" w14:textId="77777777" w:rsidR="001C0CEA" w:rsidRDefault="00000000">
            <w:r>
              <w:rPr>
                <w:sz w:val="19"/>
                <w:szCs w:val="19"/>
              </w:rPr>
              <w:t>Cualquier cambio de estado significativo para la gestión de un elemento o servicio (informativo, advertencia o excepción)</w:t>
            </w:r>
          </w:p>
        </w:tc>
      </w:tr>
      <w:tr w:rsidR="001C0CEA" w14:paraId="44E553F3" w14:textId="77777777">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60C2227" w14:textId="77777777" w:rsidR="001C0CEA" w:rsidRDefault="00000000">
            <w:r>
              <w:rPr>
                <w:sz w:val="19"/>
                <w:szCs w:val="19"/>
              </w:rPr>
              <w:t>Gestión de eventos</w:t>
            </w:r>
          </w:p>
        </w:tc>
        <w:tc>
          <w:tcPr>
            <w:tcW w:w="66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A86EAAB" w14:textId="77777777" w:rsidR="001C0CEA" w:rsidRDefault="00000000">
            <w:r>
              <w:rPr>
                <w:sz w:val="19"/>
                <w:szCs w:val="19"/>
              </w:rPr>
              <w:t>Filtrar, correlacionar y clasificar eventos para decidir la respuesta (ignorar, registrar, alertar, abrir incidencia, lanzar acción automática)</w:t>
            </w:r>
          </w:p>
        </w:tc>
      </w:tr>
      <w:tr w:rsidR="001C0CEA" w14:paraId="4A138B21" w14:textId="77777777">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CD2631A" w14:textId="77777777" w:rsidR="001C0CEA" w:rsidRDefault="00000000">
            <w:r>
              <w:rPr>
                <w:sz w:val="19"/>
                <w:szCs w:val="19"/>
              </w:rPr>
              <w:t>Incidencia (incidente)</w:t>
            </w:r>
          </w:p>
        </w:tc>
        <w:tc>
          <w:tcPr>
            <w:tcW w:w="66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E309D69" w14:textId="77777777" w:rsidR="001C0CEA" w:rsidRDefault="00000000">
            <w:r>
              <w:rPr>
                <w:sz w:val="19"/>
                <w:szCs w:val="19"/>
              </w:rPr>
              <w:t>Interrupción no planificada o reducción de la calidad de un servicio; se gestiona para restaurar el servicio cuanto antes</w:t>
            </w:r>
          </w:p>
        </w:tc>
      </w:tr>
    </w:tbl>
    <w:p w14:paraId="6ACD3D7D" w14:textId="77777777" w:rsidR="001C0CEA" w:rsidRDefault="001C0CEA">
      <w:pPr>
        <w:spacing w:after="120"/>
      </w:pPr>
    </w:p>
    <w:p w14:paraId="5EBCCFB5" w14:textId="77777777" w:rsidR="001C0CEA" w:rsidRDefault="00000000">
      <w:pPr>
        <w:spacing w:after="120"/>
        <w:jc w:val="both"/>
      </w:pPr>
      <w:r>
        <w:t xml:space="preserve">No todo evento es una incidencia: un aviso de disco al 80 % es un evento de advertencia; la caída del servicio de citación es una incidencia. La gestión de eventos, bien afinada con </w:t>
      </w:r>
      <w:r>
        <w:rPr>
          <w:b/>
          <w:bCs/>
        </w:rPr>
        <w:t>umbrales</w:t>
      </w:r>
      <w:r>
        <w:t xml:space="preserve"> y </w:t>
      </w:r>
      <w:r>
        <w:rPr>
          <w:b/>
          <w:bCs/>
        </w:rPr>
        <w:t>correlación</w:t>
      </w:r>
      <w:r>
        <w:t>, evita la fatiga de alertas y permite actuar antes de que el usuario perciba el problema.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C0CEA" w14:paraId="595B65EC" w14:textId="77777777">
        <w:trPr>
          <w:cantSplit/>
        </w:trPr>
        <w:tc>
          <w:tcPr>
            <w:tcW w:w="9026" w:type="dxa"/>
            <w:tcBorders>
              <w:top w:val="single" w:sz="12" w:space="0" w:color="BF9000"/>
              <w:left w:val="single" w:sz="12" w:space="0" w:color="BF9000"/>
              <w:bottom w:val="single" w:sz="12" w:space="0" w:color="BF9000"/>
              <w:right w:val="single" w:sz="12" w:space="0" w:color="BF9000"/>
            </w:tcBorders>
            <w:shd w:val="clear" w:color="auto" w:fill="FFF2CC"/>
            <w:tcMar>
              <w:top w:w="120" w:type="dxa"/>
              <w:left w:w="160" w:type="dxa"/>
              <w:bottom w:w="120" w:type="dxa"/>
              <w:right w:w="160" w:type="dxa"/>
            </w:tcMar>
          </w:tcPr>
          <w:p w14:paraId="0C7930CB" w14:textId="77777777" w:rsidR="001C0CEA" w:rsidRDefault="00000000">
            <w:pPr>
              <w:spacing w:after="80"/>
            </w:pPr>
            <w:r>
              <w:rPr>
                <w:b/>
                <w:bCs/>
                <w:color w:val="7F6000"/>
              </w:rPr>
              <w:t>Claves para el examen</w:t>
            </w:r>
          </w:p>
          <w:p w14:paraId="20518DA7" w14:textId="77777777" w:rsidR="001C0CEA" w:rsidRDefault="00000000">
            <w:pPr>
              <w:pStyle w:val="Prrafodelista"/>
              <w:numPr>
                <w:ilvl w:val="0"/>
                <w:numId w:val="2"/>
              </w:numPr>
              <w:spacing w:after="40"/>
            </w:pPr>
            <w:r>
              <w:rPr>
                <w:sz w:val="20"/>
                <w:szCs w:val="20"/>
              </w:rPr>
              <w:t>Evento ≠ incidencia: la gestión de eventos decide si un evento genera una incidencia.</w:t>
            </w:r>
          </w:p>
          <w:p w14:paraId="73B3F218" w14:textId="77777777" w:rsidR="001C0CEA" w:rsidRDefault="00000000">
            <w:pPr>
              <w:pStyle w:val="Prrafodelista"/>
              <w:numPr>
                <w:ilvl w:val="0"/>
                <w:numId w:val="2"/>
              </w:numPr>
              <w:spacing w:after="40"/>
            </w:pPr>
            <w:r>
              <w:rPr>
                <w:sz w:val="20"/>
                <w:szCs w:val="20"/>
              </w:rPr>
              <w:t>DCIM: gestión de la infraestructura física del CPD; SNMP: protocolo clásico de gestión de red.</w:t>
            </w:r>
          </w:p>
        </w:tc>
      </w:tr>
    </w:tbl>
    <w:p w14:paraId="2261FB75" w14:textId="77777777" w:rsidR="001C0CEA" w:rsidRDefault="001C0CEA">
      <w:pPr>
        <w:spacing w:after="120"/>
      </w:pPr>
    </w:p>
    <w:p w14:paraId="23F8807C" w14:textId="77777777" w:rsidR="001C0CEA" w:rsidRDefault="00000000">
      <w:pPr>
        <w:pStyle w:val="Ttulo1"/>
        <w:pageBreakBefore/>
      </w:pPr>
      <w:bookmarkStart w:id="78" w:name="_Toc241337959"/>
      <w:r>
        <w:lastRenderedPageBreak/>
        <w:t>18. Producción informática y explotación de sistemas</w:t>
      </w:r>
      <w:bookmarkEnd w:id="78"/>
    </w:p>
    <w:p w14:paraId="0F65EBBE" w14:textId="77777777" w:rsidR="001C0CEA" w:rsidRDefault="00000000">
      <w:pPr>
        <w:pStyle w:val="Ttulo2"/>
      </w:pPr>
      <w:bookmarkStart w:id="79" w:name="_Toc241337960"/>
      <w:r>
        <w:t>18.1. Concepto</w:t>
      </w:r>
      <w:bookmarkEnd w:id="79"/>
    </w:p>
    <w:p w14:paraId="54119191" w14:textId="77777777" w:rsidR="001C0CEA" w:rsidRDefault="00000000">
      <w:pPr>
        <w:spacing w:after="120"/>
        <w:jc w:val="both"/>
      </w:pPr>
      <w:r>
        <w:t xml:space="preserve">La </w:t>
      </w:r>
      <w:r>
        <w:rPr>
          <w:b/>
          <w:bCs/>
        </w:rPr>
        <w:t>producción informática</w:t>
      </w:r>
      <w:r>
        <w:t xml:space="preserve"> (o </w:t>
      </w:r>
      <w:r>
        <w:rPr>
          <w:b/>
          <w:bCs/>
        </w:rPr>
        <w:t>explotación de sistemas</w:t>
      </w:r>
      <w:r>
        <w:t xml:space="preserve">) es el conjunto de actividades que mantienen en funcionamiento, de forma controlada, los sistemas de información en el </w:t>
      </w:r>
      <w:r>
        <w:rPr>
          <w:b/>
          <w:bCs/>
        </w:rPr>
        <w:t>entorno de producción</w:t>
      </w:r>
      <w:r>
        <w:t xml:space="preserve">, es decir, el entorno real que usan los profesionales y la ciudadanía. Incluye la operación diaria, la ejecución de los procesos planificados, la supervisión, la gestión de incidencias y cambios, la administración de plataformas y la gestión de capacidad, disponibilidad y configuración. Su objetivo es prestar los servicios con los </w:t>
      </w:r>
      <w:r>
        <w:rPr>
          <w:b/>
          <w:bCs/>
        </w:rPr>
        <w:t>niveles acordados</w:t>
      </w:r>
      <w:r>
        <w:t xml:space="preserve"> (SLA), con seguridad y eficiencia.</w:t>
      </w:r>
    </w:p>
    <w:p w14:paraId="410A54B2" w14:textId="77777777" w:rsidR="001C0CEA" w:rsidRDefault="00000000">
      <w:pPr>
        <w:pStyle w:val="Ttulo2"/>
      </w:pPr>
      <w:bookmarkStart w:id="80" w:name="_Toc241337961"/>
      <w:r>
        <w:t>18.2. Entornos</w:t>
      </w:r>
      <w:bookmarkEnd w:id="8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200"/>
        <w:gridCol w:w="2426"/>
      </w:tblGrid>
      <w:tr w:rsidR="001C0CEA" w14:paraId="4D6745ED" w14:textId="77777777">
        <w:trPr>
          <w:tblHeader/>
        </w:trPr>
        <w:tc>
          <w:tcPr>
            <w:tcW w:w="24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44601585" w14:textId="77777777" w:rsidR="001C0CEA" w:rsidRDefault="00000000">
            <w:r>
              <w:rPr>
                <w:b/>
                <w:bCs/>
                <w:color w:val="FFFFFF"/>
                <w:sz w:val="19"/>
                <w:szCs w:val="19"/>
              </w:rPr>
              <w:t>Entorno</w:t>
            </w:r>
          </w:p>
        </w:tc>
        <w:tc>
          <w:tcPr>
            <w:tcW w:w="42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35265586" w14:textId="77777777" w:rsidR="001C0CEA" w:rsidRDefault="00000000">
            <w:r>
              <w:rPr>
                <w:b/>
                <w:bCs/>
                <w:color w:val="FFFFFF"/>
                <w:sz w:val="19"/>
                <w:szCs w:val="19"/>
              </w:rPr>
              <w:t>Uso</w:t>
            </w:r>
          </w:p>
        </w:tc>
        <w:tc>
          <w:tcPr>
            <w:tcW w:w="2426"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1AABD717" w14:textId="77777777" w:rsidR="001C0CEA" w:rsidRDefault="00000000">
            <w:r>
              <w:rPr>
                <w:b/>
                <w:bCs/>
                <w:color w:val="FFFFFF"/>
                <w:sz w:val="19"/>
                <w:szCs w:val="19"/>
              </w:rPr>
              <w:t>Quién accede</w:t>
            </w:r>
          </w:p>
        </w:tc>
      </w:tr>
      <w:tr w:rsidR="001C0CEA" w14:paraId="1C8F24B0" w14:textId="77777777">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DF27443" w14:textId="77777777" w:rsidR="001C0CEA" w:rsidRDefault="00000000">
            <w:r>
              <w:rPr>
                <w:sz w:val="19"/>
                <w:szCs w:val="19"/>
              </w:rPr>
              <w:t>Desarrollo</w:t>
            </w:r>
          </w:p>
        </w:tc>
        <w:tc>
          <w:tcPr>
            <w:tcW w:w="4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962D5AE" w14:textId="77777777" w:rsidR="001C0CEA" w:rsidRDefault="00000000">
            <w:r>
              <w:rPr>
                <w:sz w:val="19"/>
                <w:szCs w:val="19"/>
              </w:rPr>
              <w:t>Construcción del software</w:t>
            </w:r>
          </w:p>
        </w:tc>
        <w:tc>
          <w:tcPr>
            <w:tcW w:w="24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FAC358C" w14:textId="77777777" w:rsidR="001C0CEA" w:rsidRDefault="00000000">
            <w:r>
              <w:rPr>
                <w:sz w:val="19"/>
                <w:szCs w:val="19"/>
              </w:rPr>
              <w:t>Equipos de desarrollo</w:t>
            </w:r>
          </w:p>
        </w:tc>
      </w:tr>
      <w:tr w:rsidR="001C0CEA" w14:paraId="08684CA3" w14:textId="77777777">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A7F2BD6" w14:textId="77777777" w:rsidR="001C0CEA" w:rsidRDefault="00000000">
            <w:r>
              <w:rPr>
                <w:sz w:val="19"/>
                <w:szCs w:val="19"/>
              </w:rPr>
              <w:t>Pruebas / integración / QA</w:t>
            </w:r>
          </w:p>
        </w:tc>
        <w:tc>
          <w:tcPr>
            <w:tcW w:w="4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BC1778D" w14:textId="77777777" w:rsidR="001C0CEA" w:rsidRDefault="00000000">
            <w:r>
              <w:rPr>
                <w:sz w:val="19"/>
                <w:szCs w:val="19"/>
              </w:rPr>
              <w:t>Verificación funcional e integración</w:t>
            </w:r>
          </w:p>
        </w:tc>
        <w:tc>
          <w:tcPr>
            <w:tcW w:w="24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81428A7" w14:textId="77777777" w:rsidR="001C0CEA" w:rsidRDefault="00000000">
            <w:r>
              <w:rPr>
                <w:sz w:val="19"/>
                <w:szCs w:val="19"/>
              </w:rPr>
              <w:t>Pruebas, usuarios clave</w:t>
            </w:r>
          </w:p>
        </w:tc>
      </w:tr>
      <w:tr w:rsidR="001C0CEA" w14:paraId="5F24F990" w14:textId="77777777">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450C502" w14:textId="77777777" w:rsidR="001C0CEA" w:rsidRDefault="00000000">
            <w:r>
              <w:rPr>
                <w:sz w:val="19"/>
                <w:szCs w:val="19"/>
              </w:rPr>
              <w:t>Preproducción</w:t>
            </w:r>
          </w:p>
        </w:tc>
        <w:tc>
          <w:tcPr>
            <w:tcW w:w="4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9A2B59E" w14:textId="77777777" w:rsidR="001C0CEA" w:rsidRDefault="00000000">
            <w:r>
              <w:rPr>
                <w:sz w:val="19"/>
                <w:szCs w:val="19"/>
              </w:rPr>
              <w:t>Réplica lo más fiel posible de producción para validar despliegues y rendimiento</w:t>
            </w:r>
          </w:p>
        </w:tc>
        <w:tc>
          <w:tcPr>
            <w:tcW w:w="24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21E4AB7" w14:textId="77777777" w:rsidR="001C0CEA" w:rsidRDefault="00000000">
            <w:r>
              <w:rPr>
                <w:sz w:val="19"/>
                <w:szCs w:val="19"/>
              </w:rPr>
              <w:t>Explotación, pruebas</w:t>
            </w:r>
          </w:p>
        </w:tc>
      </w:tr>
      <w:tr w:rsidR="001C0CEA" w14:paraId="3A873DD3" w14:textId="77777777">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886F42A" w14:textId="77777777" w:rsidR="001C0CEA" w:rsidRDefault="00000000">
            <w:r>
              <w:rPr>
                <w:sz w:val="19"/>
                <w:szCs w:val="19"/>
              </w:rPr>
              <w:t>Producción</w:t>
            </w:r>
          </w:p>
        </w:tc>
        <w:tc>
          <w:tcPr>
            <w:tcW w:w="4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C51BA7C" w14:textId="77777777" w:rsidR="001C0CEA" w:rsidRDefault="00000000">
            <w:r>
              <w:rPr>
                <w:sz w:val="19"/>
                <w:szCs w:val="19"/>
              </w:rPr>
              <w:t>Servicio real</w:t>
            </w:r>
          </w:p>
        </w:tc>
        <w:tc>
          <w:tcPr>
            <w:tcW w:w="24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66C0EF9" w14:textId="77777777" w:rsidR="001C0CEA" w:rsidRDefault="00000000">
            <w:r>
              <w:rPr>
                <w:sz w:val="19"/>
                <w:szCs w:val="19"/>
              </w:rPr>
              <w:t>Solo explotación, con cambios controlados</w:t>
            </w:r>
          </w:p>
        </w:tc>
      </w:tr>
    </w:tbl>
    <w:p w14:paraId="715B998C" w14:textId="77777777" w:rsidR="001C0CEA" w:rsidRDefault="001C0CEA">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1C0CEA" w14:paraId="48629D91" w14:textId="77777777">
        <w:trPr>
          <w:tblHeader/>
        </w:trPr>
        <w:tc>
          <w:tcPr>
            <w:tcW w:w="4513"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621E7E27" w14:textId="77777777" w:rsidR="001C0CEA" w:rsidRDefault="00000000">
            <w:r>
              <w:rPr>
                <w:b/>
                <w:bCs/>
                <w:color w:val="FFFFFF"/>
                <w:sz w:val="19"/>
                <w:szCs w:val="19"/>
              </w:rPr>
              <w:t>Producción</w:t>
            </w:r>
          </w:p>
        </w:tc>
        <w:tc>
          <w:tcPr>
            <w:tcW w:w="4513"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46DA8665" w14:textId="77777777" w:rsidR="001C0CEA" w:rsidRDefault="00000000">
            <w:r>
              <w:rPr>
                <w:b/>
                <w:bCs/>
                <w:color w:val="FFFFFF"/>
                <w:sz w:val="19"/>
                <w:szCs w:val="19"/>
              </w:rPr>
              <w:t>Desarrollo</w:t>
            </w:r>
          </w:p>
        </w:tc>
      </w:tr>
      <w:tr w:rsidR="001C0CEA" w14:paraId="08DA9D2E" w14:textId="77777777">
        <w:tc>
          <w:tcPr>
            <w:tcW w:w="451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A43AB74" w14:textId="77777777" w:rsidR="001C0CEA" w:rsidRDefault="00000000">
            <w:r>
              <w:rPr>
                <w:sz w:val="19"/>
                <w:szCs w:val="19"/>
              </w:rPr>
              <w:t>Estabilidad, disponibilidad y control del cambio</w:t>
            </w:r>
          </w:p>
        </w:tc>
        <w:tc>
          <w:tcPr>
            <w:tcW w:w="451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1154A92" w14:textId="77777777" w:rsidR="001C0CEA" w:rsidRDefault="00000000">
            <w:r>
              <w:rPr>
                <w:sz w:val="19"/>
                <w:szCs w:val="19"/>
              </w:rPr>
              <w:t>Rapidez de cambio y experimentación</w:t>
            </w:r>
          </w:p>
        </w:tc>
      </w:tr>
      <w:tr w:rsidR="001C0CEA" w14:paraId="33A654CF" w14:textId="77777777">
        <w:tc>
          <w:tcPr>
            <w:tcW w:w="451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5CCB4E5" w14:textId="77777777" w:rsidR="001C0CEA" w:rsidRDefault="00000000">
            <w:r>
              <w:rPr>
                <w:sz w:val="19"/>
                <w:szCs w:val="19"/>
              </w:rPr>
              <w:t>Datos reales (en sanidad, datos de salud)</w:t>
            </w:r>
          </w:p>
        </w:tc>
        <w:tc>
          <w:tcPr>
            <w:tcW w:w="451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9447E18" w14:textId="77777777" w:rsidR="001C0CEA" w:rsidRDefault="00000000">
            <w:r>
              <w:rPr>
                <w:sz w:val="19"/>
                <w:szCs w:val="19"/>
              </w:rPr>
              <w:t>Datos ficticios o anonimizados/seudonimizados</w:t>
            </w:r>
          </w:p>
        </w:tc>
      </w:tr>
      <w:tr w:rsidR="001C0CEA" w14:paraId="61DB2AD6" w14:textId="77777777">
        <w:tc>
          <w:tcPr>
            <w:tcW w:w="451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F1046DE" w14:textId="77777777" w:rsidR="001C0CEA" w:rsidRDefault="00000000">
            <w:r>
              <w:rPr>
                <w:sz w:val="19"/>
                <w:szCs w:val="19"/>
              </w:rPr>
              <w:t>Acceso muy restringido y trazado</w:t>
            </w:r>
          </w:p>
        </w:tc>
        <w:tc>
          <w:tcPr>
            <w:tcW w:w="451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E7B78ED" w14:textId="77777777" w:rsidR="001C0CEA" w:rsidRDefault="00000000">
            <w:r>
              <w:rPr>
                <w:sz w:val="19"/>
                <w:szCs w:val="19"/>
              </w:rPr>
              <w:t>Acceso amplio para los desarrolladores</w:t>
            </w:r>
          </w:p>
        </w:tc>
      </w:tr>
      <w:tr w:rsidR="001C0CEA" w14:paraId="4B232255" w14:textId="77777777">
        <w:tc>
          <w:tcPr>
            <w:tcW w:w="451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0072EA2" w14:textId="77777777" w:rsidR="001C0CEA" w:rsidRDefault="00000000">
            <w:r>
              <w:rPr>
                <w:sz w:val="19"/>
                <w:szCs w:val="19"/>
              </w:rPr>
              <w:t>Cambios solo mediante gestión de cambios y pase a producción</w:t>
            </w:r>
          </w:p>
        </w:tc>
        <w:tc>
          <w:tcPr>
            <w:tcW w:w="451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E94BCFE" w14:textId="77777777" w:rsidR="001C0CEA" w:rsidRDefault="00000000">
            <w:r>
              <w:rPr>
                <w:sz w:val="19"/>
                <w:szCs w:val="19"/>
              </w:rPr>
              <w:t>Cambios continuos</w:t>
            </w:r>
          </w:p>
        </w:tc>
      </w:tr>
    </w:tbl>
    <w:p w14:paraId="1DE8EA5A" w14:textId="77777777" w:rsidR="001C0CEA" w:rsidRDefault="001C0CEA">
      <w:pPr>
        <w:spacing w:after="120"/>
      </w:pPr>
    </w:p>
    <w:p w14:paraId="0B733F83" w14:textId="77777777" w:rsidR="001C0CEA" w:rsidRDefault="00000000">
      <w:pPr>
        <w:pStyle w:val="Ttulo2"/>
      </w:pPr>
      <w:bookmarkStart w:id="81" w:name="_Toc241337962"/>
      <w:r>
        <w:t>18.3. Funciones de la producción</w:t>
      </w:r>
      <w:bookmarkEnd w:id="81"/>
    </w:p>
    <w:p w14:paraId="5F583CA2" w14:textId="77777777" w:rsidR="001C0CEA" w:rsidRDefault="00000000">
      <w:pPr>
        <w:pStyle w:val="Prrafodelista"/>
        <w:numPr>
          <w:ilvl w:val="0"/>
          <w:numId w:val="2"/>
        </w:numPr>
        <w:spacing w:after="60"/>
      </w:pPr>
      <w:r>
        <w:rPr>
          <w:b/>
          <w:bCs/>
        </w:rPr>
        <w:t>Operación:</w:t>
      </w:r>
      <w:r>
        <w:t xml:space="preserve"> vigilancia de consolas y alertas, ejecución de procedimientos operativos (arranques, paradas, montaje de cintas, verificaciones), atención a la planificación batch, primer diagnóstico y escalado. Turnos 24×7.</w:t>
      </w:r>
    </w:p>
    <w:p w14:paraId="571B0DF5" w14:textId="77777777" w:rsidR="001C0CEA" w:rsidRDefault="00000000">
      <w:pPr>
        <w:pStyle w:val="Prrafodelista"/>
        <w:numPr>
          <w:ilvl w:val="0"/>
          <w:numId w:val="2"/>
        </w:numPr>
        <w:spacing w:after="60"/>
      </w:pPr>
      <w:r>
        <w:rPr>
          <w:b/>
          <w:bCs/>
        </w:rPr>
        <w:t>Administración de sistemas:</w:t>
      </w:r>
      <w:r>
        <w:t xml:space="preserve"> instalación, configuración, parcheo, rendimiento y resolución técnica de sistemas operativos, virtualización, bases de datos, middleware, almacenamiento y redes (administradores especializados).</w:t>
      </w:r>
    </w:p>
    <w:p w14:paraId="43F35A8D" w14:textId="77777777" w:rsidR="001C0CEA" w:rsidRDefault="00000000">
      <w:pPr>
        <w:pStyle w:val="Prrafodelista"/>
        <w:numPr>
          <w:ilvl w:val="0"/>
          <w:numId w:val="2"/>
        </w:numPr>
        <w:spacing w:after="60"/>
      </w:pPr>
      <w:r>
        <w:rPr>
          <w:b/>
          <w:bCs/>
        </w:rPr>
        <w:t>Planificación y control de la producción:</w:t>
      </w:r>
      <w:r>
        <w:t xml:space="preserve"> diseño del plan de trabajos, calendarios, dependencias y ventanas; control del cumplimiento del plan.</w:t>
      </w:r>
    </w:p>
    <w:p w14:paraId="69E5B84C" w14:textId="77777777" w:rsidR="001C0CEA" w:rsidRDefault="00000000">
      <w:pPr>
        <w:pStyle w:val="Prrafodelista"/>
        <w:numPr>
          <w:ilvl w:val="0"/>
          <w:numId w:val="2"/>
        </w:numPr>
        <w:spacing w:after="60"/>
      </w:pPr>
      <w:r>
        <w:rPr>
          <w:b/>
          <w:bCs/>
        </w:rPr>
        <w:t>Soporte:</w:t>
      </w:r>
      <w:r>
        <w:t xml:space="preserve"> atención de incidencias y peticiones de usuarios (centro de servicios / service desk) y niveles de soporte especializados.</w:t>
      </w:r>
    </w:p>
    <w:p w14:paraId="2CDC3D16" w14:textId="77777777" w:rsidR="001C0CEA" w:rsidRDefault="00000000">
      <w:pPr>
        <w:pStyle w:val="Prrafodelista"/>
        <w:numPr>
          <w:ilvl w:val="0"/>
          <w:numId w:val="2"/>
        </w:numPr>
        <w:spacing w:after="60"/>
      </w:pPr>
      <w:r>
        <w:rPr>
          <w:b/>
          <w:bCs/>
        </w:rPr>
        <w:t>Gestión de servicio:</w:t>
      </w:r>
      <w:r>
        <w:t xml:space="preserve"> incidencias, problemas, cambios, configuración, capacidad, disponibilidad, continuidad y niveles de servicio.</w:t>
      </w:r>
    </w:p>
    <w:p w14:paraId="18204A0A" w14:textId="77777777" w:rsidR="001C0CEA" w:rsidRDefault="00000000">
      <w:pPr>
        <w:pStyle w:val="Prrafodelista"/>
        <w:numPr>
          <w:ilvl w:val="0"/>
          <w:numId w:val="2"/>
        </w:numPr>
        <w:spacing w:after="60"/>
      </w:pPr>
      <w:r>
        <w:rPr>
          <w:b/>
          <w:bCs/>
        </w:rPr>
        <w:t>Automatización:</w:t>
      </w:r>
      <w:r>
        <w:t xml:space="preserve"> scripts, orquestación, infraestructura como código, que reducen errores y tiempos.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1C0CEA" w14:paraId="2EE020C9" w14:textId="77777777">
        <w:trPr>
          <w:tblHeader/>
        </w:trPr>
        <w:tc>
          <w:tcPr>
            <w:tcW w:w="4513"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29C51B54" w14:textId="77777777" w:rsidR="001C0CEA" w:rsidRDefault="00000000">
            <w:r>
              <w:rPr>
                <w:b/>
                <w:bCs/>
                <w:color w:val="FFFFFF"/>
                <w:sz w:val="19"/>
                <w:szCs w:val="19"/>
              </w:rPr>
              <w:lastRenderedPageBreak/>
              <w:t>Administración de sistemas</w:t>
            </w:r>
          </w:p>
        </w:tc>
        <w:tc>
          <w:tcPr>
            <w:tcW w:w="4513"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09B63A1D" w14:textId="77777777" w:rsidR="001C0CEA" w:rsidRDefault="00000000">
            <w:r>
              <w:rPr>
                <w:b/>
                <w:bCs/>
                <w:color w:val="FFFFFF"/>
                <w:sz w:val="19"/>
                <w:szCs w:val="19"/>
              </w:rPr>
              <w:t>Operación</w:t>
            </w:r>
          </w:p>
        </w:tc>
      </w:tr>
      <w:tr w:rsidR="001C0CEA" w14:paraId="3280C12A" w14:textId="77777777">
        <w:tc>
          <w:tcPr>
            <w:tcW w:w="451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75685F9" w14:textId="77777777" w:rsidR="001C0CEA" w:rsidRDefault="00000000">
            <w:r>
              <w:rPr>
                <w:sz w:val="19"/>
                <w:szCs w:val="19"/>
              </w:rPr>
              <w:t>Configura, optimiza y resuelve técnicamente las plataformas</w:t>
            </w:r>
          </w:p>
        </w:tc>
        <w:tc>
          <w:tcPr>
            <w:tcW w:w="451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D5EA22E" w14:textId="77777777" w:rsidR="001C0CEA" w:rsidRDefault="00000000">
            <w:r>
              <w:rPr>
                <w:sz w:val="19"/>
                <w:szCs w:val="19"/>
              </w:rPr>
              <w:t>Ejecuta procedimientos definidos y vigila</w:t>
            </w:r>
          </w:p>
        </w:tc>
      </w:tr>
      <w:tr w:rsidR="001C0CEA" w14:paraId="0BED9626" w14:textId="77777777">
        <w:tc>
          <w:tcPr>
            <w:tcW w:w="451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07F24E1" w14:textId="77777777" w:rsidR="001C0CEA" w:rsidRDefault="00000000">
            <w:r>
              <w:rPr>
                <w:sz w:val="19"/>
                <w:szCs w:val="19"/>
              </w:rPr>
              <w:t>Conocimiento especializado (nivel 2–3)</w:t>
            </w:r>
          </w:p>
        </w:tc>
        <w:tc>
          <w:tcPr>
            <w:tcW w:w="451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8B67D30" w14:textId="77777777" w:rsidR="001C0CEA" w:rsidRDefault="00000000">
            <w:r>
              <w:rPr>
                <w:sz w:val="19"/>
                <w:szCs w:val="19"/>
              </w:rPr>
              <w:t>Primer nivel técnico, turnos 24×7</w:t>
            </w:r>
          </w:p>
        </w:tc>
      </w:tr>
      <w:tr w:rsidR="001C0CEA" w14:paraId="0030FE88" w14:textId="77777777">
        <w:tc>
          <w:tcPr>
            <w:tcW w:w="451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4A5DF16" w14:textId="77777777" w:rsidR="001C0CEA" w:rsidRDefault="00000000">
            <w:r>
              <w:rPr>
                <w:sz w:val="19"/>
                <w:szCs w:val="19"/>
              </w:rPr>
              <w:t>Define procedimientos operativos</w:t>
            </w:r>
          </w:p>
        </w:tc>
        <w:tc>
          <w:tcPr>
            <w:tcW w:w="451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A6C1A12" w14:textId="77777777" w:rsidR="001C0CEA" w:rsidRDefault="00000000">
            <w:r>
              <w:rPr>
                <w:sz w:val="19"/>
                <w:szCs w:val="19"/>
              </w:rPr>
              <w:t>Aplica los procedimientos y escala lo que no puede resolver</w:t>
            </w:r>
          </w:p>
        </w:tc>
      </w:tr>
      <w:tr w:rsidR="001C0CEA" w14:paraId="5A69AA5C" w14:textId="77777777">
        <w:tc>
          <w:tcPr>
            <w:tcW w:w="451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2A160A6" w14:textId="77777777" w:rsidR="001C0CEA" w:rsidRDefault="00000000">
            <w:r>
              <w:rPr>
                <w:sz w:val="19"/>
                <w:szCs w:val="19"/>
              </w:rPr>
              <w:t>Interviene en cambios complejos</w:t>
            </w:r>
          </w:p>
        </w:tc>
        <w:tc>
          <w:tcPr>
            <w:tcW w:w="451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405B7D1" w14:textId="77777777" w:rsidR="001C0CEA" w:rsidRDefault="00000000">
            <w:r>
              <w:rPr>
                <w:sz w:val="19"/>
                <w:szCs w:val="19"/>
              </w:rPr>
              <w:t>Ejecuta cambios estándar y tareas planificadas</w:t>
            </w:r>
          </w:p>
        </w:tc>
      </w:tr>
    </w:tbl>
    <w:p w14:paraId="22B978AB" w14:textId="77777777" w:rsidR="001C0CEA" w:rsidRDefault="001C0CEA">
      <w:pPr>
        <w:spacing w:after="120"/>
      </w:pPr>
    </w:p>
    <w:p w14:paraId="40570B84" w14:textId="77777777" w:rsidR="001C0CEA" w:rsidRDefault="00000000">
      <w:pPr>
        <w:spacing w:after="120"/>
        <w:jc w:val="both"/>
      </w:pPr>
      <w:r>
        <w:t xml:space="preserve">En el SAS, el soporte y la gestión de los CPD centrales se prestan mediante contratos de servicios estructurados en </w:t>
      </w:r>
      <w:r>
        <w:rPr>
          <w:b/>
          <w:bCs/>
        </w:rPr>
        <w:t>líneas de servicio</w:t>
      </w:r>
      <w:r>
        <w:t xml:space="preserve"> —operación, transición (diseño y construcción de plataformas), valor añadido, dirección/planificación/mejora y transformación—, según la documentación pública de la licitación de «soporte para la gestión de los centros de procesos de datos centrales» (apartado 26.3). Es un ejemplo real de cómo se organiza la producción en un gran CPD público.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C0CEA" w14:paraId="3F5B98CD" w14:textId="77777777">
        <w:trPr>
          <w:cantSplit/>
        </w:trPr>
        <w:tc>
          <w:tcPr>
            <w:tcW w:w="9026" w:type="dxa"/>
            <w:tcBorders>
              <w:top w:val="single" w:sz="12" w:space="0" w:color="BF9000"/>
              <w:left w:val="single" w:sz="12" w:space="0" w:color="BF9000"/>
              <w:bottom w:val="single" w:sz="12" w:space="0" w:color="BF9000"/>
              <w:right w:val="single" w:sz="12" w:space="0" w:color="BF9000"/>
            </w:tcBorders>
            <w:shd w:val="clear" w:color="auto" w:fill="FFF2CC"/>
            <w:tcMar>
              <w:top w:w="120" w:type="dxa"/>
              <w:left w:w="160" w:type="dxa"/>
              <w:bottom w:w="120" w:type="dxa"/>
              <w:right w:w="160" w:type="dxa"/>
            </w:tcMar>
          </w:tcPr>
          <w:p w14:paraId="6661A729" w14:textId="77777777" w:rsidR="001C0CEA" w:rsidRDefault="00000000">
            <w:pPr>
              <w:spacing w:after="80"/>
            </w:pPr>
            <w:r>
              <w:rPr>
                <w:b/>
                <w:bCs/>
                <w:color w:val="7F6000"/>
              </w:rPr>
              <w:t>Claves para el examen</w:t>
            </w:r>
          </w:p>
          <w:p w14:paraId="4B56B26D" w14:textId="77777777" w:rsidR="001C0CEA" w:rsidRDefault="00000000">
            <w:pPr>
              <w:pStyle w:val="Prrafodelista"/>
              <w:numPr>
                <w:ilvl w:val="0"/>
                <w:numId w:val="2"/>
              </w:numPr>
              <w:spacing w:after="40"/>
            </w:pPr>
            <w:r>
              <w:rPr>
                <w:sz w:val="20"/>
                <w:szCs w:val="20"/>
              </w:rPr>
              <w:t>Producción = entorno real + operación controlada con niveles de servicio.</w:t>
            </w:r>
          </w:p>
          <w:p w14:paraId="5807D3F7" w14:textId="77777777" w:rsidR="001C0CEA" w:rsidRDefault="00000000">
            <w:pPr>
              <w:pStyle w:val="Prrafodelista"/>
              <w:numPr>
                <w:ilvl w:val="0"/>
                <w:numId w:val="2"/>
              </w:numPr>
              <w:spacing w:after="40"/>
            </w:pPr>
            <w:r>
              <w:rPr>
                <w:sz w:val="20"/>
                <w:szCs w:val="20"/>
              </w:rPr>
              <w:t>Operación ejecuta y vigila; administración configura y resuelve técnicamente.</w:t>
            </w:r>
          </w:p>
        </w:tc>
      </w:tr>
    </w:tbl>
    <w:p w14:paraId="3801C3CB" w14:textId="77777777" w:rsidR="001C0CEA" w:rsidRDefault="001C0CEA">
      <w:pPr>
        <w:spacing w:after="120"/>
      </w:pPr>
    </w:p>
    <w:p w14:paraId="36C11BFD" w14:textId="77777777" w:rsidR="001C0CEA" w:rsidRDefault="00000000">
      <w:pPr>
        <w:pStyle w:val="Ttulo1"/>
        <w:pageBreakBefore/>
      </w:pPr>
      <w:bookmarkStart w:id="82" w:name="_Toc241337963"/>
      <w:r>
        <w:lastRenderedPageBreak/>
        <w:t>19. Planificación de tareas de producción</w:t>
      </w:r>
      <w:bookmarkEnd w:id="82"/>
    </w:p>
    <w:p w14:paraId="295B7933" w14:textId="77777777" w:rsidR="001C0CEA" w:rsidRDefault="00000000">
      <w:pPr>
        <w:pStyle w:val="Ttulo2"/>
      </w:pPr>
      <w:bookmarkStart w:id="83" w:name="_Toc241337964"/>
      <w:r>
        <w:t>19.1. Tipos de procesamiento</w:t>
      </w:r>
      <w:bookmarkEnd w:id="8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700"/>
        <w:gridCol w:w="2700"/>
        <w:gridCol w:w="2026"/>
      </w:tblGrid>
      <w:tr w:rsidR="001C0CEA" w14:paraId="7530B1A8" w14:textId="77777777">
        <w:trPr>
          <w:tblHeader/>
        </w:trPr>
        <w:tc>
          <w:tcPr>
            <w:tcW w:w="16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35456D86" w14:textId="77777777" w:rsidR="001C0CEA" w:rsidRDefault="00000000">
            <w:r>
              <w:rPr>
                <w:b/>
                <w:bCs/>
                <w:color w:val="FFFFFF"/>
                <w:sz w:val="19"/>
                <w:szCs w:val="19"/>
              </w:rPr>
              <w:t>Aspecto</w:t>
            </w:r>
          </w:p>
        </w:tc>
        <w:tc>
          <w:tcPr>
            <w:tcW w:w="27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438778E8" w14:textId="77777777" w:rsidR="001C0CEA" w:rsidRDefault="00000000">
            <w:r>
              <w:rPr>
                <w:b/>
                <w:bCs/>
                <w:color w:val="FFFFFF"/>
                <w:sz w:val="19"/>
                <w:szCs w:val="19"/>
              </w:rPr>
              <w:t>Batch (por lotes)</w:t>
            </w:r>
          </w:p>
        </w:tc>
        <w:tc>
          <w:tcPr>
            <w:tcW w:w="27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3F364435" w14:textId="77777777" w:rsidR="001C0CEA" w:rsidRDefault="00000000">
            <w:r>
              <w:rPr>
                <w:b/>
                <w:bCs/>
                <w:color w:val="FFFFFF"/>
                <w:sz w:val="19"/>
                <w:szCs w:val="19"/>
              </w:rPr>
              <w:t>Online / interactivo (OLTP)</w:t>
            </w:r>
          </w:p>
        </w:tc>
        <w:tc>
          <w:tcPr>
            <w:tcW w:w="2026"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1FE37C9F" w14:textId="77777777" w:rsidR="001C0CEA" w:rsidRDefault="00000000">
            <w:r>
              <w:rPr>
                <w:b/>
                <w:bCs/>
                <w:color w:val="FFFFFF"/>
                <w:sz w:val="19"/>
                <w:szCs w:val="19"/>
              </w:rPr>
              <w:t>Tiempo real</w:t>
            </w:r>
          </w:p>
        </w:tc>
      </w:tr>
      <w:tr w:rsidR="001C0CEA" w14:paraId="6A192C7D" w14:textId="77777777">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81C6853" w14:textId="77777777" w:rsidR="001C0CEA" w:rsidRDefault="00000000">
            <w:r>
              <w:rPr>
                <w:sz w:val="19"/>
                <w:szCs w:val="19"/>
              </w:rPr>
              <w:t>Definición</w:t>
            </w:r>
          </w:p>
        </w:tc>
        <w:tc>
          <w:tcPr>
            <w:tcW w:w="2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4DB2061" w14:textId="77777777" w:rsidR="001C0CEA" w:rsidRDefault="00000000">
            <w:r>
              <w:rPr>
                <w:sz w:val="19"/>
                <w:szCs w:val="19"/>
              </w:rPr>
              <w:t>Procesa conjuntos de datos acumulados, sin interacción del usuario, de forma planificada</w:t>
            </w:r>
          </w:p>
        </w:tc>
        <w:tc>
          <w:tcPr>
            <w:tcW w:w="2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575F61E" w14:textId="77777777" w:rsidR="001C0CEA" w:rsidRDefault="00000000">
            <w:r>
              <w:rPr>
                <w:sz w:val="19"/>
                <w:szCs w:val="19"/>
              </w:rPr>
              <w:t>Transacciones individuales iniciadas por el usuario, con respuesta inmediata</w:t>
            </w:r>
          </w:p>
        </w:tc>
        <w:tc>
          <w:tcPr>
            <w:tcW w:w="20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96F9E50" w14:textId="77777777" w:rsidR="001C0CEA" w:rsidRDefault="00000000">
            <w:r>
              <w:rPr>
                <w:sz w:val="19"/>
                <w:szCs w:val="19"/>
              </w:rPr>
              <w:t>Respuesta garantizada dentro de un plazo estricto</w:t>
            </w:r>
          </w:p>
        </w:tc>
      </w:tr>
      <w:tr w:rsidR="001C0CEA" w14:paraId="3BF9BE5A" w14:textId="77777777">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2CCB7E9" w14:textId="77777777" w:rsidR="001C0CEA" w:rsidRDefault="00000000">
            <w:r>
              <w:rPr>
                <w:sz w:val="19"/>
                <w:szCs w:val="19"/>
              </w:rPr>
              <w:t>Momento</w:t>
            </w:r>
          </w:p>
        </w:tc>
        <w:tc>
          <w:tcPr>
            <w:tcW w:w="2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2B85330" w14:textId="77777777" w:rsidR="001C0CEA" w:rsidRDefault="00000000">
            <w:r>
              <w:rPr>
                <w:sz w:val="19"/>
                <w:szCs w:val="19"/>
              </w:rPr>
              <w:t>Ventanas planificadas (a menudo nocturnas)</w:t>
            </w:r>
          </w:p>
        </w:tc>
        <w:tc>
          <w:tcPr>
            <w:tcW w:w="2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45C47B5" w14:textId="77777777" w:rsidR="001C0CEA" w:rsidRDefault="00000000">
            <w:r>
              <w:rPr>
                <w:sz w:val="19"/>
                <w:szCs w:val="19"/>
              </w:rPr>
              <w:t>Continuo, en horario de servicio</w:t>
            </w:r>
          </w:p>
        </w:tc>
        <w:tc>
          <w:tcPr>
            <w:tcW w:w="20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337BA7A" w14:textId="77777777" w:rsidR="001C0CEA" w:rsidRDefault="00000000">
            <w:r>
              <w:rPr>
                <w:sz w:val="19"/>
                <w:szCs w:val="19"/>
              </w:rPr>
              <w:t>Continuo</w:t>
            </w:r>
          </w:p>
        </w:tc>
      </w:tr>
      <w:tr w:rsidR="001C0CEA" w14:paraId="7A351162" w14:textId="77777777">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708490D" w14:textId="77777777" w:rsidR="001C0CEA" w:rsidRDefault="00000000">
            <w:r>
              <w:rPr>
                <w:sz w:val="19"/>
                <w:szCs w:val="19"/>
              </w:rPr>
              <w:t>Ejemplos sanitarios</w:t>
            </w:r>
          </w:p>
        </w:tc>
        <w:tc>
          <w:tcPr>
            <w:tcW w:w="2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3E76712" w14:textId="77777777" w:rsidR="001C0CEA" w:rsidRDefault="00000000">
            <w:r>
              <w:rPr>
                <w:sz w:val="19"/>
                <w:szCs w:val="19"/>
              </w:rPr>
              <w:t>Cierres de facturación, cargas del almacén de datos, envíos masivos de recordatorios de cita, copias</w:t>
            </w:r>
          </w:p>
        </w:tc>
        <w:tc>
          <w:tcPr>
            <w:tcW w:w="2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F69CE05" w14:textId="77777777" w:rsidR="001C0CEA" w:rsidRDefault="00000000">
            <w:r>
              <w:rPr>
                <w:sz w:val="19"/>
                <w:szCs w:val="19"/>
              </w:rPr>
              <w:t>Consultar la historia clínica, dar una cita, dispensar una receta</w:t>
            </w:r>
          </w:p>
        </w:tc>
        <w:tc>
          <w:tcPr>
            <w:tcW w:w="20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9115D4D" w14:textId="77777777" w:rsidR="001C0CEA" w:rsidRDefault="00000000">
            <w:r>
              <w:rPr>
                <w:sz w:val="19"/>
                <w:szCs w:val="19"/>
              </w:rPr>
              <w:t>Monitorización de constantes vitales, control de equipos</w:t>
            </w:r>
          </w:p>
        </w:tc>
      </w:tr>
      <w:tr w:rsidR="001C0CEA" w14:paraId="50AB89CF" w14:textId="77777777">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0E8E891" w14:textId="77777777" w:rsidR="001C0CEA" w:rsidRDefault="00000000">
            <w:r>
              <w:rPr>
                <w:sz w:val="19"/>
                <w:szCs w:val="19"/>
              </w:rPr>
              <w:t>Métrica clave</w:t>
            </w:r>
          </w:p>
        </w:tc>
        <w:tc>
          <w:tcPr>
            <w:tcW w:w="2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22EE834" w14:textId="77777777" w:rsidR="001C0CEA" w:rsidRDefault="00000000">
            <w:r>
              <w:rPr>
                <w:sz w:val="19"/>
                <w:szCs w:val="19"/>
              </w:rPr>
              <w:t>Tiempo total de la cadena; cumplir la ventana</w:t>
            </w:r>
          </w:p>
        </w:tc>
        <w:tc>
          <w:tcPr>
            <w:tcW w:w="2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C8EF173" w14:textId="77777777" w:rsidR="001C0CEA" w:rsidRDefault="00000000">
            <w:r>
              <w:rPr>
                <w:sz w:val="19"/>
                <w:szCs w:val="19"/>
              </w:rPr>
              <w:t>Tiempo de respuesta, transacciones/s</w:t>
            </w:r>
          </w:p>
        </w:tc>
        <w:tc>
          <w:tcPr>
            <w:tcW w:w="20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2D1AB75" w14:textId="77777777" w:rsidR="001C0CEA" w:rsidRDefault="00000000">
            <w:r>
              <w:rPr>
                <w:sz w:val="19"/>
                <w:szCs w:val="19"/>
              </w:rPr>
              <w:t>Latencia máxima garantizada</w:t>
            </w:r>
          </w:p>
        </w:tc>
      </w:tr>
    </w:tbl>
    <w:p w14:paraId="5FD2B006" w14:textId="77777777" w:rsidR="001C0CEA" w:rsidRDefault="001C0CEA">
      <w:pPr>
        <w:spacing w:after="120"/>
      </w:pPr>
    </w:p>
    <w:p w14:paraId="30B7D09D" w14:textId="77777777" w:rsidR="001C0CEA" w:rsidRDefault="00000000">
      <w:pPr>
        <w:spacing w:after="120"/>
        <w:jc w:val="both"/>
      </w:pPr>
      <w:r>
        <w:t xml:space="preserve">El batch y el online compiten por los mismos recursos: por eso los procesos pesados se planifican en </w:t>
      </w:r>
      <w:r>
        <w:rPr>
          <w:b/>
          <w:bCs/>
        </w:rPr>
        <w:t>ventanas</w:t>
      </w:r>
      <w:r>
        <w:t xml:space="preserve"> de baja actividad, y los que deben ejecutarse en horario de servicio se limitan en consumo o se programan en momentos valle.</w:t>
      </w:r>
    </w:p>
    <w:p w14:paraId="16CAE93C" w14:textId="77777777" w:rsidR="001C0CEA" w:rsidRDefault="00000000">
      <w:pPr>
        <w:pStyle w:val="Ttulo2"/>
      </w:pPr>
      <w:bookmarkStart w:id="84" w:name="_Toc241337965"/>
      <w:r>
        <w:t>19.2. Elementos de la planificación</w:t>
      </w:r>
      <w:bookmarkEnd w:id="84"/>
    </w:p>
    <w:p w14:paraId="0162603E" w14:textId="77777777" w:rsidR="001C0CEA" w:rsidRDefault="00000000">
      <w:pPr>
        <w:pStyle w:val="Prrafodelista"/>
        <w:numPr>
          <w:ilvl w:val="0"/>
          <w:numId w:val="2"/>
        </w:numPr>
        <w:spacing w:after="60"/>
      </w:pPr>
      <w:r>
        <w:rPr>
          <w:b/>
          <w:bCs/>
        </w:rPr>
        <w:t>Identificación</w:t>
      </w:r>
      <w:r>
        <w:t xml:space="preserve"> de los trabajos (</w:t>
      </w:r>
      <w:r>
        <w:rPr>
          <w:i/>
          <w:iCs/>
        </w:rPr>
        <w:t>jobs</w:t>
      </w:r>
      <w:r>
        <w:t>): qué hace, sobre qué sistema, qué entradas y salidas tiene, quién es responsable funcional y técnico.</w:t>
      </w:r>
    </w:p>
    <w:p w14:paraId="3612DBE7" w14:textId="77777777" w:rsidR="001C0CEA" w:rsidRDefault="00000000">
      <w:pPr>
        <w:pStyle w:val="Prrafodelista"/>
        <w:numPr>
          <w:ilvl w:val="0"/>
          <w:numId w:val="2"/>
        </w:numPr>
        <w:spacing w:after="60"/>
      </w:pPr>
      <w:r>
        <w:rPr>
          <w:b/>
          <w:bCs/>
        </w:rPr>
        <w:t>Priorización:</w:t>
      </w:r>
      <w:r>
        <w:t xml:space="preserve"> según criticidad del servicio y plazos de negocio (p. ej., la facturación mensual o las cargas que deben estar listas a las 8:00).</w:t>
      </w:r>
    </w:p>
    <w:p w14:paraId="0C8AFB4C" w14:textId="77777777" w:rsidR="001C0CEA" w:rsidRDefault="00000000">
      <w:pPr>
        <w:pStyle w:val="Prrafodelista"/>
        <w:numPr>
          <w:ilvl w:val="0"/>
          <w:numId w:val="2"/>
        </w:numPr>
        <w:spacing w:after="60"/>
      </w:pPr>
      <w:r>
        <w:rPr>
          <w:b/>
          <w:bCs/>
        </w:rPr>
        <w:t>Dependencias:</w:t>
      </w:r>
      <w:r>
        <w:t xml:space="preserve"> relaciones de precedencia (el job B solo se ejecuta si A terminó bien), dependencias de ficheros (esperar la llegada de un fichero), de recursos (no ejecutar dos jobs que bloquean la misma tabla) y entre sistemas.</w:t>
      </w:r>
    </w:p>
    <w:p w14:paraId="4AD75166" w14:textId="77777777" w:rsidR="001C0CEA" w:rsidRDefault="00000000">
      <w:pPr>
        <w:pStyle w:val="Prrafodelista"/>
        <w:numPr>
          <w:ilvl w:val="0"/>
          <w:numId w:val="2"/>
        </w:numPr>
        <w:spacing w:after="60"/>
      </w:pPr>
      <w:r>
        <w:rPr>
          <w:b/>
          <w:bCs/>
        </w:rPr>
        <w:t>Calendarios:</w:t>
      </w:r>
      <w:r>
        <w:t xml:space="preserve"> diarios, laborables, festivos (autonómicos y locales), fin de mes, cierres; excepciones.</w:t>
      </w:r>
    </w:p>
    <w:p w14:paraId="415A9823" w14:textId="77777777" w:rsidR="001C0CEA" w:rsidRDefault="00000000">
      <w:pPr>
        <w:pStyle w:val="Prrafodelista"/>
        <w:numPr>
          <w:ilvl w:val="0"/>
          <w:numId w:val="2"/>
        </w:numPr>
        <w:spacing w:after="60"/>
      </w:pPr>
      <w:r>
        <w:rPr>
          <w:b/>
          <w:bCs/>
        </w:rPr>
        <w:t>Ventanas de ejecución:</w:t>
      </w:r>
      <w:r>
        <w:t xml:space="preserve"> franjas horarias permitidas y hora límite de finalización.</w:t>
      </w:r>
    </w:p>
    <w:p w14:paraId="4B8B47A3" w14:textId="77777777" w:rsidR="001C0CEA" w:rsidRDefault="00000000">
      <w:pPr>
        <w:pStyle w:val="Prrafodelista"/>
        <w:numPr>
          <w:ilvl w:val="0"/>
          <w:numId w:val="2"/>
        </w:numPr>
        <w:spacing w:after="60"/>
      </w:pPr>
      <w:r>
        <w:rPr>
          <w:b/>
          <w:bCs/>
        </w:rPr>
        <w:t>Recursos:</w:t>
      </w:r>
      <w:r>
        <w:t xml:space="preserve"> CPU, memoria, cintas, licencias, conexiones a bases de datos; límites de concurrencia.</w:t>
      </w:r>
    </w:p>
    <w:p w14:paraId="394818A6" w14:textId="77777777" w:rsidR="001C0CEA" w:rsidRDefault="00000000">
      <w:pPr>
        <w:pStyle w:val="Prrafodelista"/>
        <w:numPr>
          <w:ilvl w:val="0"/>
          <w:numId w:val="2"/>
        </w:numPr>
        <w:spacing w:after="60"/>
      </w:pPr>
      <w:r>
        <w:rPr>
          <w:b/>
          <w:bCs/>
        </w:rPr>
        <w:t>Precondiciones y postcondiciones:</w:t>
      </w:r>
      <w:r>
        <w:t xml:space="preserve"> condiciones que deben cumplirse antes (fichero presente, backup previo realizado) y resultado esperado (fichero generado, registros cargados, código de retorno 0).</w:t>
      </w:r>
    </w:p>
    <w:p w14:paraId="1DE66961" w14:textId="77777777" w:rsidR="001C0CEA" w:rsidRDefault="00000000">
      <w:pPr>
        <w:pStyle w:val="Prrafodelista"/>
        <w:numPr>
          <w:ilvl w:val="0"/>
          <w:numId w:val="2"/>
        </w:numPr>
        <w:spacing w:after="60"/>
      </w:pPr>
      <w:r>
        <w:rPr>
          <w:b/>
          <w:bCs/>
        </w:rPr>
        <w:t>Duración estimada</w:t>
      </w:r>
      <w:r>
        <w:t xml:space="preserve"> y camino crítico de la cadena.</w:t>
      </w:r>
    </w:p>
    <w:p w14:paraId="2B65763F" w14:textId="77777777" w:rsidR="001C0CEA" w:rsidRDefault="00000000">
      <w:pPr>
        <w:pStyle w:val="Prrafodelista"/>
        <w:numPr>
          <w:ilvl w:val="0"/>
          <w:numId w:val="2"/>
        </w:numPr>
        <w:spacing w:after="60"/>
      </w:pPr>
      <w:r>
        <w:rPr>
          <w:b/>
          <w:bCs/>
        </w:rPr>
        <w:t>Reintentos:</w:t>
      </w:r>
      <w:r>
        <w:t xml:space="preserve"> número y espaciado de reintentos automáticos ante fallos transitorios.</w:t>
      </w:r>
    </w:p>
    <w:p w14:paraId="6E7617B7" w14:textId="77777777" w:rsidR="001C0CEA" w:rsidRDefault="00000000">
      <w:pPr>
        <w:pStyle w:val="Prrafodelista"/>
        <w:numPr>
          <w:ilvl w:val="0"/>
          <w:numId w:val="2"/>
        </w:numPr>
        <w:spacing w:after="60"/>
      </w:pPr>
      <w:r>
        <w:rPr>
          <w:b/>
          <w:bCs/>
        </w:rPr>
        <w:t>Gestión de errores:</w:t>
      </w:r>
      <w:r>
        <w:t xml:space="preserve"> acción ante fallo (parar la cadena, saltar, ejecutar job de recuperación), procedimiento de rearranque y responsable.</w:t>
      </w:r>
    </w:p>
    <w:p w14:paraId="4378B699" w14:textId="77777777" w:rsidR="001C0CEA" w:rsidRDefault="00000000">
      <w:pPr>
        <w:pStyle w:val="Prrafodelista"/>
        <w:numPr>
          <w:ilvl w:val="0"/>
          <w:numId w:val="2"/>
        </w:numPr>
        <w:spacing w:after="60"/>
      </w:pPr>
      <w:r>
        <w:rPr>
          <w:b/>
          <w:bCs/>
        </w:rPr>
        <w:t>Notificaciones:</w:t>
      </w:r>
      <w:r>
        <w:t xml:space="preserve"> alertas a operación y a responsables ante fallo, retraso o fin anómalo.</w:t>
      </w:r>
    </w:p>
    <w:p w14:paraId="0901F3D0" w14:textId="77777777" w:rsidR="001C0CEA" w:rsidRDefault="00000000">
      <w:pPr>
        <w:pStyle w:val="Prrafodelista"/>
        <w:numPr>
          <w:ilvl w:val="0"/>
          <w:numId w:val="2"/>
        </w:numPr>
        <w:spacing w:after="60"/>
      </w:pPr>
      <w:r>
        <w:rPr>
          <w:b/>
          <w:bCs/>
        </w:rPr>
        <w:t>Registro:</w:t>
      </w:r>
      <w:r>
        <w:t xml:space="preserve"> logs de ejecución, códigos de retorno, tiempos, histórico para auditoría y capacidad.</w:t>
      </w:r>
    </w:p>
    <w:p w14:paraId="2AF31914" w14:textId="77777777" w:rsidR="001C0CEA" w:rsidRDefault="00000000">
      <w:pPr>
        <w:pStyle w:val="Ttulo2"/>
      </w:pPr>
      <w:bookmarkStart w:id="85" w:name="_Toc241337966"/>
      <w:r>
        <w:t>19.3. Planificadores y automatización</w:t>
      </w:r>
      <w:bookmarkEnd w:id="85"/>
    </w:p>
    <w:p w14:paraId="4B15D5AD" w14:textId="77777777" w:rsidR="001C0CEA" w:rsidRDefault="00000000">
      <w:pPr>
        <w:spacing w:after="120"/>
        <w:jc w:val="both"/>
      </w:pPr>
      <w:r>
        <w:lastRenderedPageBreak/>
        <w:t xml:space="preserve">Los </w:t>
      </w:r>
      <w:r>
        <w:rPr>
          <w:b/>
          <w:bCs/>
        </w:rPr>
        <w:t>planificadores de trabajos</w:t>
      </w:r>
      <w:r>
        <w:t xml:space="preserve"> (</w:t>
      </w:r>
      <w:r>
        <w:rPr>
          <w:i/>
          <w:iCs/>
        </w:rPr>
        <w:t>job schedulers</w:t>
      </w:r>
      <w:r>
        <w:t xml:space="preserve"> o herramientas de automatización de cargas) centralizan la definición, planificación, ejecución y control de los procesos batch en múltiples plataformas. Funciones: calendarios, dependencias entre jobs y sistemas, disparadores por hora o por evento (llegada de fichero, mensaje), control de recursos, reintentos, rearranques, alertas, consola de operación, histórico y auditoría. Ejemplos (solo a título ilustrativo): Control-M, IBM Workload Scheduler, Broadcom Automic/CA 7, Stonebranch; en entornos más sencillos, </w:t>
      </w:r>
      <w:r>
        <w:rPr>
          <w:b/>
          <w:bCs/>
        </w:rPr>
        <w:t>cron</w:t>
      </w:r>
      <w:r>
        <w:t xml:space="preserve"> (Unix/Linux) o el Programador de tareas de Windows; en entornos de datos, orquestadores de </w:t>
      </w:r>
      <w:r>
        <w:rPr>
          <w:i/>
          <w:iCs/>
        </w:rPr>
        <w:t>workflows</w:t>
      </w:r>
      <w:r>
        <w:t xml:space="preserve"> como Apache Airflow.</w:t>
      </w:r>
    </w:p>
    <w:p w14:paraId="1FB33DA5" w14:textId="77777777" w:rsidR="001C0CEA" w:rsidRDefault="00000000">
      <w:pPr>
        <w:pStyle w:val="Prrafodelista"/>
        <w:numPr>
          <w:ilvl w:val="0"/>
          <w:numId w:val="2"/>
        </w:numPr>
        <w:spacing w:after="60"/>
      </w:pPr>
      <w:r>
        <w:rPr>
          <w:b/>
          <w:bCs/>
        </w:rPr>
        <w:t>Job:</w:t>
      </w:r>
      <w:r>
        <w:t xml:space="preserve"> unidad de trabajo planificable (un script, un programa, una transferencia de ficheros, una consulta).</w:t>
      </w:r>
    </w:p>
    <w:p w14:paraId="3A5096B8" w14:textId="77777777" w:rsidR="001C0CEA" w:rsidRDefault="00000000">
      <w:pPr>
        <w:pStyle w:val="Prrafodelista"/>
        <w:numPr>
          <w:ilvl w:val="0"/>
          <w:numId w:val="2"/>
        </w:numPr>
        <w:spacing w:after="60"/>
      </w:pPr>
      <w:r>
        <w:rPr>
          <w:b/>
          <w:bCs/>
        </w:rPr>
        <w:t>Cadena / flujo (workflow):</w:t>
      </w:r>
      <w:r>
        <w:t xml:space="preserve"> conjunto de jobs con dependencias que forman un proceso de negocio completo.</w:t>
      </w:r>
    </w:p>
    <w:p w14:paraId="40B2D807" w14:textId="77777777" w:rsidR="001C0CEA" w:rsidRDefault="00000000">
      <w:pPr>
        <w:pStyle w:val="Prrafodelista"/>
        <w:numPr>
          <w:ilvl w:val="0"/>
          <w:numId w:val="2"/>
        </w:numPr>
        <w:spacing w:after="60"/>
      </w:pPr>
      <w:r>
        <w:rPr>
          <w:b/>
          <w:bCs/>
        </w:rPr>
        <w:t>Scripts:</w:t>
      </w:r>
      <w:r>
        <w:t xml:space="preserve"> automatizaciones en shell, PowerShell, Python…; deben estar versionados, documentados y controlados por cambios.</w:t>
      </w:r>
    </w:p>
    <w:p w14:paraId="28164D73" w14:textId="77777777" w:rsidR="001C0CEA" w:rsidRDefault="00000000">
      <w:pPr>
        <w:pStyle w:val="Prrafodelista"/>
        <w:numPr>
          <w:ilvl w:val="0"/>
          <w:numId w:val="2"/>
        </w:numPr>
        <w:spacing w:after="60"/>
      </w:pPr>
      <w:r>
        <w:rPr>
          <w:b/>
          <w:bCs/>
        </w:rPr>
        <w:t>Orquestación:</w:t>
      </w:r>
      <w:r>
        <w:t xml:space="preserve"> coordinación automatizada de múltiples tareas y sistemas (p. ej., aprovisionar una VM, configurarla y desplegar una aplicación).</w:t>
      </w:r>
    </w:p>
    <w:p w14:paraId="7AA6047F" w14:textId="77777777" w:rsidR="001C0CEA" w:rsidRDefault="00000000">
      <w:pPr>
        <w:pStyle w:val="Prrafodelista"/>
        <w:numPr>
          <w:ilvl w:val="0"/>
          <w:numId w:val="2"/>
        </w:numPr>
        <w:spacing w:after="60"/>
      </w:pPr>
      <w:r>
        <w:rPr>
          <w:b/>
          <w:bCs/>
        </w:rPr>
        <w:t>Plan diario:</w:t>
      </w:r>
      <w:r>
        <w:t xml:space="preserve"> instancia del plan generada a partir de las definiciones y calendarios, que operación supervisa.</w:t>
      </w:r>
    </w:p>
    <w:p w14:paraId="4E078687" w14:textId="77777777" w:rsidR="001C0CEA" w:rsidRDefault="00000000">
      <w:pPr>
        <w:jc w:val="center"/>
      </w:pPr>
      <w:r>
        <w:rPr>
          <w:noProof/>
        </w:rPr>
        <w:drawing>
          <wp:inline distT="0" distB="0" distL="0" distR="0" wp14:anchorId="5C023D98" wp14:editId="5D01D05A">
            <wp:extent cx="5905500" cy="1638300"/>
            <wp:effectExtent l="0" t="0" r="0" b="0"/>
            <wp:docPr id="1529329021" name="Figura 4. Ciclo de vida de un trabajo planificado." descr="Figura 4. Ciclo de vida de un trabajo planificado." title="Figura 4. Ciclo de vida de un trabajo planific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05500" cy="1638300"/>
                    </a:xfrm>
                    <a:prstGeom prst="rect">
                      <a:avLst/>
                    </a:prstGeom>
                  </pic:spPr>
                </pic:pic>
              </a:graphicData>
            </a:graphic>
          </wp:inline>
        </w:drawing>
      </w:r>
    </w:p>
    <w:p w14:paraId="11C0D5C4" w14:textId="77777777" w:rsidR="001C0CEA" w:rsidRDefault="00000000">
      <w:pPr>
        <w:spacing w:after="160"/>
        <w:jc w:val="center"/>
      </w:pPr>
      <w:r>
        <w:rPr>
          <w:i/>
          <w:iCs/>
          <w:color w:val="595959"/>
          <w:sz w:val="18"/>
          <w:szCs w:val="18"/>
        </w:rPr>
        <w:t>Figura 4. Ciclo de vida de un trabajo planificado.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C0CEA" w14:paraId="05D4D73E" w14:textId="77777777">
        <w:trPr>
          <w:cantSplit/>
        </w:trPr>
        <w:tc>
          <w:tcPr>
            <w:tcW w:w="9026" w:type="dxa"/>
            <w:tcBorders>
              <w:top w:val="single" w:sz="12" w:space="0" w:color="548235"/>
              <w:left w:val="single" w:sz="12" w:space="0" w:color="548235"/>
              <w:bottom w:val="single" w:sz="12" w:space="0" w:color="548235"/>
              <w:right w:val="single" w:sz="12" w:space="0" w:color="548235"/>
            </w:tcBorders>
            <w:shd w:val="clear" w:color="auto" w:fill="E2EFD9"/>
            <w:tcMar>
              <w:top w:w="120" w:type="dxa"/>
              <w:left w:w="160" w:type="dxa"/>
              <w:bottom w:w="120" w:type="dxa"/>
              <w:right w:w="160" w:type="dxa"/>
            </w:tcMar>
          </w:tcPr>
          <w:p w14:paraId="2DD5892F" w14:textId="77777777" w:rsidR="001C0CEA" w:rsidRDefault="00000000">
            <w:pPr>
              <w:spacing w:after="80"/>
            </w:pPr>
            <w:r>
              <w:rPr>
                <w:b/>
                <w:bCs/>
                <w:color w:val="548235"/>
              </w:rPr>
              <w:t>Ejemplo: cadena batch nocturna</w:t>
            </w:r>
          </w:p>
          <w:p w14:paraId="73FCA6C3" w14:textId="77777777" w:rsidR="001C0CEA" w:rsidRDefault="00000000">
            <w:pPr>
              <w:pStyle w:val="Prrafodelista"/>
              <w:numPr>
                <w:ilvl w:val="0"/>
                <w:numId w:val="2"/>
              </w:numPr>
              <w:spacing w:after="40"/>
            </w:pPr>
            <w:r>
              <w:rPr>
                <w:sz w:val="20"/>
                <w:szCs w:val="20"/>
              </w:rPr>
              <w:t>22:00 — J1: copia de seguridad de la base de datos de citación (precondición: fin de la actividad de tarde).</w:t>
            </w:r>
          </w:p>
          <w:p w14:paraId="3E968D1D" w14:textId="77777777" w:rsidR="001C0CEA" w:rsidRDefault="00000000">
            <w:pPr>
              <w:pStyle w:val="Prrafodelista"/>
              <w:numPr>
                <w:ilvl w:val="0"/>
                <w:numId w:val="2"/>
              </w:numPr>
              <w:spacing w:after="40"/>
            </w:pPr>
            <w:r>
              <w:rPr>
                <w:sz w:val="20"/>
                <w:szCs w:val="20"/>
              </w:rPr>
              <w:t>23:00 — J2: extracción de citas del día siguiente (depende de J1 OK).</w:t>
            </w:r>
          </w:p>
          <w:p w14:paraId="30B05832" w14:textId="77777777" w:rsidR="001C0CEA" w:rsidRDefault="00000000">
            <w:pPr>
              <w:pStyle w:val="Prrafodelista"/>
              <w:numPr>
                <w:ilvl w:val="0"/>
                <w:numId w:val="2"/>
              </w:numPr>
              <w:spacing w:after="40"/>
            </w:pPr>
            <w:r>
              <w:rPr>
                <w:sz w:val="20"/>
                <w:szCs w:val="20"/>
              </w:rPr>
              <w:t>23:30 — J3: generación de recordatorios SMS (depende de J2) y J4: carga en el almacén de datos (depende de J2); J3 y J4 en paralelo.</w:t>
            </w:r>
          </w:p>
          <w:p w14:paraId="783434A7" w14:textId="77777777" w:rsidR="001C0CEA" w:rsidRDefault="00000000">
            <w:pPr>
              <w:pStyle w:val="Prrafodelista"/>
              <w:numPr>
                <w:ilvl w:val="0"/>
                <w:numId w:val="2"/>
              </w:numPr>
              <w:spacing w:after="40"/>
            </w:pPr>
            <w:r>
              <w:rPr>
                <w:sz w:val="20"/>
                <w:szCs w:val="20"/>
              </w:rPr>
              <w:t>Hora límite 06:00 — J5: informe de control a responsables. Si J2 falla, J3, J4 y J5 no se liberan; el planificador reintenta J2 una vez y, si vuelve a fallar, alerta a operación con el log.</w:t>
            </w:r>
          </w:p>
        </w:tc>
      </w:tr>
    </w:tbl>
    <w:p w14:paraId="515220A4" w14:textId="77777777" w:rsidR="001C0CEA" w:rsidRDefault="001C0CEA">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C0CEA" w14:paraId="507F8756" w14:textId="77777777">
        <w:trPr>
          <w:cantSplit/>
        </w:trPr>
        <w:tc>
          <w:tcPr>
            <w:tcW w:w="9026" w:type="dxa"/>
            <w:tcBorders>
              <w:top w:val="single" w:sz="12" w:space="0" w:color="BF9000"/>
              <w:left w:val="single" w:sz="12" w:space="0" w:color="BF9000"/>
              <w:bottom w:val="single" w:sz="12" w:space="0" w:color="BF9000"/>
              <w:right w:val="single" w:sz="12" w:space="0" w:color="BF9000"/>
            </w:tcBorders>
            <w:shd w:val="clear" w:color="auto" w:fill="FFF2CC"/>
            <w:tcMar>
              <w:top w:w="120" w:type="dxa"/>
              <w:left w:w="160" w:type="dxa"/>
              <w:bottom w:w="120" w:type="dxa"/>
              <w:right w:w="160" w:type="dxa"/>
            </w:tcMar>
          </w:tcPr>
          <w:p w14:paraId="56BB197B" w14:textId="77777777" w:rsidR="001C0CEA" w:rsidRDefault="00000000">
            <w:pPr>
              <w:spacing w:after="80"/>
            </w:pPr>
            <w:r>
              <w:rPr>
                <w:b/>
                <w:bCs/>
                <w:color w:val="7F6000"/>
              </w:rPr>
              <w:t>Claves para el examen</w:t>
            </w:r>
          </w:p>
          <w:p w14:paraId="62CD5EB8" w14:textId="77777777" w:rsidR="001C0CEA" w:rsidRDefault="00000000">
            <w:pPr>
              <w:pStyle w:val="Prrafodelista"/>
              <w:numPr>
                <w:ilvl w:val="0"/>
                <w:numId w:val="2"/>
              </w:numPr>
              <w:spacing w:after="40"/>
            </w:pPr>
            <w:r>
              <w:rPr>
                <w:sz w:val="20"/>
                <w:szCs w:val="20"/>
              </w:rPr>
              <w:t>Batch = por lotes, planificado, sin interacción; online = transaccional e interactivo.</w:t>
            </w:r>
          </w:p>
          <w:p w14:paraId="7BB7AD47" w14:textId="77777777" w:rsidR="001C0CEA" w:rsidRDefault="00000000">
            <w:pPr>
              <w:pStyle w:val="Prrafodelista"/>
              <w:numPr>
                <w:ilvl w:val="0"/>
                <w:numId w:val="2"/>
              </w:numPr>
              <w:spacing w:after="40"/>
            </w:pPr>
            <w:r>
              <w:rPr>
                <w:sz w:val="20"/>
                <w:szCs w:val="20"/>
              </w:rPr>
              <w:t>Planificar = identificar + priorizar + dependencias + calendario + ventana + recursos + pre/postcondiciones + reintentos + errores + notificaciones + registro.</w:t>
            </w:r>
          </w:p>
        </w:tc>
      </w:tr>
    </w:tbl>
    <w:p w14:paraId="4777C289" w14:textId="77777777" w:rsidR="001C0CEA" w:rsidRDefault="001C0CEA">
      <w:pPr>
        <w:spacing w:after="120"/>
      </w:pPr>
    </w:p>
    <w:p w14:paraId="586EE8DF" w14:textId="77777777" w:rsidR="001C0CEA" w:rsidRDefault="00000000">
      <w:pPr>
        <w:pStyle w:val="Ttulo1"/>
        <w:pageBreakBefore/>
      </w:pPr>
      <w:bookmarkStart w:id="86" w:name="_Toc241337967"/>
      <w:r>
        <w:lastRenderedPageBreak/>
        <w:t>20. Ejecución, control y trazabilidad de tareas</w:t>
      </w:r>
      <w:bookmarkEnd w:id="86"/>
    </w:p>
    <w:p w14:paraId="31E88A74" w14:textId="77777777" w:rsidR="001C0CEA" w:rsidRDefault="00000000">
      <w:pPr>
        <w:pStyle w:val="Ttulo2"/>
      </w:pPr>
      <w:bookmarkStart w:id="87" w:name="_Toc241337968"/>
      <w:r>
        <w:t>20.1. Ciclo de ejecución</w:t>
      </w:r>
      <w:bookmarkEnd w:id="87"/>
    </w:p>
    <w:p w14:paraId="41145D01" w14:textId="77777777" w:rsidR="001C0CEA" w:rsidRDefault="00000000">
      <w:pPr>
        <w:pStyle w:val="Prrafodelista"/>
        <w:numPr>
          <w:ilvl w:val="0"/>
          <w:numId w:val="3"/>
        </w:numPr>
        <w:spacing w:after="60"/>
      </w:pPr>
      <w:r>
        <w:rPr>
          <w:b/>
          <w:bCs/>
        </w:rPr>
        <w:t>Inicio:</w:t>
      </w:r>
      <w:r>
        <w:t xml:space="preserve"> el planificador lanza el job cuando se cumplen sus condiciones (hora, dependencias, recursos).</w:t>
      </w:r>
    </w:p>
    <w:p w14:paraId="4540D989" w14:textId="77777777" w:rsidR="001C0CEA" w:rsidRDefault="00000000">
      <w:pPr>
        <w:pStyle w:val="Prrafodelista"/>
        <w:numPr>
          <w:ilvl w:val="0"/>
          <w:numId w:val="3"/>
        </w:numPr>
        <w:spacing w:after="60"/>
      </w:pPr>
      <w:r>
        <w:rPr>
          <w:b/>
          <w:bCs/>
        </w:rPr>
        <w:t>Ejecución y supervisión:</w:t>
      </w:r>
      <w:r>
        <w:t xml:space="preserve"> operación vigila el plan (jobs en curso, en espera, retrasados), el consumo de recursos y las alertas.</w:t>
      </w:r>
    </w:p>
    <w:p w14:paraId="63E6455E" w14:textId="77777777" w:rsidR="001C0CEA" w:rsidRDefault="00000000">
      <w:pPr>
        <w:pStyle w:val="Prrafodelista"/>
        <w:numPr>
          <w:ilvl w:val="0"/>
          <w:numId w:val="3"/>
        </w:numPr>
        <w:spacing w:after="60"/>
      </w:pPr>
      <w:r>
        <w:rPr>
          <w:b/>
          <w:bCs/>
        </w:rPr>
        <w:t>Finalización y control de resultados:</w:t>
      </w:r>
      <w:r>
        <w:t xml:space="preserve"> se comprueba el </w:t>
      </w:r>
      <w:r>
        <w:rPr>
          <w:b/>
          <w:bCs/>
        </w:rPr>
        <w:t>código de retorno</w:t>
      </w:r>
      <w:r>
        <w:t xml:space="preserve"> (por convenio, 0 = correcto), los mensajes del log y, cuando procede, los resultados de negocio (número de registros, cuadres, ficheros generados).</w:t>
      </w:r>
    </w:p>
    <w:p w14:paraId="140016DF" w14:textId="77777777" w:rsidR="001C0CEA" w:rsidRDefault="00000000">
      <w:pPr>
        <w:pStyle w:val="Prrafodelista"/>
        <w:numPr>
          <w:ilvl w:val="0"/>
          <w:numId w:val="3"/>
        </w:numPr>
        <w:spacing w:after="60"/>
      </w:pPr>
      <w:r>
        <w:rPr>
          <w:b/>
          <w:bCs/>
        </w:rPr>
        <w:t>Tratamiento del error:</w:t>
      </w:r>
      <w:r>
        <w:t xml:space="preserve"> diagnóstico, corrección (datos, espacio, conectividad) y </w:t>
      </w:r>
      <w:r>
        <w:rPr>
          <w:b/>
          <w:bCs/>
        </w:rPr>
        <w:t>reejecución</w:t>
      </w:r>
      <w:r>
        <w:t xml:space="preserve"> desde el principio o </w:t>
      </w:r>
      <w:r>
        <w:rPr>
          <w:b/>
          <w:bCs/>
        </w:rPr>
        <w:t>rearranque</w:t>
      </w:r>
      <w:r>
        <w:t xml:space="preserve"> desde un punto de control (</w:t>
      </w:r>
      <w:r>
        <w:rPr>
          <w:i/>
          <w:iCs/>
        </w:rPr>
        <w:t>checkpoint</w:t>
      </w:r>
      <w:r>
        <w:t xml:space="preserve">) si el proceso lo permite; si el problema excede a operación, </w:t>
      </w:r>
      <w:r>
        <w:rPr>
          <w:b/>
          <w:bCs/>
        </w:rPr>
        <w:t>escalado</w:t>
      </w:r>
      <w:r>
        <w:t xml:space="preserve"> a administración o desarrollo según procedimiento.</w:t>
      </w:r>
    </w:p>
    <w:p w14:paraId="627A15D1" w14:textId="77777777" w:rsidR="001C0CEA" w:rsidRDefault="00000000">
      <w:pPr>
        <w:pStyle w:val="Prrafodelista"/>
        <w:numPr>
          <w:ilvl w:val="0"/>
          <w:numId w:val="3"/>
        </w:numPr>
        <w:spacing w:after="60"/>
      </w:pPr>
      <w:r>
        <w:rPr>
          <w:b/>
          <w:bCs/>
        </w:rPr>
        <w:t>Cierre y registro histórico:</w:t>
      </w:r>
      <w:r>
        <w:t xml:space="preserve"> el resultado queda registrado para auditoría, estadísticas y gestión de capacidad.</w:t>
      </w:r>
    </w:p>
    <w:p w14:paraId="00A3E499" w14:textId="77777777" w:rsidR="001C0CEA" w:rsidRDefault="00000000">
      <w:pPr>
        <w:pStyle w:val="Ttulo2"/>
      </w:pPr>
      <w:bookmarkStart w:id="88" w:name="_Toc241337969"/>
      <w:r>
        <w:t>20.2. Trazabilidad</w:t>
      </w:r>
      <w:bookmarkEnd w:id="88"/>
    </w:p>
    <w:p w14:paraId="2A8563C0" w14:textId="77777777" w:rsidR="001C0CEA" w:rsidRDefault="00000000">
      <w:pPr>
        <w:spacing w:after="120"/>
        <w:jc w:val="both"/>
      </w:pPr>
      <w:r>
        <w:t xml:space="preserve">La trazabilidad de la producción permite reconstruir </w:t>
      </w:r>
      <w:r>
        <w:rPr>
          <w:b/>
          <w:bCs/>
        </w:rPr>
        <w:t>qué se ejecutó, cuándo, por quién o por qué disparador, con qué versión, con qué datos y con qué resultado</w:t>
      </w:r>
      <w:r>
        <w:t xml:space="preserve">. Se garantiza mediante: logs de ejecución centralizados y conservados; auditoría del planificador (quién modificó una definición o forzó un job); vinculación de toda modificación de jobs y scripts a un </w:t>
      </w:r>
      <w:r>
        <w:rPr>
          <w:b/>
          <w:bCs/>
        </w:rPr>
        <w:t>cambio aprobado</w:t>
      </w:r>
      <w:r>
        <w:t xml:space="preserve">; versionado de scripts; sincronización horaria de los sistemas; separación de funciones (quien desarrolla no ejecuta en producción) y registro de las intervenciones manuales (reejecuciones, forzados) con su justificación. El ENS incluye la </w:t>
      </w:r>
      <w:r>
        <w:rPr>
          <w:b/>
          <w:bCs/>
        </w:rPr>
        <w:t>trazabilidad</w:t>
      </w:r>
      <w:r>
        <w:t xml:space="preserve"> como dimensión de seguridad.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C0CEA" w14:paraId="2ED43E12" w14:textId="77777777">
        <w:trPr>
          <w:cantSplit/>
        </w:trPr>
        <w:tc>
          <w:tcPr>
            <w:tcW w:w="9026" w:type="dxa"/>
            <w:tcBorders>
              <w:top w:val="single" w:sz="12" w:space="0" w:color="548235"/>
              <w:left w:val="single" w:sz="12" w:space="0" w:color="548235"/>
              <w:bottom w:val="single" w:sz="12" w:space="0" w:color="548235"/>
              <w:right w:val="single" w:sz="12" w:space="0" w:color="548235"/>
            </w:tcBorders>
            <w:shd w:val="clear" w:color="auto" w:fill="E2EFD9"/>
            <w:tcMar>
              <w:top w:w="120" w:type="dxa"/>
              <w:left w:w="160" w:type="dxa"/>
              <w:bottom w:w="120" w:type="dxa"/>
              <w:right w:w="160" w:type="dxa"/>
            </w:tcMar>
          </w:tcPr>
          <w:p w14:paraId="5A508FFF" w14:textId="77777777" w:rsidR="001C0CEA" w:rsidRDefault="00000000">
            <w:pPr>
              <w:spacing w:after="80"/>
            </w:pPr>
            <w:r>
              <w:rPr>
                <w:b/>
                <w:bCs/>
                <w:color w:val="548235"/>
              </w:rPr>
              <w:t>Caso práctico: fallo de un job y reejecución</w:t>
            </w:r>
          </w:p>
          <w:p w14:paraId="5FB10768" w14:textId="77777777" w:rsidR="001C0CEA" w:rsidRDefault="00000000">
            <w:pPr>
              <w:pStyle w:val="Prrafodelista"/>
              <w:numPr>
                <w:ilvl w:val="0"/>
                <w:numId w:val="2"/>
              </w:numPr>
              <w:spacing w:after="40"/>
            </w:pPr>
            <w:r>
              <w:rPr>
                <w:sz w:val="20"/>
                <w:szCs w:val="20"/>
              </w:rPr>
              <w:t>J4 (carga en el almacén de datos) termina con código de retorno 8: «tablespace lleno». El planificador marca el job en error y alerta.</w:t>
            </w:r>
          </w:p>
          <w:p w14:paraId="25761A2B" w14:textId="77777777" w:rsidR="001C0CEA" w:rsidRDefault="00000000">
            <w:pPr>
              <w:pStyle w:val="Prrafodelista"/>
              <w:numPr>
                <w:ilvl w:val="0"/>
                <w:numId w:val="2"/>
              </w:numPr>
              <w:spacing w:after="40"/>
            </w:pPr>
            <w:r>
              <w:rPr>
                <w:sz w:val="20"/>
                <w:szCs w:val="20"/>
              </w:rPr>
              <w:t>Operación registra la incidencia, consulta el procedimiento operativo del job y escala al administrador de base de datos, que amplía el espacio (cambio estándar preaprobado).</w:t>
            </w:r>
          </w:p>
          <w:p w14:paraId="3ED6A0FD" w14:textId="77777777" w:rsidR="001C0CEA" w:rsidRDefault="00000000">
            <w:pPr>
              <w:pStyle w:val="Prrafodelista"/>
              <w:numPr>
                <w:ilvl w:val="0"/>
                <w:numId w:val="2"/>
              </w:numPr>
              <w:spacing w:after="40"/>
            </w:pPr>
            <w:r>
              <w:rPr>
                <w:sz w:val="20"/>
                <w:szCs w:val="20"/>
              </w:rPr>
              <w:t>Operación reejecuta J4 desde el punto de control; termina con código 0 y el planificador libera J5.</w:t>
            </w:r>
          </w:p>
          <w:p w14:paraId="4AEADAAF" w14:textId="77777777" w:rsidR="001C0CEA" w:rsidRDefault="00000000">
            <w:pPr>
              <w:pStyle w:val="Prrafodelista"/>
              <w:numPr>
                <w:ilvl w:val="0"/>
                <w:numId w:val="2"/>
              </w:numPr>
              <w:spacing w:after="40"/>
            </w:pPr>
            <w:r>
              <w:rPr>
                <w:sz w:val="20"/>
                <w:szCs w:val="20"/>
              </w:rPr>
              <w:t xml:space="preserve">Se documenta todo en la incidencia; si el problema se repite, se abre un </w:t>
            </w:r>
            <w:r>
              <w:rPr>
                <w:b/>
                <w:bCs/>
                <w:sz w:val="20"/>
                <w:szCs w:val="20"/>
              </w:rPr>
              <w:t>problema</w:t>
            </w:r>
            <w:r>
              <w:rPr>
                <w:sz w:val="20"/>
                <w:szCs w:val="20"/>
              </w:rPr>
              <w:t xml:space="preserve"> para su causa raíz (previsión de capacidad insuficiente).</w:t>
            </w:r>
          </w:p>
        </w:tc>
      </w:tr>
    </w:tbl>
    <w:p w14:paraId="1F5E11DB" w14:textId="77777777" w:rsidR="001C0CEA" w:rsidRDefault="001C0CEA">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C0CEA" w14:paraId="7DA14B3B" w14:textId="77777777">
        <w:trPr>
          <w:cantSplit/>
        </w:trPr>
        <w:tc>
          <w:tcPr>
            <w:tcW w:w="9026" w:type="dxa"/>
            <w:tcBorders>
              <w:top w:val="single" w:sz="12" w:space="0" w:color="BF9000"/>
              <w:left w:val="single" w:sz="12" w:space="0" w:color="BF9000"/>
              <w:bottom w:val="single" w:sz="12" w:space="0" w:color="BF9000"/>
              <w:right w:val="single" w:sz="12" w:space="0" w:color="BF9000"/>
            </w:tcBorders>
            <w:shd w:val="clear" w:color="auto" w:fill="FFF2CC"/>
            <w:tcMar>
              <w:top w:w="120" w:type="dxa"/>
              <w:left w:w="160" w:type="dxa"/>
              <w:bottom w:w="120" w:type="dxa"/>
              <w:right w:w="160" w:type="dxa"/>
            </w:tcMar>
          </w:tcPr>
          <w:p w14:paraId="76DFC5D0" w14:textId="77777777" w:rsidR="001C0CEA" w:rsidRDefault="00000000">
            <w:pPr>
              <w:spacing w:after="80"/>
            </w:pPr>
            <w:r>
              <w:rPr>
                <w:b/>
                <w:bCs/>
                <w:color w:val="7F6000"/>
              </w:rPr>
              <w:t>Claves para el examen</w:t>
            </w:r>
          </w:p>
          <w:p w14:paraId="01B4B2CE" w14:textId="77777777" w:rsidR="001C0CEA" w:rsidRDefault="00000000">
            <w:pPr>
              <w:pStyle w:val="Prrafodelista"/>
              <w:numPr>
                <w:ilvl w:val="0"/>
                <w:numId w:val="2"/>
              </w:numPr>
              <w:spacing w:after="40"/>
            </w:pPr>
            <w:r>
              <w:rPr>
                <w:sz w:val="20"/>
                <w:szCs w:val="20"/>
              </w:rPr>
              <w:t>Código de retorno 0 = ejecución correcta (convenio habitual).</w:t>
            </w:r>
          </w:p>
          <w:p w14:paraId="0C3C2E3B" w14:textId="77777777" w:rsidR="001C0CEA" w:rsidRDefault="00000000">
            <w:pPr>
              <w:pStyle w:val="Prrafodelista"/>
              <w:numPr>
                <w:ilvl w:val="0"/>
                <w:numId w:val="2"/>
              </w:numPr>
              <w:spacing w:after="40"/>
            </w:pPr>
            <w:r>
              <w:rPr>
                <w:sz w:val="20"/>
                <w:szCs w:val="20"/>
              </w:rPr>
              <w:t>Reejecución (desde el inicio) ≠ rearranque desde checkpoint.</w:t>
            </w:r>
          </w:p>
          <w:p w14:paraId="7BC6330C" w14:textId="77777777" w:rsidR="001C0CEA" w:rsidRDefault="00000000">
            <w:pPr>
              <w:pStyle w:val="Prrafodelista"/>
              <w:numPr>
                <w:ilvl w:val="0"/>
                <w:numId w:val="2"/>
              </w:numPr>
              <w:spacing w:after="40"/>
            </w:pPr>
            <w:r>
              <w:rPr>
                <w:sz w:val="20"/>
                <w:szCs w:val="20"/>
              </w:rPr>
              <w:t>Trazabilidad = logs + auditoría + cambios aprobados + versionado + sincronización horaria.</w:t>
            </w:r>
          </w:p>
        </w:tc>
      </w:tr>
    </w:tbl>
    <w:p w14:paraId="2FD01F7B" w14:textId="77777777" w:rsidR="001C0CEA" w:rsidRDefault="001C0CEA">
      <w:pPr>
        <w:spacing w:after="120"/>
      </w:pPr>
    </w:p>
    <w:p w14:paraId="5E546DB3" w14:textId="77777777" w:rsidR="001C0CEA" w:rsidRDefault="00000000">
      <w:pPr>
        <w:pStyle w:val="Ttulo1"/>
        <w:pageBreakBefore/>
      </w:pPr>
      <w:bookmarkStart w:id="89" w:name="_Toc241337970"/>
      <w:r>
        <w:lastRenderedPageBreak/>
        <w:t>21. Gestión de cambios en producción</w:t>
      </w:r>
      <w:bookmarkEnd w:id="89"/>
    </w:p>
    <w:p w14:paraId="680158D2" w14:textId="77777777" w:rsidR="001C0CEA" w:rsidRDefault="00000000">
      <w:pPr>
        <w:spacing w:after="120"/>
        <w:jc w:val="both"/>
      </w:pPr>
      <w:r>
        <w:t xml:space="preserve">Un </w:t>
      </w:r>
      <w:r>
        <w:rPr>
          <w:b/>
          <w:bCs/>
        </w:rPr>
        <w:t>cambio</w:t>
      </w:r>
      <w:r>
        <w:t xml:space="preserve"> es la adición, modificación o eliminación de cualquier elemento que pueda afectar a los servicios. En ITIL 4 la práctica se denomina </w:t>
      </w:r>
      <w:r>
        <w:rPr>
          <w:b/>
          <w:bCs/>
        </w:rPr>
        <w:t>habilitación del cambio</w:t>
      </w:r>
      <w:r>
        <w:t xml:space="preserve"> (</w:t>
      </w:r>
      <w:r>
        <w:rPr>
          <w:i/>
          <w:iCs/>
        </w:rPr>
        <w:t>change enablement</w:t>
      </w:r>
      <w:r>
        <w:t>); su objetivo es maximizar el número de cambios exitosos evaluando riesgos, autorizándolos y gestionando su calendario.</w:t>
      </w:r>
    </w:p>
    <w:p w14:paraId="16B9669B" w14:textId="77777777" w:rsidR="001C0CEA" w:rsidRDefault="00000000">
      <w:pPr>
        <w:pStyle w:val="Ttulo2"/>
      </w:pPr>
      <w:bookmarkStart w:id="90" w:name="_Toc241337971"/>
      <w:r>
        <w:t>21.1. Tipos de cambio</w:t>
      </w:r>
      <w:bookmarkEnd w:id="9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4800"/>
        <w:gridCol w:w="2626"/>
      </w:tblGrid>
      <w:tr w:rsidR="001C0CEA" w14:paraId="7DCCCADB" w14:textId="77777777">
        <w:trPr>
          <w:tblHeader/>
        </w:trPr>
        <w:tc>
          <w:tcPr>
            <w:tcW w:w="16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61A1F484" w14:textId="77777777" w:rsidR="001C0CEA" w:rsidRDefault="00000000">
            <w:r>
              <w:rPr>
                <w:b/>
                <w:bCs/>
                <w:color w:val="FFFFFF"/>
                <w:sz w:val="19"/>
                <w:szCs w:val="19"/>
              </w:rPr>
              <w:t>Tipo</w:t>
            </w:r>
          </w:p>
        </w:tc>
        <w:tc>
          <w:tcPr>
            <w:tcW w:w="48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1D2E4C3D" w14:textId="77777777" w:rsidR="001C0CEA" w:rsidRDefault="00000000">
            <w:r>
              <w:rPr>
                <w:b/>
                <w:bCs/>
                <w:color w:val="FFFFFF"/>
                <w:sz w:val="19"/>
                <w:szCs w:val="19"/>
              </w:rPr>
              <w:t>Características</w:t>
            </w:r>
          </w:p>
        </w:tc>
        <w:tc>
          <w:tcPr>
            <w:tcW w:w="2626"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142F834D" w14:textId="77777777" w:rsidR="001C0CEA" w:rsidRDefault="00000000">
            <w:r>
              <w:rPr>
                <w:b/>
                <w:bCs/>
                <w:color w:val="FFFFFF"/>
                <w:sz w:val="19"/>
                <w:szCs w:val="19"/>
              </w:rPr>
              <w:t>Ejemplo</w:t>
            </w:r>
          </w:p>
        </w:tc>
      </w:tr>
      <w:tr w:rsidR="001C0CEA" w14:paraId="5A092A48" w14:textId="77777777">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48F2201" w14:textId="77777777" w:rsidR="001C0CEA" w:rsidRDefault="00000000">
            <w:r>
              <w:rPr>
                <w:sz w:val="19"/>
                <w:szCs w:val="19"/>
              </w:rPr>
              <w:t>Estándar</w:t>
            </w:r>
          </w:p>
        </w:tc>
        <w:tc>
          <w:tcPr>
            <w:tcW w:w="4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218504F" w14:textId="77777777" w:rsidR="001C0CEA" w:rsidRDefault="00000000">
            <w:r>
              <w:rPr>
                <w:sz w:val="19"/>
                <w:szCs w:val="19"/>
              </w:rPr>
              <w:t xml:space="preserve">Bajo riesgo, procedimiento conocido, </w:t>
            </w:r>
            <w:r>
              <w:rPr>
                <w:b/>
                <w:bCs/>
                <w:sz w:val="19"/>
                <w:szCs w:val="19"/>
              </w:rPr>
              <w:t>preautorizado</w:t>
            </w:r>
          </w:p>
        </w:tc>
        <w:tc>
          <w:tcPr>
            <w:tcW w:w="26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9CDDFA3" w14:textId="77777777" w:rsidR="001C0CEA" w:rsidRDefault="00000000">
            <w:r>
              <w:rPr>
                <w:sz w:val="19"/>
                <w:szCs w:val="19"/>
              </w:rPr>
              <w:t>Ampliar espacio de un volumen, alta de usuario</w:t>
            </w:r>
          </w:p>
        </w:tc>
      </w:tr>
      <w:tr w:rsidR="001C0CEA" w14:paraId="7D10B1AC" w14:textId="77777777">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CA80398" w14:textId="77777777" w:rsidR="001C0CEA" w:rsidRDefault="00000000">
            <w:r>
              <w:rPr>
                <w:sz w:val="19"/>
                <w:szCs w:val="19"/>
              </w:rPr>
              <w:t>Normal</w:t>
            </w:r>
          </w:p>
        </w:tc>
        <w:tc>
          <w:tcPr>
            <w:tcW w:w="4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49EA63A" w14:textId="77777777" w:rsidR="001C0CEA" w:rsidRDefault="00000000">
            <w:r>
              <w:rPr>
                <w:sz w:val="19"/>
                <w:szCs w:val="19"/>
              </w:rPr>
              <w:t>Requiere evaluación y autorización según riesgo (en su caso, por un comité CAB)</w:t>
            </w:r>
          </w:p>
        </w:tc>
        <w:tc>
          <w:tcPr>
            <w:tcW w:w="26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55BC7E7" w14:textId="77777777" w:rsidR="001C0CEA" w:rsidRDefault="00000000">
            <w:r>
              <w:rPr>
                <w:sz w:val="19"/>
                <w:szCs w:val="19"/>
              </w:rPr>
              <w:t>Actualización de versión de una aplicación</w:t>
            </w:r>
          </w:p>
        </w:tc>
      </w:tr>
      <w:tr w:rsidR="001C0CEA" w14:paraId="57EC60BB" w14:textId="77777777">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47CFBA4" w14:textId="77777777" w:rsidR="001C0CEA" w:rsidRDefault="00000000">
            <w:r>
              <w:rPr>
                <w:sz w:val="19"/>
                <w:szCs w:val="19"/>
              </w:rPr>
              <w:t>De emergencia</w:t>
            </w:r>
          </w:p>
        </w:tc>
        <w:tc>
          <w:tcPr>
            <w:tcW w:w="4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9CE6246" w14:textId="77777777" w:rsidR="001C0CEA" w:rsidRDefault="00000000">
            <w:r>
              <w:rPr>
                <w:sz w:val="19"/>
                <w:szCs w:val="19"/>
              </w:rPr>
              <w:t>Debe implantarse lo antes posible (resolver incidencia grave o vulnerabilidad crítica); autorización abreviada (ECAB) y documentación posterior</w:t>
            </w:r>
          </w:p>
        </w:tc>
        <w:tc>
          <w:tcPr>
            <w:tcW w:w="26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D9CEAE7" w14:textId="77777777" w:rsidR="001C0CEA" w:rsidRDefault="00000000">
            <w:r>
              <w:rPr>
                <w:sz w:val="19"/>
                <w:szCs w:val="19"/>
              </w:rPr>
              <w:t>Parche urgente frente a vulnerabilidad explotada</w:t>
            </w:r>
          </w:p>
        </w:tc>
      </w:tr>
    </w:tbl>
    <w:p w14:paraId="2247C458" w14:textId="77777777" w:rsidR="001C0CEA" w:rsidRDefault="001C0CEA">
      <w:pPr>
        <w:spacing w:after="120"/>
      </w:pPr>
    </w:p>
    <w:p w14:paraId="364438B7" w14:textId="77777777" w:rsidR="001C0CEA" w:rsidRDefault="00000000">
      <w:pPr>
        <w:pStyle w:val="Ttulo2"/>
      </w:pPr>
      <w:bookmarkStart w:id="91" w:name="_Toc241337972"/>
      <w:r>
        <w:t>21.2. Proceso</w:t>
      </w:r>
      <w:bookmarkEnd w:id="91"/>
    </w:p>
    <w:p w14:paraId="724088AA" w14:textId="77777777" w:rsidR="001C0CEA" w:rsidRDefault="00000000">
      <w:pPr>
        <w:pStyle w:val="Prrafodelista"/>
        <w:numPr>
          <w:ilvl w:val="0"/>
          <w:numId w:val="4"/>
        </w:numPr>
        <w:spacing w:after="60"/>
      </w:pPr>
      <w:r>
        <w:rPr>
          <w:b/>
          <w:bCs/>
        </w:rPr>
        <w:t>Petición de cambio (RFC):</w:t>
      </w:r>
      <w:r>
        <w:t xml:space="preserve"> descripción, justificación, elementos afectados, urgencia.</w:t>
      </w:r>
    </w:p>
    <w:p w14:paraId="30C7C6D6" w14:textId="77777777" w:rsidR="001C0CEA" w:rsidRDefault="00000000">
      <w:pPr>
        <w:pStyle w:val="Prrafodelista"/>
        <w:numPr>
          <w:ilvl w:val="0"/>
          <w:numId w:val="4"/>
        </w:numPr>
        <w:spacing w:after="60"/>
      </w:pPr>
      <w:r>
        <w:rPr>
          <w:b/>
          <w:bCs/>
        </w:rPr>
        <w:t>Evaluación:</w:t>
      </w:r>
      <w:r>
        <w:t xml:space="preserve"> impacto, riesgo, recursos, dependencias con otros cambios, relación con la CMDB.</w:t>
      </w:r>
    </w:p>
    <w:p w14:paraId="7B23DAED" w14:textId="77777777" w:rsidR="001C0CEA" w:rsidRDefault="00000000">
      <w:pPr>
        <w:pStyle w:val="Prrafodelista"/>
        <w:numPr>
          <w:ilvl w:val="0"/>
          <w:numId w:val="4"/>
        </w:numPr>
        <w:spacing w:after="60"/>
      </w:pPr>
      <w:r>
        <w:rPr>
          <w:b/>
          <w:bCs/>
        </w:rPr>
        <w:t>Autorización:</w:t>
      </w:r>
      <w:r>
        <w:t xml:space="preserve"> por la autoridad de cambio correspondiente (CAB para cambios normales relevantes).</w:t>
      </w:r>
    </w:p>
    <w:p w14:paraId="2992B879" w14:textId="77777777" w:rsidR="001C0CEA" w:rsidRDefault="00000000">
      <w:pPr>
        <w:pStyle w:val="Prrafodelista"/>
        <w:numPr>
          <w:ilvl w:val="0"/>
          <w:numId w:val="4"/>
        </w:numPr>
        <w:spacing w:after="60"/>
      </w:pPr>
      <w:r>
        <w:rPr>
          <w:b/>
          <w:bCs/>
        </w:rPr>
        <w:t>Planificación:</w:t>
      </w:r>
      <w:r>
        <w:t xml:space="preserve"> calendario de cambios, coordinación y comunicación a usuarios y centros.</w:t>
      </w:r>
    </w:p>
    <w:p w14:paraId="7CBBD5E4" w14:textId="77777777" w:rsidR="001C0CEA" w:rsidRDefault="00000000">
      <w:pPr>
        <w:pStyle w:val="Prrafodelista"/>
        <w:numPr>
          <w:ilvl w:val="0"/>
          <w:numId w:val="4"/>
        </w:numPr>
        <w:spacing w:after="60"/>
      </w:pPr>
      <w:r>
        <w:rPr>
          <w:b/>
          <w:bCs/>
        </w:rPr>
        <w:t>Pruebas</w:t>
      </w:r>
      <w:r>
        <w:t xml:space="preserve"> en preproducción; preparación del </w:t>
      </w:r>
      <w:r>
        <w:rPr>
          <w:b/>
          <w:bCs/>
        </w:rPr>
        <w:t>plan de reversión</w:t>
      </w:r>
      <w:r>
        <w:t xml:space="preserve"> (</w:t>
      </w:r>
      <w:r>
        <w:rPr>
          <w:i/>
          <w:iCs/>
        </w:rPr>
        <w:t>rollback</w:t>
      </w:r>
      <w:r>
        <w:t>/</w:t>
      </w:r>
      <w:r>
        <w:rPr>
          <w:i/>
          <w:iCs/>
        </w:rPr>
        <w:t>back-out</w:t>
      </w:r>
      <w:r>
        <w:t>).</w:t>
      </w:r>
    </w:p>
    <w:p w14:paraId="4D098729" w14:textId="77777777" w:rsidR="001C0CEA" w:rsidRDefault="00000000">
      <w:pPr>
        <w:pStyle w:val="Prrafodelista"/>
        <w:numPr>
          <w:ilvl w:val="0"/>
          <w:numId w:val="4"/>
        </w:numPr>
        <w:spacing w:after="60"/>
      </w:pPr>
      <w:r>
        <w:rPr>
          <w:b/>
          <w:bCs/>
        </w:rPr>
        <w:t>Ventana de cambio:</w:t>
      </w:r>
      <w:r>
        <w:t xml:space="preserve"> franja acordada de menor impacto (en el SAS se comunican como «intervenciones programadas» a través de ayudaDIGITAL).</w:t>
      </w:r>
    </w:p>
    <w:p w14:paraId="01930923" w14:textId="77777777" w:rsidR="001C0CEA" w:rsidRDefault="00000000">
      <w:pPr>
        <w:pStyle w:val="Prrafodelista"/>
        <w:numPr>
          <w:ilvl w:val="0"/>
          <w:numId w:val="4"/>
        </w:numPr>
        <w:spacing w:after="60"/>
      </w:pPr>
      <w:r>
        <w:rPr>
          <w:b/>
          <w:bCs/>
        </w:rPr>
        <w:t>Ejecución</w:t>
      </w:r>
      <w:r>
        <w:t xml:space="preserve"> según procedimiento.</w:t>
      </w:r>
    </w:p>
    <w:p w14:paraId="00D24402" w14:textId="77777777" w:rsidR="001C0CEA" w:rsidRDefault="00000000">
      <w:pPr>
        <w:pStyle w:val="Prrafodelista"/>
        <w:numPr>
          <w:ilvl w:val="0"/>
          <w:numId w:val="4"/>
        </w:numPr>
        <w:spacing w:after="60"/>
      </w:pPr>
      <w:r>
        <w:rPr>
          <w:b/>
          <w:bCs/>
        </w:rPr>
        <w:t>Verificación</w:t>
      </w:r>
      <w:r>
        <w:t xml:space="preserve"> técnica y funcional; si falla, se aplica la reversión.</w:t>
      </w:r>
    </w:p>
    <w:p w14:paraId="1D87AE5D" w14:textId="77777777" w:rsidR="001C0CEA" w:rsidRDefault="00000000">
      <w:pPr>
        <w:pStyle w:val="Prrafodelista"/>
        <w:numPr>
          <w:ilvl w:val="0"/>
          <w:numId w:val="4"/>
        </w:numPr>
        <w:spacing w:after="60"/>
      </w:pPr>
      <w:r>
        <w:rPr>
          <w:b/>
          <w:bCs/>
        </w:rPr>
        <w:t>Documentación</w:t>
      </w:r>
      <w:r>
        <w:t xml:space="preserve"> y actualización de la CMDB.</w:t>
      </w:r>
    </w:p>
    <w:p w14:paraId="7938D625" w14:textId="77777777" w:rsidR="001C0CEA" w:rsidRDefault="00000000">
      <w:pPr>
        <w:pStyle w:val="Prrafodelista"/>
        <w:numPr>
          <w:ilvl w:val="0"/>
          <w:numId w:val="4"/>
        </w:numPr>
        <w:spacing w:after="60"/>
      </w:pPr>
      <w:r>
        <w:rPr>
          <w:b/>
          <w:bCs/>
        </w:rPr>
        <w:t>Cierre</w:t>
      </w:r>
      <w:r>
        <w:t xml:space="preserve"> y revisión post-implantación (PIR).</w:t>
      </w:r>
    </w:p>
    <w:p w14:paraId="147C4F61" w14:textId="77777777" w:rsidR="001C0CEA" w:rsidRDefault="00000000">
      <w:pPr>
        <w:pStyle w:val="Ttulo2"/>
      </w:pPr>
      <w:bookmarkStart w:id="92" w:name="_Toc241337973"/>
      <w:r>
        <w:t>21.3. Cambio, incidencia, problema y petición</w:t>
      </w:r>
      <w:bookmarkEnd w:id="9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800"/>
        <w:gridCol w:w="2400"/>
        <w:gridCol w:w="2226"/>
      </w:tblGrid>
      <w:tr w:rsidR="001C0CEA" w14:paraId="3386B8C9" w14:textId="77777777">
        <w:trPr>
          <w:tblHeader/>
        </w:trPr>
        <w:tc>
          <w:tcPr>
            <w:tcW w:w="16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7FFDF6C1" w14:textId="77777777" w:rsidR="001C0CEA" w:rsidRDefault="00000000">
            <w:r>
              <w:rPr>
                <w:b/>
                <w:bCs/>
                <w:color w:val="FFFFFF"/>
                <w:sz w:val="19"/>
                <w:szCs w:val="19"/>
              </w:rPr>
              <w:t>Concepto</w:t>
            </w:r>
          </w:p>
        </w:tc>
        <w:tc>
          <w:tcPr>
            <w:tcW w:w="28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4CF044FF" w14:textId="77777777" w:rsidR="001C0CEA" w:rsidRDefault="00000000">
            <w:r>
              <w:rPr>
                <w:b/>
                <w:bCs/>
                <w:color w:val="FFFFFF"/>
                <w:sz w:val="19"/>
                <w:szCs w:val="19"/>
              </w:rPr>
              <w:t>Definición</w:t>
            </w:r>
          </w:p>
        </w:tc>
        <w:tc>
          <w:tcPr>
            <w:tcW w:w="24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3893C048" w14:textId="77777777" w:rsidR="001C0CEA" w:rsidRDefault="00000000">
            <w:r>
              <w:rPr>
                <w:b/>
                <w:bCs/>
                <w:color w:val="FFFFFF"/>
                <w:sz w:val="19"/>
                <w:szCs w:val="19"/>
              </w:rPr>
              <w:t>Objetivo</w:t>
            </w:r>
          </w:p>
        </w:tc>
        <w:tc>
          <w:tcPr>
            <w:tcW w:w="2226"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1744553D" w14:textId="77777777" w:rsidR="001C0CEA" w:rsidRDefault="00000000">
            <w:r>
              <w:rPr>
                <w:b/>
                <w:bCs/>
                <w:color w:val="FFFFFF"/>
                <w:sz w:val="19"/>
                <w:szCs w:val="19"/>
              </w:rPr>
              <w:t>Ejemplo</w:t>
            </w:r>
          </w:p>
        </w:tc>
      </w:tr>
      <w:tr w:rsidR="001C0CEA" w14:paraId="73431DCB" w14:textId="77777777">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26BD6A1" w14:textId="77777777" w:rsidR="001C0CEA" w:rsidRDefault="00000000">
            <w:r>
              <w:rPr>
                <w:sz w:val="19"/>
                <w:szCs w:val="19"/>
              </w:rPr>
              <w:t>Incidencia</w:t>
            </w:r>
          </w:p>
        </w:tc>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E15AFA4" w14:textId="77777777" w:rsidR="001C0CEA" w:rsidRDefault="00000000">
            <w:r>
              <w:rPr>
                <w:sz w:val="19"/>
                <w:szCs w:val="19"/>
              </w:rPr>
              <w:t>Interrupción no planificada o degradación de un servicio</w:t>
            </w:r>
          </w:p>
        </w:tc>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0FFCF30" w14:textId="77777777" w:rsidR="001C0CEA" w:rsidRDefault="00000000">
            <w:r>
              <w:rPr>
                <w:sz w:val="19"/>
                <w:szCs w:val="19"/>
              </w:rPr>
              <w:t>Restaurar el servicio cuanto antes</w:t>
            </w:r>
          </w:p>
        </w:tc>
        <w:tc>
          <w:tcPr>
            <w:tcW w:w="22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0BC4F83" w14:textId="77777777" w:rsidR="001C0CEA" w:rsidRDefault="00000000">
            <w:r>
              <w:rPr>
                <w:sz w:val="19"/>
                <w:szCs w:val="19"/>
              </w:rPr>
              <w:t>No funciona la impresión de recetas en un centro</w:t>
            </w:r>
          </w:p>
        </w:tc>
      </w:tr>
      <w:tr w:rsidR="001C0CEA" w14:paraId="0B031D81" w14:textId="77777777">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0DAE057" w14:textId="77777777" w:rsidR="001C0CEA" w:rsidRDefault="00000000">
            <w:r>
              <w:rPr>
                <w:sz w:val="19"/>
                <w:szCs w:val="19"/>
              </w:rPr>
              <w:t>Problema</w:t>
            </w:r>
          </w:p>
        </w:tc>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7DD6384" w14:textId="77777777" w:rsidR="001C0CEA" w:rsidRDefault="00000000">
            <w:r>
              <w:rPr>
                <w:sz w:val="19"/>
                <w:szCs w:val="19"/>
              </w:rPr>
              <w:t>Causa, real o potencial, de una o varias incidencias</w:t>
            </w:r>
          </w:p>
        </w:tc>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33F86D0" w14:textId="77777777" w:rsidR="001C0CEA" w:rsidRDefault="00000000">
            <w:r>
              <w:rPr>
                <w:sz w:val="19"/>
                <w:szCs w:val="19"/>
              </w:rPr>
              <w:t>Encontrar la causa raíz y eliminarla (error conocido, solución temporal)</w:t>
            </w:r>
          </w:p>
        </w:tc>
        <w:tc>
          <w:tcPr>
            <w:tcW w:w="22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7239474" w14:textId="77777777" w:rsidR="001C0CEA" w:rsidRDefault="00000000">
            <w:r>
              <w:rPr>
                <w:sz w:val="19"/>
                <w:szCs w:val="19"/>
              </w:rPr>
              <w:t>Las caídas repetidas se deben a un fallo de firmware</w:t>
            </w:r>
          </w:p>
        </w:tc>
      </w:tr>
      <w:tr w:rsidR="001C0CEA" w14:paraId="681C3D83" w14:textId="77777777">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18F9EE7" w14:textId="77777777" w:rsidR="001C0CEA" w:rsidRDefault="00000000">
            <w:r>
              <w:rPr>
                <w:sz w:val="19"/>
                <w:szCs w:val="19"/>
              </w:rPr>
              <w:t>Cambio</w:t>
            </w:r>
          </w:p>
        </w:tc>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DCFD0DE" w14:textId="77777777" w:rsidR="001C0CEA" w:rsidRDefault="00000000">
            <w:r>
              <w:rPr>
                <w:sz w:val="19"/>
                <w:szCs w:val="19"/>
              </w:rPr>
              <w:t>Modificación de un elemento que puede afectar al servicio</w:t>
            </w:r>
          </w:p>
        </w:tc>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88CC365" w14:textId="77777777" w:rsidR="001C0CEA" w:rsidRDefault="00000000">
            <w:r>
              <w:rPr>
                <w:sz w:val="19"/>
                <w:szCs w:val="19"/>
              </w:rPr>
              <w:t>Implantar la modificación controlando el riesgo</w:t>
            </w:r>
          </w:p>
        </w:tc>
        <w:tc>
          <w:tcPr>
            <w:tcW w:w="22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B30BF01" w14:textId="77777777" w:rsidR="001C0CEA" w:rsidRDefault="00000000">
            <w:r>
              <w:rPr>
                <w:sz w:val="19"/>
                <w:szCs w:val="19"/>
              </w:rPr>
              <w:t>Actualizar el firmware</w:t>
            </w:r>
          </w:p>
        </w:tc>
      </w:tr>
      <w:tr w:rsidR="001C0CEA" w14:paraId="78E88634" w14:textId="77777777">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E70B49E" w14:textId="77777777" w:rsidR="001C0CEA" w:rsidRDefault="00000000">
            <w:r>
              <w:rPr>
                <w:sz w:val="19"/>
                <w:szCs w:val="19"/>
              </w:rPr>
              <w:t>Petición de servicio</w:t>
            </w:r>
          </w:p>
        </w:tc>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4CDC5B2" w14:textId="77777777" w:rsidR="001C0CEA" w:rsidRDefault="00000000">
            <w:r>
              <w:rPr>
                <w:sz w:val="19"/>
                <w:szCs w:val="19"/>
              </w:rPr>
              <w:t>Solicitud del usuario de algo estándar ya previsto</w:t>
            </w:r>
          </w:p>
        </w:tc>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52635A0" w14:textId="77777777" w:rsidR="001C0CEA" w:rsidRDefault="00000000">
            <w:r>
              <w:rPr>
                <w:sz w:val="19"/>
                <w:szCs w:val="19"/>
              </w:rPr>
              <w:t>Atenderla según catálogo</w:t>
            </w:r>
          </w:p>
        </w:tc>
        <w:tc>
          <w:tcPr>
            <w:tcW w:w="22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5E40D8B" w14:textId="77777777" w:rsidR="001C0CEA" w:rsidRDefault="00000000">
            <w:r>
              <w:rPr>
                <w:sz w:val="19"/>
                <w:szCs w:val="19"/>
              </w:rPr>
              <w:t>Alta en un módulo, nuevo equipo, restablecer contraseña</w:t>
            </w:r>
          </w:p>
        </w:tc>
      </w:tr>
    </w:tbl>
    <w:p w14:paraId="0B716AA3" w14:textId="77777777" w:rsidR="001C0CEA" w:rsidRDefault="001C0CEA">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C0CEA" w14:paraId="4BEB0397" w14:textId="77777777">
        <w:trPr>
          <w:cantSplit/>
        </w:trPr>
        <w:tc>
          <w:tcPr>
            <w:tcW w:w="9026" w:type="dxa"/>
            <w:tcBorders>
              <w:top w:val="single" w:sz="12" w:space="0" w:color="548235"/>
              <w:left w:val="single" w:sz="12" w:space="0" w:color="548235"/>
              <w:bottom w:val="single" w:sz="12" w:space="0" w:color="548235"/>
              <w:right w:val="single" w:sz="12" w:space="0" w:color="548235"/>
            </w:tcBorders>
            <w:shd w:val="clear" w:color="auto" w:fill="E2EFD9"/>
            <w:tcMar>
              <w:top w:w="120" w:type="dxa"/>
              <w:left w:w="160" w:type="dxa"/>
              <w:bottom w:w="120" w:type="dxa"/>
              <w:right w:w="160" w:type="dxa"/>
            </w:tcMar>
          </w:tcPr>
          <w:p w14:paraId="19149881" w14:textId="77777777" w:rsidR="001C0CEA" w:rsidRDefault="00000000">
            <w:pPr>
              <w:spacing w:after="80"/>
            </w:pPr>
            <w:r>
              <w:rPr>
                <w:b/>
                <w:bCs/>
                <w:color w:val="548235"/>
              </w:rPr>
              <w:lastRenderedPageBreak/>
              <w:t>Caso práctico: cambio en producción</w:t>
            </w:r>
          </w:p>
          <w:p w14:paraId="462B4390" w14:textId="77777777" w:rsidR="001C0CEA" w:rsidRDefault="00000000">
            <w:pPr>
              <w:pStyle w:val="Prrafodelista"/>
              <w:numPr>
                <w:ilvl w:val="0"/>
                <w:numId w:val="2"/>
              </w:numPr>
              <w:spacing w:after="40"/>
            </w:pPr>
            <w:r>
              <w:rPr>
                <w:sz w:val="20"/>
                <w:szCs w:val="20"/>
              </w:rPr>
              <w:t>RFC: actualizar el sistema operativo de los servidores de aplicación de citación. Evaluación: riesgo medio; servicio crítico.</w:t>
            </w:r>
          </w:p>
          <w:p w14:paraId="04CBB5B8" w14:textId="77777777" w:rsidR="001C0CEA" w:rsidRDefault="00000000">
            <w:pPr>
              <w:pStyle w:val="Prrafodelista"/>
              <w:numPr>
                <w:ilvl w:val="0"/>
                <w:numId w:val="2"/>
              </w:numPr>
              <w:spacing w:after="40"/>
            </w:pPr>
            <w:r>
              <w:rPr>
                <w:sz w:val="20"/>
                <w:szCs w:val="20"/>
              </w:rPr>
              <w:t>Autorización por el CAB; ventana: domingo 06:00–08:00; comunicación previa a los centros.</w:t>
            </w:r>
          </w:p>
          <w:p w14:paraId="1607157C" w14:textId="77777777" w:rsidR="001C0CEA" w:rsidRDefault="00000000">
            <w:pPr>
              <w:pStyle w:val="Prrafodelista"/>
              <w:numPr>
                <w:ilvl w:val="0"/>
                <w:numId w:val="2"/>
              </w:numPr>
              <w:spacing w:after="40"/>
            </w:pPr>
            <w:r>
              <w:rPr>
                <w:sz w:val="20"/>
                <w:szCs w:val="20"/>
              </w:rPr>
              <w:t>Pruebas previas en preproducción; plan de reversión: snapshot de las VM y procedimiento de vuelta atrás.</w:t>
            </w:r>
          </w:p>
          <w:p w14:paraId="28CFEE05" w14:textId="77777777" w:rsidR="001C0CEA" w:rsidRDefault="00000000">
            <w:pPr>
              <w:pStyle w:val="Prrafodelista"/>
              <w:numPr>
                <w:ilvl w:val="0"/>
                <w:numId w:val="2"/>
              </w:numPr>
              <w:spacing w:after="40"/>
            </w:pPr>
            <w:r>
              <w:rPr>
                <w:sz w:val="20"/>
                <w:szCs w:val="20"/>
              </w:rPr>
              <w:t>Ejecución nodo a nodo, retirándolos del balanceador para no cortar el servicio; verificación funcional; cierre y actualización de la CMDB.</w:t>
            </w:r>
          </w:p>
        </w:tc>
      </w:tr>
    </w:tbl>
    <w:p w14:paraId="11F5A687" w14:textId="77777777" w:rsidR="001C0CEA" w:rsidRDefault="001C0CEA">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C0CEA" w14:paraId="2CBB36C9" w14:textId="77777777">
        <w:trPr>
          <w:cantSplit/>
        </w:trPr>
        <w:tc>
          <w:tcPr>
            <w:tcW w:w="9026" w:type="dxa"/>
            <w:tcBorders>
              <w:top w:val="single" w:sz="12" w:space="0" w:color="BF9000"/>
              <w:left w:val="single" w:sz="12" w:space="0" w:color="BF9000"/>
              <w:bottom w:val="single" w:sz="12" w:space="0" w:color="BF9000"/>
              <w:right w:val="single" w:sz="12" w:space="0" w:color="BF9000"/>
            </w:tcBorders>
            <w:shd w:val="clear" w:color="auto" w:fill="FFF2CC"/>
            <w:tcMar>
              <w:top w:w="120" w:type="dxa"/>
              <w:left w:w="160" w:type="dxa"/>
              <w:bottom w:w="120" w:type="dxa"/>
              <w:right w:w="160" w:type="dxa"/>
            </w:tcMar>
          </w:tcPr>
          <w:p w14:paraId="18024763" w14:textId="77777777" w:rsidR="001C0CEA" w:rsidRDefault="00000000">
            <w:pPr>
              <w:spacing w:after="80"/>
            </w:pPr>
            <w:r>
              <w:rPr>
                <w:b/>
                <w:bCs/>
                <w:color w:val="7F6000"/>
              </w:rPr>
              <w:t>Claves para el examen</w:t>
            </w:r>
          </w:p>
          <w:p w14:paraId="2A79593D" w14:textId="77777777" w:rsidR="001C0CEA" w:rsidRDefault="00000000">
            <w:pPr>
              <w:pStyle w:val="Prrafodelista"/>
              <w:numPr>
                <w:ilvl w:val="0"/>
                <w:numId w:val="2"/>
              </w:numPr>
              <w:spacing w:after="40"/>
            </w:pPr>
            <w:r>
              <w:rPr>
                <w:sz w:val="20"/>
                <w:szCs w:val="20"/>
              </w:rPr>
              <w:t>Estándar = preautorizado; emergencia = urgente con ECAB.</w:t>
            </w:r>
          </w:p>
          <w:p w14:paraId="0C613C73" w14:textId="77777777" w:rsidR="001C0CEA" w:rsidRDefault="00000000">
            <w:pPr>
              <w:pStyle w:val="Prrafodelista"/>
              <w:numPr>
                <w:ilvl w:val="0"/>
                <w:numId w:val="2"/>
              </w:numPr>
              <w:spacing w:after="40"/>
            </w:pPr>
            <w:r>
              <w:rPr>
                <w:sz w:val="20"/>
                <w:szCs w:val="20"/>
              </w:rPr>
              <w:t>Todo cambio debe tener plan de reversión y verificación.</w:t>
            </w:r>
          </w:p>
          <w:p w14:paraId="0958BF9A" w14:textId="77777777" w:rsidR="001C0CEA" w:rsidRDefault="00000000">
            <w:pPr>
              <w:pStyle w:val="Prrafodelista"/>
              <w:numPr>
                <w:ilvl w:val="0"/>
                <w:numId w:val="2"/>
              </w:numPr>
              <w:spacing w:after="40"/>
            </w:pPr>
            <w:r>
              <w:rPr>
                <w:sz w:val="20"/>
                <w:szCs w:val="20"/>
              </w:rPr>
              <w:t>Incidencia → restaurar; problema → causa raíz; cambio → modificar; petición → servicio estándar.</w:t>
            </w:r>
          </w:p>
        </w:tc>
      </w:tr>
    </w:tbl>
    <w:p w14:paraId="25318D92" w14:textId="77777777" w:rsidR="001C0CEA" w:rsidRDefault="001C0CEA">
      <w:pPr>
        <w:spacing w:after="120"/>
      </w:pPr>
    </w:p>
    <w:p w14:paraId="7910D7A1" w14:textId="77777777" w:rsidR="001C0CEA" w:rsidRDefault="00000000">
      <w:pPr>
        <w:pStyle w:val="Ttulo1"/>
        <w:pageBreakBefore/>
      </w:pPr>
      <w:bookmarkStart w:id="93" w:name="_Toc241337974"/>
      <w:r>
        <w:lastRenderedPageBreak/>
        <w:t>22. Gestión de incidencias, operación y niveles de servicio</w:t>
      </w:r>
      <w:bookmarkEnd w:id="93"/>
    </w:p>
    <w:p w14:paraId="162D212B" w14:textId="77777777" w:rsidR="001C0CEA" w:rsidRDefault="00000000">
      <w:pPr>
        <w:pStyle w:val="Ttulo2"/>
      </w:pPr>
      <w:bookmarkStart w:id="94" w:name="_Toc241337975"/>
      <w:r>
        <w:t>22.1. Ciclo de vida de la incidencia</w:t>
      </w:r>
      <w:bookmarkEnd w:id="94"/>
    </w:p>
    <w:p w14:paraId="5C5E34D4" w14:textId="77777777" w:rsidR="001C0CEA" w:rsidRDefault="00000000">
      <w:pPr>
        <w:pStyle w:val="Prrafodelista"/>
        <w:numPr>
          <w:ilvl w:val="0"/>
          <w:numId w:val="5"/>
        </w:numPr>
        <w:spacing w:after="60"/>
      </w:pPr>
      <w:r>
        <w:rPr>
          <w:b/>
          <w:bCs/>
        </w:rPr>
        <w:t>Detección:</w:t>
      </w:r>
      <w:r>
        <w:t xml:space="preserve"> por monitorización (evento) o por aviso del usuario al centro de servicios.</w:t>
      </w:r>
    </w:p>
    <w:p w14:paraId="251D8A6D" w14:textId="77777777" w:rsidR="001C0CEA" w:rsidRDefault="00000000">
      <w:pPr>
        <w:pStyle w:val="Prrafodelista"/>
        <w:numPr>
          <w:ilvl w:val="0"/>
          <w:numId w:val="5"/>
        </w:numPr>
        <w:spacing w:after="60"/>
      </w:pPr>
      <w:r>
        <w:rPr>
          <w:b/>
          <w:bCs/>
        </w:rPr>
        <w:t>Registro:</w:t>
      </w:r>
      <w:r>
        <w:t xml:space="preserve"> ticket con fecha, usuario, servicio, síntomas.</w:t>
      </w:r>
    </w:p>
    <w:p w14:paraId="7954302A" w14:textId="77777777" w:rsidR="001C0CEA" w:rsidRDefault="00000000">
      <w:pPr>
        <w:pStyle w:val="Prrafodelista"/>
        <w:numPr>
          <w:ilvl w:val="0"/>
          <w:numId w:val="5"/>
        </w:numPr>
        <w:spacing w:after="60"/>
      </w:pPr>
      <w:r>
        <w:rPr>
          <w:b/>
          <w:bCs/>
        </w:rPr>
        <w:t>Clasificación</w:t>
      </w:r>
      <w:r>
        <w:t xml:space="preserve"> (servicio, categoría) y </w:t>
      </w:r>
      <w:r>
        <w:rPr>
          <w:b/>
          <w:bCs/>
        </w:rPr>
        <w:t>priorización:</w:t>
      </w:r>
      <w:r>
        <w:t xml:space="preserve"> prioridad = </w:t>
      </w:r>
      <w:r>
        <w:rPr>
          <w:b/>
          <w:bCs/>
        </w:rPr>
        <w:t>impacto × urgencia</w:t>
      </w:r>
      <w:r>
        <w:t>.</w:t>
      </w:r>
    </w:p>
    <w:p w14:paraId="2DC8C0C8" w14:textId="77777777" w:rsidR="001C0CEA" w:rsidRDefault="00000000">
      <w:pPr>
        <w:pStyle w:val="Prrafodelista"/>
        <w:numPr>
          <w:ilvl w:val="0"/>
          <w:numId w:val="5"/>
        </w:numPr>
        <w:spacing w:after="60"/>
      </w:pPr>
      <w:r>
        <w:rPr>
          <w:b/>
          <w:bCs/>
        </w:rPr>
        <w:t>Diagnóstico inicial</w:t>
      </w:r>
      <w:r>
        <w:t xml:space="preserve"> en primer nivel (base de conocimiento, soluciones conocidas).</w:t>
      </w:r>
    </w:p>
    <w:p w14:paraId="09988683" w14:textId="77777777" w:rsidR="001C0CEA" w:rsidRDefault="00000000">
      <w:pPr>
        <w:pStyle w:val="Prrafodelista"/>
        <w:numPr>
          <w:ilvl w:val="0"/>
          <w:numId w:val="5"/>
        </w:numPr>
        <w:spacing w:after="60"/>
      </w:pPr>
      <w:r>
        <w:rPr>
          <w:b/>
          <w:bCs/>
        </w:rPr>
        <w:t>Escalado:</w:t>
      </w:r>
      <w:r>
        <w:t xml:space="preserve"> </w:t>
      </w:r>
      <w:r>
        <w:rPr>
          <w:b/>
          <w:bCs/>
        </w:rPr>
        <w:t>funcional</w:t>
      </w:r>
      <w:r>
        <w:t xml:space="preserve"> (a un grupo más especializado: 2.º/3.er nivel, fabricante) o </w:t>
      </w:r>
      <w:r>
        <w:rPr>
          <w:b/>
          <w:bCs/>
        </w:rPr>
        <w:t>jerárquico</w:t>
      </w:r>
      <w:r>
        <w:t xml:space="preserve"> (a la dirección cuando el impacto lo exige).</w:t>
      </w:r>
    </w:p>
    <w:p w14:paraId="3B6CF880" w14:textId="77777777" w:rsidR="001C0CEA" w:rsidRDefault="00000000">
      <w:pPr>
        <w:pStyle w:val="Prrafodelista"/>
        <w:numPr>
          <w:ilvl w:val="0"/>
          <w:numId w:val="5"/>
        </w:numPr>
        <w:spacing w:after="60"/>
      </w:pPr>
      <w:r>
        <w:rPr>
          <w:b/>
          <w:bCs/>
        </w:rPr>
        <w:t>Resolución y recuperación</w:t>
      </w:r>
      <w:r>
        <w:t xml:space="preserve"> del servicio (puede ser una solución temporal).</w:t>
      </w:r>
    </w:p>
    <w:p w14:paraId="5E862715" w14:textId="77777777" w:rsidR="001C0CEA" w:rsidRDefault="00000000">
      <w:pPr>
        <w:pStyle w:val="Prrafodelista"/>
        <w:numPr>
          <w:ilvl w:val="0"/>
          <w:numId w:val="5"/>
        </w:numPr>
        <w:spacing w:after="60"/>
      </w:pPr>
      <w:r>
        <w:rPr>
          <w:b/>
          <w:bCs/>
        </w:rPr>
        <w:t>Cierre</w:t>
      </w:r>
      <w:r>
        <w:t xml:space="preserve"> con confirmación del usuario y </w:t>
      </w:r>
      <w:r>
        <w:rPr>
          <w:b/>
          <w:bCs/>
        </w:rPr>
        <w:t>documentación</w:t>
      </w:r>
      <w:r>
        <w:t xml:space="preserve"> (causa, solución) para la base de conocimiento.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26"/>
        <w:gridCol w:w="1933"/>
        <w:gridCol w:w="1933"/>
        <w:gridCol w:w="1934"/>
      </w:tblGrid>
      <w:tr w:rsidR="001C0CEA" w14:paraId="655D4F20" w14:textId="77777777">
        <w:trPr>
          <w:tblHeader/>
        </w:trPr>
        <w:tc>
          <w:tcPr>
            <w:tcW w:w="3226"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5B962FA3" w14:textId="77777777" w:rsidR="001C0CEA" w:rsidRDefault="001C0CEA"/>
        </w:tc>
        <w:tc>
          <w:tcPr>
            <w:tcW w:w="1933"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2BAE6658" w14:textId="77777777" w:rsidR="001C0CEA" w:rsidRDefault="00000000">
            <w:r>
              <w:rPr>
                <w:b/>
                <w:bCs/>
                <w:color w:val="FFFFFF"/>
                <w:sz w:val="19"/>
                <w:szCs w:val="19"/>
              </w:rPr>
              <w:t>Urgencia alta</w:t>
            </w:r>
          </w:p>
        </w:tc>
        <w:tc>
          <w:tcPr>
            <w:tcW w:w="1933"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5C99078C" w14:textId="77777777" w:rsidR="001C0CEA" w:rsidRDefault="00000000">
            <w:r>
              <w:rPr>
                <w:b/>
                <w:bCs/>
                <w:color w:val="FFFFFF"/>
                <w:sz w:val="19"/>
                <w:szCs w:val="19"/>
              </w:rPr>
              <w:t>Urgencia media</w:t>
            </w:r>
          </w:p>
        </w:tc>
        <w:tc>
          <w:tcPr>
            <w:tcW w:w="1934"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75C36DEF" w14:textId="77777777" w:rsidR="001C0CEA" w:rsidRDefault="00000000">
            <w:r>
              <w:rPr>
                <w:b/>
                <w:bCs/>
                <w:color w:val="FFFFFF"/>
                <w:sz w:val="19"/>
                <w:szCs w:val="19"/>
              </w:rPr>
              <w:t>Urgencia baja</w:t>
            </w:r>
          </w:p>
        </w:tc>
      </w:tr>
      <w:tr w:rsidR="001C0CEA" w14:paraId="1F114DF2" w14:textId="77777777">
        <w:tc>
          <w:tcPr>
            <w:tcW w:w="32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7B16EA5" w14:textId="77777777" w:rsidR="001C0CEA" w:rsidRDefault="00000000">
            <w:r>
              <w:rPr>
                <w:sz w:val="19"/>
                <w:szCs w:val="19"/>
              </w:rPr>
              <w:t>Impacto alto (muchos usuarios o servicio crítico)</w:t>
            </w:r>
          </w:p>
        </w:tc>
        <w:tc>
          <w:tcPr>
            <w:tcW w:w="193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CEE789E" w14:textId="77777777" w:rsidR="001C0CEA" w:rsidRDefault="00000000">
            <w:r>
              <w:rPr>
                <w:sz w:val="19"/>
                <w:szCs w:val="19"/>
              </w:rPr>
              <w:t>P1 – Crítica</w:t>
            </w:r>
          </w:p>
        </w:tc>
        <w:tc>
          <w:tcPr>
            <w:tcW w:w="193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3964CF1" w14:textId="77777777" w:rsidR="001C0CEA" w:rsidRDefault="00000000">
            <w:r>
              <w:rPr>
                <w:sz w:val="19"/>
                <w:szCs w:val="19"/>
              </w:rPr>
              <w:t>P2 – Alta</w:t>
            </w:r>
          </w:p>
        </w:tc>
        <w:tc>
          <w:tcPr>
            <w:tcW w:w="193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812AA05" w14:textId="77777777" w:rsidR="001C0CEA" w:rsidRDefault="00000000">
            <w:r>
              <w:rPr>
                <w:sz w:val="19"/>
                <w:szCs w:val="19"/>
              </w:rPr>
              <w:t>P3 – Media</w:t>
            </w:r>
          </w:p>
        </w:tc>
      </w:tr>
      <w:tr w:rsidR="001C0CEA" w14:paraId="6F602F70" w14:textId="77777777">
        <w:tc>
          <w:tcPr>
            <w:tcW w:w="32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5E8055E" w14:textId="77777777" w:rsidR="001C0CEA" w:rsidRDefault="00000000">
            <w:r>
              <w:rPr>
                <w:sz w:val="19"/>
                <w:szCs w:val="19"/>
              </w:rPr>
              <w:t>Impacto medio</w:t>
            </w:r>
          </w:p>
        </w:tc>
        <w:tc>
          <w:tcPr>
            <w:tcW w:w="193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122D9C9" w14:textId="77777777" w:rsidR="001C0CEA" w:rsidRDefault="00000000">
            <w:r>
              <w:rPr>
                <w:sz w:val="19"/>
                <w:szCs w:val="19"/>
              </w:rPr>
              <w:t>P2 – Alta</w:t>
            </w:r>
          </w:p>
        </w:tc>
        <w:tc>
          <w:tcPr>
            <w:tcW w:w="193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109F0EE" w14:textId="77777777" w:rsidR="001C0CEA" w:rsidRDefault="00000000">
            <w:r>
              <w:rPr>
                <w:sz w:val="19"/>
                <w:szCs w:val="19"/>
              </w:rPr>
              <w:t>P3 – Media</w:t>
            </w:r>
          </w:p>
        </w:tc>
        <w:tc>
          <w:tcPr>
            <w:tcW w:w="193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56C8612" w14:textId="77777777" w:rsidR="001C0CEA" w:rsidRDefault="00000000">
            <w:r>
              <w:rPr>
                <w:sz w:val="19"/>
                <w:szCs w:val="19"/>
              </w:rPr>
              <w:t>P4 – Baja</w:t>
            </w:r>
          </w:p>
        </w:tc>
      </w:tr>
      <w:tr w:rsidR="001C0CEA" w14:paraId="28ED148B" w14:textId="77777777">
        <w:tc>
          <w:tcPr>
            <w:tcW w:w="32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808BFCA" w14:textId="77777777" w:rsidR="001C0CEA" w:rsidRDefault="00000000">
            <w:r>
              <w:rPr>
                <w:sz w:val="19"/>
                <w:szCs w:val="19"/>
              </w:rPr>
              <w:t>Impacto bajo (un usuario)</w:t>
            </w:r>
          </w:p>
        </w:tc>
        <w:tc>
          <w:tcPr>
            <w:tcW w:w="193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2B29BFF" w14:textId="77777777" w:rsidR="001C0CEA" w:rsidRDefault="00000000">
            <w:r>
              <w:rPr>
                <w:sz w:val="19"/>
                <w:szCs w:val="19"/>
              </w:rPr>
              <w:t>P3 – Media</w:t>
            </w:r>
          </w:p>
        </w:tc>
        <w:tc>
          <w:tcPr>
            <w:tcW w:w="193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91769E3" w14:textId="77777777" w:rsidR="001C0CEA" w:rsidRDefault="00000000">
            <w:r>
              <w:rPr>
                <w:sz w:val="19"/>
                <w:szCs w:val="19"/>
              </w:rPr>
              <w:t>P4 – Baja</w:t>
            </w:r>
          </w:p>
        </w:tc>
        <w:tc>
          <w:tcPr>
            <w:tcW w:w="193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2462B05" w14:textId="77777777" w:rsidR="001C0CEA" w:rsidRDefault="00000000">
            <w:r>
              <w:rPr>
                <w:sz w:val="19"/>
                <w:szCs w:val="19"/>
              </w:rPr>
              <w:t>P4 – Baja</w:t>
            </w:r>
          </w:p>
        </w:tc>
      </w:tr>
    </w:tbl>
    <w:p w14:paraId="2A39D50A" w14:textId="77777777" w:rsidR="001C0CEA" w:rsidRDefault="001C0CEA">
      <w:pPr>
        <w:spacing w:after="120"/>
      </w:pPr>
    </w:p>
    <w:p w14:paraId="07AEB17C" w14:textId="77777777" w:rsidR="001C0CEA" w:rsidRDefault="00000000">
      <w:pPr>
        <w:spacing w:after="120"/>
        <w:jc w:val="both"/>
      </w:pPr>
      <w:r>
        <w:t xml:space="preserve">Las </w:t>
      </w:r>
      <w:r>
        <w:rPr>
          <w:b/>
          <w:bCs/>
        </w:rPr>
        <w:t>incidencias graves</w:t>
      </w:r>
      <w:r>
        <w:t xml:space="preserve"> (</w:t>
      </w:r>
      <w:r>
        <w:rPr>
          <w:i/>
          <w:iCs/>
        </w:rPr>
        <w:t>major incidents</w:t>
      </w:r>
      <w:r>
        <w:t>) activan un procedimiento específico con coordinación reforzada, comunicación frecuente y, si procede, activación del plan de continuidad.</w:t>
      </w:r>
    </w:p>
    <w:p w14:paraId="53DB9526" w14:textId="77777777" w:rsidR="001C0CEA" w:rsidRDefault="00000000">
      <w:pPr>
        <w:pStyle w:val="Ttulo2"/>
      </w:pPr>
      <w:bookmarkStart w:id="95" w:name="_Toc241337976"/>
      <w:r>
        <w:t>22.2. Niveles de servicio</w:t>
      </w:r>
      <w:bookmarkEnd w:id="95"/>
    </w:p>
    <w:p w14:paraId="29F5A800" w14:textId="77777777" w:rsidR="001C0CEA" w:rsidRDefault="00000000">
      <w:pPr>
        <w:pStyle w:val="Prrafodelista"/>
        <w:numPr>
          <w:ilvl w:val="0"/>
          <w:numId w:val="2"/>
        </w:numPr>
        <w:spacing w:after="60"/>
      </w:pPr>
      <w:r>
        <w:rPr>
          <w:b/>
          <w:bCs/>
        </w:rPr>
        <w:t>SLA</w:t>
      </w:r>
      <w:r>
        <w:t xml:space="preserve"> (</w:t>
      </w:r>
      <w:r>
        <w:rPr>
          <w:i/>
          <w:iCs/>
        </w:rPr>
        <w:t>Service Level Agreement</w:t>
      </w:r>
      <w:r>
        <w:t>): acuerdo con el cliente o usuario sobre disponibilidad, tiempos de respuesta y resolución, horario de servicio.</w:t>
      </w:r>
    </w:p>
    <w:p w14:paraId="503ACFA1" w14:textId="77777777" w:rsidR="001C0CEA" w:rsidRDefault="00000000">
      <w:pPr>
        <w:pStyle w:val="Prrafodelista"/>
        <w:numPr>
          <w:ilvl w:val="0"/>
          <w:numId w:val="2"/>
        </w:numPr>
        <w:spacing w:after="60"/>
      </w:pPr>
      <w:r>
        <w:rPr>
          <w:b/>
          <w:bCs/>
        </w:rPr>
        <w:t>OLA</w:t>
      </w:r>
      <w:r>
        <w:t xml:space="preserve"> (</w:t>
      </w:r>
      <w:r>
        <w:rPr>
          <w:i/>
          <w:iCs/>
        </w:rPr>
        <w:t>Operational Level Agreement</w:t>
      </w:r>
      <w:r>
        <w:t>): acuerdo interno entre grupos de soporte que sustenta el SLA.</w:t>
      </w:r>
    </w:p>
    <w:p w14:paraId="7B3C4633" w14:textId="77777777" w:rsidR="001C0CEA" w:rsidRDefault="00000000">
      <w:pPr>
        <w:pStyle w:val="Prrafodelista"/>
        <w:numPr>
          <w:ilvl w:val="0"/>
          <w:numId w:val="2"/>
        </w:numPr>
        <w:spacing w:after="60"/>
      </w:pPr>
      <w:r>
        <w:rPr>
          <w:b/>
          <w:bCs/>
        </w:rPr>
        <w:t>UC</w:t>
      </w:r>
      <w:r>
        <w:t xml:space="preserve"> (</w:t>
      </w:r>
      <w:r>
        <w:rPr>
          <w:i/>
          <w:iCs/>
        </w:rPr>
        <w:t>Underpinning Contract</w:t>
      </w:r>
      <w:r>
        <w:t>): contrato con proveedor externo que sustenta el SLA (en la Administración, los pliegos definen los ANS —acuerdos de nivel de servicio— y penalizaciones).</w:t>
      </w:r>
    </w:p>
    <w:p w14:paraId="525E1640" w14:textId="77777777" w:rsidR="001C0CEA" w:rsidRDefault="00000000">
      <w:pPr>
        <w:pStyle w:val="Prrafodelista"/>
        <w:numPr>
          <w:ilvl w:val="0"/>
          <w:numId w:val="2"/>
        </w:numPr>
        <w:spacing w:after="60"/>
      </w:pPr>
      <w:r>
        <w:t>Indicadores: disponibilidad, tiempo de respuesta, tiempo de resolución por prioridad, porcentaje de resolución en primer nivel, satisfacción.</w:t>
      </w:r>
    </w:p>
    <w:p w14:paraId="7E887BAC" w14:textId="77777777" w:rsidR="001C0CEA" w:rsidRDefault="00000000">
      <w:pPr>
        <w:spacing w:after="120"/>
        <w:jc w:val="both"/>
      </w:pPr>
      <w:r>
        <w:t xml:space="preserve">En el SAS, el soporte a los profesionales se presta a través del </w:t>
      </w:r>
      <w:r>
        <w:rPr>
          <w:b/>
          <w:bCs/>
        </w:rPr>
        <w:t>Centro de Servicios al Usuario (CGES)</w:t>
      </w:r>
      <w:r>
        <w:t xml:space="preserve">, integrado en el servicio </w:t>
      </w:r>
      <w:r>
        <w:rPr>
          <w:b/>
          <w:bCs/>
        </w:rPr>
        <w:t>ayudaDIGITAL</w:t>
      </w:r>
      <w:r>
        <w:t>, con canales telefónico, web (área personal), app, chat y WhatsApp, y apoyo de inteligencia artificial (asistente AYDI). El servicio atiende a más de 130.000 profesionales (apartado 26.4).</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C0CEA" w14:paraId="3F3B5A2E" w14:textId="77777777">
        <w:trPr>
          <w:cantSplit/>
        </w:trPr>
        <w:tc>
          <w:tcPr>
            <w:tcW w:w="9026" w:type="dxa"/>
            <w:tcBorders>
              <w:top w:val="single" w:sz="12" w:space="0" w:color="548235"/>
              <w:left w:val="single" w:sz="12" w:space="0" w:color="548235"/>
              <w:bottom w:val="single" w:sz="12" w:space="0" w:color="548235"/>
              <w:right w:val="single" w:sz="12" w:space="0" w:color="548235"/>
            </w:tcBorders>
            <w:shd w:val="clear" w:color="auto" w:fill="E2EFD9"/>
            <w:tcMar>
              <w:top w:w="120" w:type="dxa"/>
              <w:left w:w="160" w:type="dxa"/>
              <w:bottom w:w="120" w:type="dxa"/>
              <w:right w:w="160" w:type="dxa"/>
            </w:tcMar>
          </w:tcPr>
          <w:p w14:paraId="54FD814D" w14:textId="77777777" w:rsidR="001C0CEA" w:rsidRDefault="00000000">
            <w:pPr>
              <w:spacing w:after="80"/>
            </w:pPr>
            <w:r>
              <w:rPr>
                <w:b/>
                <w:bCs/>
                <w:color w:val="548235"/>
              </w:rPr>
              <w:t>Caso práctico: gestión de una incidencia</w:t>
            </w:r>
          </w:p>
          <w:p w14:paraId="1C563EB7" w14:textId="77777777" w:rsidR="001C0CEA" w:rsidRDefault="00000000">
            <w:pPr>
              <w:pStyle w:val="Prrafodelista"/>
              <w:numPr>
                <w:ilvl w:val="0"/>
                <w:numId w:val="2"/>
              </w:numPr>
              <w:spacing w:after="40"/>
            </w:pPr>
            <w:r>
              <w:rPr>
                <w:sz w:val="20"/>
                <w:szCs w:val="20"/>
              </w:rPr>
              <w:t>08:05 — Varios centros de salud de una provincia no acceden a Diraya. La monitorización ya había generado un evento de caída de un enlace WAN.</w:t>
            </w:r>
          </w:p>
          <w:p w14:paraId="33B0C0DB" w14:textId="77777777" w:rsidR="001C0CEA" w:rsidRDefault="00000000">
            <w:pPr>
              <w:pStyle w:val="Prrafodelista"/>
              <w:numPr>
                <w:ilvl w:val="0"/>
                <w:numId w:val="2"/>
              </w:numPr>
              <w:spacing w:after="40"/>
            </w:pPr>
            <w:r>
              <w:rPr>
                <w:sz w:val="20"/>
                <w:szCs w:val="20"/>
              </w:rPr>
              <w:t>El centro de servicios registra la incidencia como P1 (impacto alto, urgencia alta), la asocia a la de monitorización y escala al grupo de comunicaciones.</w:t>
            </w:r>
          </w:p>
          <w:p w14:paraId="1EE36B40" w14:textId="77777777" w:rsidR="001C0CEA" w:rsidRDefault="00000000">
            <w:pPr>
              <w:pStyle w:val="Prrafodelista"/>
              <w:numPr>
                <w:ilvl w:val="0"/>
                <w:numId w:val="2"/>
              </w:numPr>
              <w:spacing w:after="40"/>
            </w:pPr>
            <w:r>
              <w:rPr>
                <w:sz w:val="20"/>
                <w:szCs w:val="20"/>
              </w:rPr>
              <w:t>Comunicaciones confirma la avería del operador; se conmuta al enlace de respaldo (recuperación). 08:40: servicio restablecido.</w:t>
            </w:r>
          </w:p>
          <w:p w14:paraId="159639FD" w14:textId="77777777" w:rsidR="001C0CEA" w:rsidRDefault="00000000">
            <w:pPr>
              <w:pStyle w:val="Prrafodelista"/>
              <w:numPr>
                <w:ilvl w:val="0"/>
                <w:numId w:val="2"/>
              </w:numPr>
              <w:spacing w:after="40"/>
            </w:pPr>
            <w:r>
              <w:rPr>
                <w:sz w:val="20"/>
                <w:szCs w:val="20"/>
              </w:rPr>
              <w:t xml:space="preserve">Cierre documentado; se abre un </w:t>
            </w:r>
            <w:r>
              <w:rPr>
                <w:b/>
                <w:bCs/>
                <w:sz w:val="20"/>
                <w:szCs w:val="20"/>
              </w:rPr>
              <w:t>problema</w:t>
            </w:r>
            <w:r>
              <w:rPr>
                <w:sz w:val="20"/>
                <w:szCs w:val="20"/>
              </w:rPr>
              <w:t xml:space="preserve"> porque el respaldo no conmutó automáticamente.</w:t>
            </w:r>
          </w:p>
        </w:tc>
      </w:tr>
    </w:tbl>
    <w:p w14:paraId="62FF642F" w14:textId="77777777" w:rsidR="001C0CEA" w:rsidRDefault="001C0CEA">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C0CEA" w14:paraId="3D6B93FA" w14:textId="77777777">
        <w:trPr>
          <w:cantSplit/>
        </w:trPr>
        <w:tc>
          <w:tcPr>
            <w:tcW w:w="9026" w:type="dxa"/>
            <w:tcBorders>
              <w:top w:val="single" w:sz="12" w:space="0" w:color="BF9000"/>
              <w:left w:val="single" w:sz="12" w:space="0" w:color="BF9000"/>
              <w:bottom w:val="single" w:sz="12" w:space="0" w:color="BF9000"/>
              <w:right w:val="single" w:sz="12" w:space="0" w:color="BF9000"/>
            </w:tcBorders>
            <w:shd w:val="clear" w:color="auto" w:fill="FFF2CC"/>
            <w:tcMar>
              <w:top w:w="120" w:type="dxa"/>
              <w:left w:w="160" w:type="dxa"/>
              <w:bottom w:w="120" w:type="dxa"/>
              <w:right w:w="160" w:type="dxa"/>
            </w:tcMar>
          </w:tcPr>
          <w:p w14:paraId="7AB3583B" w14:textId="77777777" w:rsidR="001C0CEA" w:rsidRDefault="00000000">
            <w:pPr>
              <w:spacing w:after="80"/>
            </w:pPr>
            <w:r>
              <w:rPr>
                <w:b/>
                <w:bCs/>
                <w:color w:val="7F6000"/>
              </w:rPr>
              <w:t>Claves para el examen</w:t>
            </w:r>
          </w:p>
          <w:p w14:paraId="4D4CC49F" w14:textId="77777777" w:rsidR="001C0CEA" w:rsidRDefault="00000000">
            <w:pPr>
              <w:pStyle w:val="Prrafodelista"/>
              <w:numPr>
                <w:ilvl w:val="0"/>
                <w:numId w:val="2"/>
              </w:numPr>
              <w:spacing w:after="40"/>
            </w:pPr>
            <w:r>
              <w:rPr>
                <w:sz w:val="20"/>
                <w:szCs w:val="20"/>
              </w:rPr>
              <w:t>Prioridad = impacto × urgencia.</w:t>
            </w:r>
          </w:p>
          <w:p w14:paraId="151FE4E7" w14:textId="77777777" w:rsidR="001C0CEA" w:rsidRDefault="00000000">
            <w:pPr>
              <w:pStyle w:val="Prrafodelista"/>
              <w:numPr>
                <w:ilvl w:val="0"/>
                <w:numId w:val="2"/>
              </w:numPr>
              <w:spacing w:after="40"/>
            </w:pPr>
            <w:r>
              <w:rPr>
                <w:sz w:val="20"/>
                <w:szCs w:val="20"/>
              </w:rPr>
              <w:t>Escalado funcional (más conocimiento) vs. jerárquico (más autoridad).</w:t>
            </w:r>
          </w:p>
          <w:p w14:paraId="039D1CEE" w14:textId="77777777" w:rsidR="001C0CEA" w:rsidRDefault="00000000">
            <w:pPr>
              <w:pStyle w:val="Prrafodelista"/>
              <w:numPr>
                <w:ilvl w:val="0"/>
                <w:numId w:val="2"/>
              </w:numPr>
              <w:spacing w:after="40"/>
            </w:pPr>
            <w:r>
              <w:rPr>
                <w:sz w:val="20"/>
                <w:szCs w:val="20"/>
              </w:rPr>
              <w:t>SLA (con el cliente) – OLA (interno) – UC (proveedor).</w:t>
            </w:r>
          </w:p>
        </w:tc>
      </w:tr>
    </w:tbl>
    <w:p w14:paraId="6318BC87" w14:textId="77777777" w:rsidR="001C0CEA" w:rsidRDefault="001C0CEA">
      <w:pPr>
        <w:spacing w:after="120"/>
      </w:pPr>
    </w:p>
    <w:p w14:paraId="470577A9" w14:textId="77777777" w:rsidR="001C0CEA" w:rsidRDefault="00000000">
      <w:pPr>
        <w:pStyle w:val="Ttulo1"/>
        <w:pageBreakBefore/>
      </w:pPr>
      <w:bookmarkStart w:id="96" w:name="_Toc241337977"/>
      <w:r>
        <w:lastRenderedPageBreak/>
        <w:t>23. Gestión de la capacidad y del rendimiento</w:t>
      </w:r>
      <w:bookmarkEnd w:id="96"/>
    </w:p>
    <w:p w14:paraId="37CC6876" w14:textId="77777777" w:rsidR="001C0CEA" w:rsidRDefault="00000000">
      <w:pPr>
        <w:spacing w:after="120"/>
        <w:jc w:val="both"/>
      </w:pPr>
      <w:r>
        <w:t xml:space="preserve">La gestión de la capacidad asegura que los recursos (TI e infraestructura física) sean </w:t>
      </w:r>
      <w:r>
        <w:rPr>
          <w:b/>
          <w:bCs/>
        </w:rPr>
        <w:t>suficientes para la demanda actual y futura</w:t>
      </w:r>
      <w:r>
        <w:t xml:space="preserve"> con un coste justificado. Trabaja en tres planos: </w:t>
      </w:r>
      <w:r>
        <w:rPr>
          <w:b/>
          <w:bCs/>
        </w:rPr>
        <w:t>capacidad del negocio</w:t>
      </w:r>
      <w:r>
        <w:t xml:space="preserve"> (demanda prevista: nuevos centros, nuevos servicios), </w:t>
      </w:r>
      <w:r>
        <w:rPr>
          <w:b/>
          <w:bCs/>
        </w:rPr>
        <w:t>capacidad del servicio</w:t>
      </w:r>
      <w:r>
        <w:t xml:space="preserve"> (rendimiento de cada servicio) y </w:t>
      </w:r>
      <w:r>
        <w:rPr>
          <w:b/>
          <w:bCs/>
        </w:rPr>
        <w:t>capacidad de los componentes</w:t>
      </w:r>
      <w:r>
        <w:t xml:space="preserve"> (CPU, memoria, disco, red, energía, clima).</w:t>
      </w:r>
    </w:p>
    <w:p w14:paraId="37D03715" w14:textId="77777777" w:rsidR="001C0CEA" w:rsidRDefault="00000000">
      <w:pPr>
        <w:pStyle w:val="Prrafodelista"/>
        <w:numPr>
          <w:ilvl w:val="0"/>
          <w:numId w:val="2"/>
        </w:numPr>
        <w:spacing w:after="60"/>
      </w:pPr>
      <w:r>
        <w:rPr>
          <w:b/>
          <w:bCs/>
        </w:rPr>
        <w:t>Monitorización y tendencias:</w:t>
      </w:r>
      <w:r>
        <w:t xml:space="preserve"> series históricas de uso para detectar crecimiento y estacionalidad (campañas de vacunación, verano).</w:t>
      </w:r>
    </w:p>
    <w:p w14:paraId="49DDEDA8" w14:textId="77777777" w:rsidR="001C0CEA" w:rsidRDefault="00000000">
      <w:pPr>
        <w:pStyle w:val="Prrafodelista"/>
        <w:numPr>
          <w:ilvl w:val="0"/>
          <w:numId w:val="2"/>
        </w:numPr>
        <w:spacing w:after="60"/>
      </w:pPr>
      <w:r>
        <w:rPr>
          <w:b/>
          <w:bCs/>
        </w:rPr>
        <w:t>Umbrales:</w:t>
      </w:r>
      <w:r>
        <w:t xml:space="preserve"> avisos antes de la saturación (p. ej., advertencia al 75 %, crítico al 90 %).</w:t>
      </w:r>
    </w:p>
    <w:p w14:paraId="61F31561" w14:textId="77777777" w:rsidR="001C0CEA" w:rsidRDefault="00000000">
      <w:pPr>
        <w:pStyle w:val="Prrafodelista"/>
        <w:numPr>
          <w:ilvl w:val="0"/>
          <w:numId w:val="2"/>
        </w:numPr>
        <w:spacing w:after="60"/>
      </w:pPr>
      <w:r>
        <w:rPr>
          <w:b/>
          <w:bCs/>
        </w:rPr>
        <w:t>Saturación:</w:t>
      </w:r>
      <w:r>
        <w:t xml:space="preserve"> cuando un recurso llega a su límite aparecen colas y los tiempos de respuesta crecen de forma no lineal.</w:t>
      </w:r>
    </w:p>
    <w:p w14:paraId="458811CA" w14:textId="77777777" w:rsidR="001C0CEA" w:rsidRDefault="00000000">
      <w:pPr>
        <w:pStyle w:val="Prrafodelista"/>
        <w:numPr>
          <w:ilvl w:val="0"/>
          <w:numId w:val="2"/>
        </w:numPr>
        <w:spacing w:after="60"/>
      </w:pPr>
      <w:r>
        <w:rPr>
          <w:b/>
          <w:bCs/>
        </w:rPr>
        <w:t>Escalabilidad:</w:t>
      </w:r>
      <w:r>
        <w:t xml:space="preserve"> vertical (</w:t>
      </w:r>
      <w:r>
        <w:rPr>
          <w:i/>
          <w:iCs/>
        </w:rPr>
        <w:t>scale up</w:t>
      </w:r>
      <w:r>
        <w:t>: más recursos a un servidor) u horizontal (</w:t>
      </w:r>
      <w:r>
        <w:rPr>
          <w:i/>
          <w:iCs/>
        </w:rPr>
        <w:t>scale out</w:t>
      </w:r>
      <w:r>
        <w:t>: más nodos).</w:t>
      </w:r>
    </w:p>
    <w:p w14:paraId="101F4D46" w14:textId="77777777" w:rsidR="001C0CEA" w:rsidRDefault="00000000">
      <w:pPr>
        <w:pStyle w:val="Prrafodelista"/>
        <w:numPr>
          <w:ilvl w:val="0"/>
          <w:numId w:val="2"/>
        </w:numPr>
        <w:spacing w:after="60"/>
      </w:pPr>
      <w:r>
        <w:rPr>
          <w:b/>
          <w:bCs/>
        </w:rPr>
        <w:t>Plan de capacidad (capacity planning):</w:t>
      </w:r>
      <w:r>
        <w:t xml:space="preserve"> previsión, modelado y plan de adquisiciones con plazos realistas (contratación pública).</w:t>
      </w:r>
    </w:p>
    <w:p w14:paraId="1BE43692" w14:textId="77777777" w:rsidR="001C0CEA" w:rsidRDefault="00000000">
      <w:pPr>
        <w:pStyle w:val="Prrafodelista"/>
        <w:numPr>
          <w:ilvl w:val="0"/>
          <w:numId w:val="2"/>
        </w:numPr>
        <w:spacing w:after="60"/>
      </w:pPr>
      <w:r>
        <w:rPr>
          <w:b/>
          <w:bCs/>
        </w:rPr>
        <w:t>Gestión de la demanda:</w:t>
      </w:r>
      <w:r>
        <w:t xml:space="preserve"> mover cargas a horas valle, limitar procesos no críticos.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800"/>
        <w:gridCol w:w="4626"/>
      </w:tblGrid>
      <w:tr w:rsidR="001C0CEA" w14:paraId="03A50A78" w14:textId="77777777">
        <w:trPr>
          <w:tblHeader/>
        </w:trPr>
        <w:tc>
          <w:tcPr>
            <w:tcW w:w="16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1D0E4519" w14:textId="77777777" w:rsidR="001C0CEA" w:rsidRDefault="00000000">
            <w:r>
              <w:rPr>
                <w:b/>
                <w:bCs/>
                <w:color w:val="FFFFFF"/>
                <w:sz w:val="19"/>
                <w:szCs w:val="19"/>
              </w:rPr>
              <w:t>Recurso</w:t>
            </w:r>
          </w:p>
        </w:tc>
        <w:tc>
          <w:tcPr>
            <w:tcW w:w="28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477DA38D" w14:textId="77777777" w:rsidR="001C0CEA" w:rsidRDefault="00000000">
            <w:r>
              <w:rPr>
                <w:b/>
                <w:bCs/>
                <w:color w:val="FFFFFF"/>
                <w:sz w:val="19"/>
                <w:szCs w:val="19"/>
              </w:rPr>
              <w:t>Indicador</w:t>
            </w:r>
          </w:p>
        </w:tc>
        <w:tc>
          <w:tcPr>
            <w:tcW w:w="4626"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39F83F66" w14:textId="77777777" w:rsidR="001C0CEA" w:rsidRDefault="00000000">
            <w:r>
              <w:rPr>
                <w:b/>
                <w:bCs/>
                <w:color w:val="FFFFFF"/>
                <w:sz w:val="19"/>
                <w:szCs w:val="19"/>
              </w:rPr>
              <w:t>Ejemplo de decisión</w:t>
            </w:r>
          </w:p>
        </w:tc>
      </w:tr>
      <w:tr w:rsidR="001C0CEA" w14:paraId="3AE652E8" w14:textId="77777777">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D8F4BF9" w14:textId="77777777" w:rsidR="001C0CEA" w:rsidRDefault="00000000">
            <w:r>
              <w:rPr>
                <w:sz w:val="19"/>
                <w:szCs w:val="19"/>
              </w:rPr>
              <w:t>CPU</w:t>
            </w:r>
          </w:p>
        </w:tc>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D627A02" w14:textId="77777777" w:rsidR="001C0CEA" w:rsidRDefault="00000000">
            <w:r>
              <w:rPr>
                <w:sz w:val="19"/>
                <w:szCs w:val="19"/>
              </w:rPr>
              <w:t>% uso medio y pico, cola de ejecución</w:t>
            </w:r>
          </w:p>
        </w:tc>
        <w:tc>
          <w:tcPr>
            <w:tcW w:w="46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5EF5D98" w14:textId="77777777" w:rsidR="001C0CEA" w:rsidRDefault="00000000">
            <w:r>
              <w:rPr>
                <w:sz w:val="19"/>
                <w:szCs w:val="19"/>
              </w:rPr>
              <w:t>Añadir un host al clúster si el pico supera el 80 % con un host caído (criterio N+1)</w:t>
            </w:r>
          </w:p>
        </w:tc>
      </w:tr>
      <w:tr w:rsidR="001C0CEA" w14:paraId="1C58F8EE" w14:textId="77777777">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1075B16" w14:textId="77777777" w:rsidR="001C0CEA" w:rsidRDefault="00000000">
            <w:r>
              <w:rPr>
                <w:sz w:val="19"/>
                <w:szCs w:val="19"/>
              </w:rPr>
              <w:t>Memoria</w:t>
            </w:r>
          </w:p>
        </w:tc>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23E1571" w14:textId="77777777" w:rsidR="001C0CEA" w:rsidRDefault="00000000">
            <w:r>
              <w:rPr>
                <w:sz w:val="19"/>
                <w:szCs w:val="19"/>
              </w:rPr>
              <w:t>% uso, paginación (swap)</w:t>
            </w:r>
          </w:p>
        </w:tc>
        <w:tc>
          <w:tcPr>
            <w:tcW w:w="46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2C9373E" w14:textId="77777777" w:rsidR="001C0CEA" w:rsidRDefault="00000000">
            <w:r>
              <w:rPr>
                <w:sz w:val="19"/>
                <w:szCs w:val="19"/>
              </w:rPr>
              <w:t>Evitar sobresuscripción excesiva en virtualización</w:t>
            </w:r>
          </w:p>
        </w:tc>
      </w:tr>
      <w:tr w:rsidR="001C0CEA" w14:paraId="1F09EE95" w14:textId="77777777">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C527DCF" w14:textId="77777777" w:rsidR="001C0CEA" w:rsidRDefault="00000000">
            <w:r>
              <w:rPr>
                <w:sz w:val="19"/>
                <w:szCs w:val="19"/>
              </w:rPr>
              <w:t>Almacenamiento</w:t>
            </w:r>
          </w:p>
        </w:tc>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3B11C48" w14:textId="77777777" w:rsidR="001C0CEA" w:rsidRDefault="00000000">
            <w:r>
              <w:rPr>
                <w:sz w:val="19"/>
                <w:szCs w:val="19"/>
              </w:rPr>
              <w:t>TB libres, crecimiento mensual, latencia</w:t>
            </w:r>
          </w:p>
        </w:tc>
        <w:tc>
          <w:tcPr>
            <w:tcW w:w="46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C96C4D4" w14:textId="77777777" w:rsidR="001C0CEA" w:rsidRDefault="00000000">
            <w:r>
              <w:rPr>
                <w:sz w:val="19"/>
                <w:szCs w:val="19"/>
              </w:rPr>
              <w:t>Si crece 2 TB/mes y quedan 10 TB, hay 5 meses: iniciar compra ya</w:t>
            </w:r>
          </w:p>
        </w:tc>
      </w:tr>
      <w:tr w:rsidR="001C0CEA" w14:paraId="5086D72B" w14:textId="77777777">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B127D61" w14:textId="77777777" w:rsidR="001C0CEA" w:rsidRDefault="00000000">
            <w:r>
              <w:rPr>
                <w:sz w:val="19"/>
                <w:szCs w:val="19"/>
              </w:rPr>
              <w:t>Red</w:t>
            </w:r>
          </w:p>
        </w:tc>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F60D55E" w14:textId="77777777" w:rsidR="001C0CEA" w:rsidRDefault="00000000">
            <w:r>
              <w:rPr>
                <w:sz w:val="19"/>
                <w:szCs w:val="19"/>
              </w:rPr>
              <w:t>% ocupación de enlaces</w:t>
            </w:r>
          </w:p>
        </w:tc>
        <w:tc>
          <w:tcPr>
            <w:tcW w:w="46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0E65CE6" w14:textId="77777777" w:rsidR="001C0CEA" w:rsidRDefault="00000000">
            <w:r>
              <w:rPr>
                <w:sz w:val="19"/>
                <w:szCs w:val="19"/>
              </w:rPr>
              <w:t>Ampliar enlace WAN al superar el 70 % sostenido</w:t>
            </w:r>
          </w:p>
        </w:tc>
      </w:tr>
      <w:tr w:rsidR="001C0CEA" w14:paraId="5716485E" w14:textId="77777777">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FF970F3" w14:textId="77777777" w:rsidR="001C0CEA" w:rsidRDefault="00000000">
            <w:r>
              <w:rPr>
                <w:sz w:val="19"/>
                <w:szCs w:val="19"/>
              </w:rPr>
              <w:t>Energía</w:t>
            </w:r>
          </w:p>
        </w:tc>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F6EFC6E" w14:textId="77777777" w:rsidR="001C0CEA" w:rsidRDefault="00000000">
            <w:r>
              <w:rPr>
                <w:sz w:val="19"/>
                <w:szCs w:val="19"/>
              </w:rPr>
              <w:t>kW por rack y total vs. capacidad de SAI</w:t>
            </w:r>
          </w:p>
        </w:tc>
        <w:tc>
          <w:tcPr>
            <w:tcW w:w="46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FD70637" w14:textId="77777777" w:rsidR="001C0CEA" w:rsidRDefault="00000000">
            <w:r>
              <w:rPr>
                <w:sz w:val="19"/>
                <w:szCs w:val="19"/>
              </w:rPr>
              <w:t>No instalar nuevos racks de alta densidad si se pierde la redundancia N+1</w:t>
            </w:r>
          </w:p>
        </w:tc>
      </w:tr>
      <w:tr w:rsidR="001C0CEA" w14:paraId="643767D6" w14:textId="77777777">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CE31691" w14:textId="77777777" w:rsidR="001C0CEA" w:rsidRDefault="00000000">
            <w:r>
              <w:rPr>
                <w:sz w:val="19"/>
                <w:szCs w:val="19"/>
              </w:rPr>
              <w:t>Climatización</w:t>
            </w:r>
          </w:p>
        </w:tc>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EE57909" w14:textId="77777777" w:rsidR="001C0CEA" w:rsidRDefault="00000000">
            <w:r>
              <w:rPr>
                <w:sz w:val="19"/>
                <w:szCs w:val="19"/>
              </w:rPr>
              <w:t>kW térmicos vs. capacidad frigorífica</w:t>
            </w:r>
          </w:p>
        </w:tc>
        <w:tc>
          <w:tcPr>
            <w:tcW w:w="46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4614F99" w14:textId="77777777" w:rsidR="001C0CEA" w:rsidRDefault="00000000">
            <w:r>
              <w:rPr>
                <w:sz w:val="19"/>
                <w:szCs w:val="19"/>
              </w:rPr>
              <w:t>Si la carga térmica supera la capacidad de N unidades, la redundancia N+1 ha desaparecido aunque todas funcionen</w:t>
            </w:r>
          </w:p>
        </w:tc>
      </w:tr>
    </w:tbl>
    <w:p w14:paraId="3C9772FB" w14:textId="77777777" w:rsidR="001C0CEA" w:rsidRDefault="001C0CEA">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C0CEA" w14:paraId="60F6CA31" w14:textId="77777777">
        <w:trPr>
          <w:cantSplit/>
        </w:trPr>
        <w:tc>
          <w:tcPr>
            <w:tcW w:w="9026" w:type="dxa"/>
            <w:tcBorders>
              <w:top w:val="single" w:sz="12" w:space="0" w:color="BF9000"/>
              <w:left w:val="single" w:sz="12" w:space="0" w:color="BF9000"/>
              <w:bottom w:val="single" w:sz="12" w:space="0" w:color="BF9000"/>
              <w:right w:val="single" w:sz="12" w:space="0" w:color="BF9000"/>
            </w:tcBorders>
            <w:shd w:val="clear" w:color="auto" w:fill="FFF2CC"/>
            <w:tcMar>
              <w:top w:w="120" w:type="dxa"/>
              <w:left w:w="160" w:type="dxa"/>
              <w:bottom w:w="120" w:type="dxa"/>
              <w:right w:w="160" w:type="dxa"/>
            </w:tcMar>
          </w:tcPr>
          <w:p w14:paraId="1922D2CA" w14:textId="77777777" w:rsidR="001C0CEA" w:rsidRDefault="00000000">
            <w:pPr>
              <w:spacing w:after="80"/>
            </w:pPr>
            <w:r>
              <w:rPr>
                <w:b/>
                <w:bCs/>
                <w:color w:val="7F6000"/>
              </w:rPr>
              <w:t>Claves para el examen</w:t>
            </w:r>
          </w:p>
          <w:p w14:paraId="67FD4D6C" w14:textId="77777777" w:rsidR="001C0CEA" w:rsidRDefault="00000000">
            <w:pPr>
              <w:pStyle w:val="Prrafodelista"/>
              <w:numPr>
                <w:ilvl w:val="0"/>
                <w:numId w:val="2"/>
              </w:numPr>
              <w:spacing w:after="40"/>
            </w:pPr>
            <w:r>
              <w:rPr>
                <w:sz w:val="20"/>
                <w:szCs w:val="20"/>
              </w:rPr>
              <w:t>Capacidad de negocio, de servicio y de componentes.</w:t>
            </w:r>
          </w:p>
          <w:p w14:paraId="7B90115B" w14:textId="77777777" w:rsidR="001C0CEA" w:rsidRDefault="00000000">
            <w:pPr>
              <w:pStyle w:val="Prrafodelista"/>
              <w:numPr>
                <w:ilvl w:val="0"/>
                <w:numId w:val="2"/>
              </w:numPr>
              <w:spacing w:after="40"/>
            </w:pPr>
            <w:r>
              <w:rPr>
                <w:sz w:val="20"/>
                <w:szCs w:val="20"/>
              </w:rPr>
              <w:t>La redundancia se «consume» si la carga crece sin ampliar la infraestructura.</w:t>
            </w:r>
          </w:p>
        </w:tc>
      </w:tr>
    </w:tbl>
    <w:p w14:paraId="76B796A2" w14:textId="77777777" w:rsidR="001C0CEA" w:rsidRDefault="001C0CEA">
      <w:pPr>
        <w:spacing w:after="120"/>
      </w:pPr>
    </w:p>
    <w:p w14:paraId="7C1AC713" w14:textId="77777777" w:rsidR="001C0CEA" w:rsidRDefault="00000000">
      <w:pPr>
        <w:pStyle w:val="Ttulo1"/>
        <w:pageBreakBefore/>
      </w:pPr>
      <w:bookmarkStart w:id="97" w:name="_Toc241337978"/>
      <w:r>
        <w:lastRenderedPageBreak/>
        <w:t>24. Gestión de la configuración</w:t>
      </w:r>
      <w:bookmarkEnd w:id="97"/>
    </w:p>
    <w:p w14:paraId="2A54186B" w14:textId="77777777" w:rsidR="001C0CEA" w:rsidRDefault="00000000">
      <w:pPr>
        <w:pStyle w:val="Prrafodelista"/>
        <w:numPr>
          <w:ilvl w:val="0"/>
          <w:numId w:val="2"/>
        </w:numPr>
        <w:spacing w:after="60"/>
      </w:pPr>
      <w:r>
        <w:rPr>
          <w:b/>
          <w:bCs/>
        </w:rPr>
        <w:t>Configuración:</w:t>
      </w:r>
      <w:r>
        <w:t xml:space="preserve"> conjunto de elementos y sus parámetros que componen un servicio.</w:t>
      </w:r>
    </w:p>
    <w:p w14:paraId="773985BA" w14:textId="77777777" w:rsidR="001C0CEA" w:rsidRDefault="00000000">
      <w:pPr>
        <w:pStyle w:val="Prrafodelista"/>
        <w:numPr>
          <w:ilvl w:val="0"/>
          <w:numId w:val="2"/>
        </w:numPr>
        <w:spacing w:after="60"/>
      </w:pPr>
      <w:r>
        <w:rPr>
          <w:b/>
          <w:bCs/>
        </w:rPr>
        <w:t>Elemento de configuración (CI):</w:t>
      </w:r>
      <w:r>
        <w:t xml:space="preserve"> cualquier componente que debe gestionarse para prestar un servicio: servidor, VM, base de datos, aplicación, enlace, contrato, documento.</w:t>
      </w:r>
    </w:p>
    <w:p w14:paraId="74CC2DFF" w14:textId="77777777" w:rsidR="001C0CEA" w:rsidRDefault="00000000">
      <w:pPr>
        <w:pStyle w:val="Prrafodelista"/>
        <w:numPr>
          <w:ilvl w:val="0"/>
          <w:numId w:val="2"/>
        </w:numPr>
        <w:spacing w:after="60"/>
      </w:pPr>
      <w:r>
        <w:rPr>
          <w:b/>
          <w:bCs/>
        </w:rPr>
        <w:t>CMDB</w:t>
      </w:r>
      <w:r>
        <w:t xml:space="preserve"> (base de datos de gestión de la configuración): repositorio de los CI, sus atributos y sus </w:t>
      </w:r>
      <w:r>
        <w:rPr>
          <w:b/>
          <w:bCs/>
        </w:rPr>
        <w:t>relaciones</w:t>
      </w:r>
      <w:r>
        <w:t xml:space="preserve"> (qué aplicación corre en qué VM, sobre qué host, con qué almacenamiento).</w:t>
      </w:r>
    </w:p>
    <w:p w14:paraId="580D9289" w14:textId="77777777" w:rsidR="001C0CEA" w:rsidRDefault="00000000">
      <w:pPr>
        <w:pStyle w:val="Prrafodelista"/>
        <w:numPr>
          <w:ilvl w:val="0"/>
          <w:numId w:val="2"/>
        </w:numPr>
        <w:spacing w:after="60"/>
      </w:pPr>
      <w:r>
        <w:rPr>
          <w:b/>
          <w:bCs/>
        </w:rPr>
        <w:t>Inventario vs. CMDB:</w:t>
      </w:r>
      <w:r>
        <w:t xml:space="preserve"> el inventario lista activos; la CMDB añade relaciones y estado, y permite el </w:t>
      </w:r>
      <w:r>
        <w:rPr>
          <w:b/>
          <w:bCs/>
        </w:rPr>
        <w:t>análisis de impacto</w:t>
      </w:r>
      <w:r>
        <w:t>.</w:t>
      </w:r>
    </w:p>
    <w:p w14:paraId="1BBB7833" w14:textId="77777777" w:rsidR="001C0CEA" w:rsidRDefault="00000000">
      <w:pPr>
        <w:pStyle w:val="Prrafodelista"/>
        <w:numPr>
          <w:ilvl w:val="0"/>
          <w:numId w:val="2"/>
        </w:numPr>
        <w:spacing w:after="60"/>
      </w:pPr>
      <w:r>
        <w:rPr>
          <w:b/>
          <w:bCs/>
        </w:rPr>
        <w:t>Línea base:</w:t>
      </w:r>
      <w:r>
        <w:t xml:space="preserve"> configuración aprobada en un momento dado, referencia para cambios y auditorías.</w:t>
      </w:r>
    </w:p>
    <w:p w14:paraId="01FEFB9F" w14:textId="77777777" w:rsidR="001C0CEA" w:rsidRDefault="00000000">
      <w:pPr>
        <w:pStyle w:val="Prrafodelista"/>
        <w:numPr>
          <w:ilvl w:val="0"/>
          <w:numId w:val="2"/>
        </w:numPr>
        <w:spacing w:after="60"/>
      </w:pPr>
      <w:r>
        <w:rPr>
          <w:b/>
          <w:bCs/>
        </w:rPr>
        <w:t>Versionado:</w:t>
      </w:r>
      <w:r>
        <w:t xml:space="preserve"> control de versiones de software, scripts y configuraciones (repositorios tipo Git; infraestructura como código).</w:t>
      </w:r>
    </w:p>
    <w:p w14:paraId="2E07B3FE" w14:textId="77777777" w:rsidR="001C0CEA" w:rsidRDefault="00000000">
      <w:pPr>
        <w:pStyle w:val="Prrafodelista"/>
        <w:numPr>
          <w:ilvl w:val="0"/>
          <w:numId w:val="2"/>
        </w:numPr>
        <w:spacing w:after="60"/>
      </w:pPr>
      <w:r>
        <w:rPr>
          <w:b/>
          <w:bCs/>
        </w:rPr>
        <w:t>Trazabilidad:</w:t>
      </w:r>
      <w:r>
        <w:t xml:space="preserve"> todo cambio en un CI debe proceder de un cambio aprobado y quedar registrado.</w:t>
      </w:r>
    </w:p>
    <w:p w14:paraId="7890D7B6" w14:textId="77777777" w:rsidR="001C0CEA" w:rsidRDefault="00000000">
      <w:pPr>
        <w:pStyle w:val="Prrafodelista"/>
        <w:numPr>
          <w:ilvl w:val="0"/>
          <w:numId w:val="2"/>
        </w:numPr>
        <w:spacing w:after="60"/>
      </w:pPr>
      <w:r>
        <w:rPr>
          <w:b/>
          <w:bCs/>
        </w:rPr>
        <w:t>Auditoría/verificación:</w:t>
      </w:r>
      <w:r>
        <w:t xml:space="preserve"> comparar la CMDB con la realidad (descubrimiento automático) y corregir desviaciones.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C0CEA" w14:paraId="53DFA277" w14:textId="77777777">
        <w:trPr>
          <w:cantSplit/>
        </w:trPr>
        <w:tc>
          <w:tcPr>
            <w:tcW w:w="9026" w:type="dxa"/>
            <w:tcBorders>
              <w:top w:val="single" w:sz="12" w:space="0" w:color="BF9000"/>
              <w:left w:val="single" w:sz="12" w:space="0" w:color="BF9000"/>
              <w:bottom w:val="single" w:sz="12" w:space="0" w:color="BF9000"/>
              <w:right w:val="single" w:sz="12" w:space="0" w:color="BF9000"/>
            </w:tcBorders>
            <w:shd w:val="clear" w:color="auto" w:fill="FFF2CC"/>
            <w:tcMar>
              <w:top w:w="120" w:type="dxa"/>
              <w:left w:w="160" w:type="dxa"/>
              <w:bottom w:w="120" w:type="dxa"/>
              <w:right w:w="160" w:type="dxa"/>
            </w:tcMar>
          </w:tcPr>
          <w:p w14:paraId="67B05A0D" w14:textId="77777777" w:rsidR="001C0CEA" w:rsidRDefault="00000000">
            <w:pPr>
              <w:spacing w:after="80"/>
            </w:pPr>
            <w:r>
              <w:rPr>
                <w:b/>
                <w:bCs/>
                <w:color w:val="7F6000"/>
              </w:rPr>
              <w:t>Claves para el examen</w:t>
            </w:r>
          </w:p>
          <w:p w14:paraId="737B8527" w14:textId="77777777" w:rsidR="001C0CEA" w:rsidRDefault="00000000">
            <w:pPr>
              <w:pStyle w:val="Prrafodelista"/>
              <w:numPr>
                <w:ilvl w:val="0"/>
                <w:numId w:val="2"/>
              </w:numPr>
              <w:spacing w:after="40"/>
            </w:pPr>
            <w:r>
              <w:rPr>
                <w:sz w:val="20"/>
                <w:szCs w:val="20"/>
              </w:rPr>
              <w:t>CI = elemento de configuración; CMDB = CI + relaciones.</w:t>
            </w:r>
          </w:p>
          <w:p w14:paraId="64B0209A" w14:textId="77777777" w:rsidR="001C0CEA" w:rsidRDefault="00000000">
            <w:pPr>
              <w:pStyle w:val="Prrafodelista"/>
              <w:numPr>
                <w:ilvl w:val="0"/>
                <w:numId w:val="2"/>
              </w:numPr>
              <w:spacing w:after="40"/>
            </w:pPr>
            <w:r>
              <w:rPr>
                <w:sz w:val="20"/>
                <w:szCs w:val="20"/>
              </w:rPr>
              <w:t>La CMDB alimenta la evaluación de impacto de cambios e incidencias.</w:t>
            </w:r>
          </w:p>
        </w:tc>
      </w:tr>
    </w:tbl>
    <w:p w14:paraId="456885FF" w14:textId="77777777" w:rsidR="001C0CEA" w:rsidRDefault="001C0CEA">
      <w:pPr>
        <w:spacing w:after="120"/>
      </w:pPr>
    </w:p>
    <w:p w14:paraId="55E96E83" w14:textId="77777777" w:rsidR="001C0CEA" w:rsidRDefault="00000000">
      <w:pPr>
        <w:pStyle w:val="Ttulo1"/>
        <w:pageBreakBefore/>
      </w:pPr>
      <w:bookmarkStart w:id="98" w:name="_Toc241337979"/>
      <w:r>
        <w:lastRenderedPageBreak/>
        <w:t>25. Organización de un centro de proceso de datos</w:t>
      </w:r>
      <w:bookmarkEnd w:id="98"/>
    </w:p>
    <w:p w14:paraId="7741807D" w14:textId="77777777" w:rsidR="001C0CEA" w:rsidRDefault="00000000">
      <w:pPr>
        <w:spacing w:after="120"/>
        <w:jc w:val="both"/>
      </w:pPr>
      <w:r>
        <w:t xml:space="preserve">La siguiente es una organización </w:t>
      </w:r>
      <w:r>
        <w:rPr>
          <w:b/>
          <w:bCs/>
        </w:rPr>
        <w:t>genérica y orientativa</w:t>
      </w:r>
      <w:r>
        <w:t xml:space="preserve">; cada organización la adapta (y parte de las funciones puede estar externalizada). </w:t>
      </w:r>
      <w:r>
        <w:rPr>
          <w:b/>
          <w:bCs/>
        </w:rPr>
        <w:t>No debe presentarse como la organización oficial del SAS</w:t>
      </w:r>
      <w:r>
        <w:t>, que se describe en el apartado 26.</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5726"/>
      </w:tblGrid>
      <w:tr w:rsidR="001C0CEA" w14:paraId="07AA3B61" w14:textId="77777777">
        <w:trPr>
          <w:tblHeader/>
        </w:trPr>
        <w:tc>
          <w:tcPr>
            <w:tcW w:w="33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26EB20A4" w14:textId="77777777" w:rsidR="001C0CEA" w:rsidRDefault="00000000">
            <w:r>
              <w:rPr>
                <w:b/>
                <w:bCs/>
                <w:color w:val="FFFFFF"/>
                <w:sz w:val="19"/>
                <w:szCs w:val="19"/>
              </w:rPr>
              <w:t>Rol</w:t>
            </w:r>
          </w:p>
        </w:tc>
        <w:tc>
          <w:tcPr>
            <w:tcW w:w="5726"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254FF657" w14:textId="77777777" w:rsidR="001C0CEA" w:rsidRDefault="00000000">
            <w:r>
              <w:rPr>
                <w:b/>
                <w:bCs/>
                <w:color w:val="FFFFFF"/>
                <w:sz w:val="19"/>
                <w:szCs w:val="19"/>
              </w:rPr>
              <w:t>Funciones principales</w:t>
            </w:r>
          </w:p>
        </w:tc>
      </w:tr>
      <w:tr w:rsidR="001C0CEA" w14:paraId="3D723267" w14:textId="77777777">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8B4AE90" w14:textId="77777777" w:rsidR="001C0CEA" w:rsidRDefault="00000000">
            <w:r>
              <w:rPr>
                <w:sz w:val="19"/>
                <w:szCs w:val="19"/>
              </w:rPr>
              <w:t>Dirección TIC / del CPD</w:t>
            </w:r>
          </w:p>
        </w:tc>
        <w:tc>
          <w:tcPr>
            <w:tcW w:w="57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699983D" w14:textId="77777777" w:rsidR="001C0CEA" w:rsidRDefault="00000000">
            <w:r>
              <w:rPr>
                <w:sz w:val="19"/>
                <w:szCs w:val="19"/>
              </w:rPr>
              <w:t>Estrategia, presupuesto, contratación, relación con el negocio, riesgos</w:t>
            </w:r>
          </w:p>
        </w:tc>
      </w:tr>
      <w:tr w:rsidR="001C0CEA" w14:paraId="27493FDF" w14:textId="77777777">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10475E1" w14:textId="77777777" w:rsidR="001C0CEA" w:rsidRDefault="00000000">
            <w:r>
              <w:rPr>
                <w:sz w:val="19"/>
                <w:szCs w:val="19"/>
              </w:rPr>
              <w:t>Responsable de infraestructuras</w:t>
            </w:r>
          </w:p>
        </w:tc>
        <w:tc>
          <w:tcPr>
            <w:tcW w:w="57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32B1820" w14:textId="77777777" w:rsidR="001C0CEA" w:rsidRDefault="00000000">
            <w:r>
              <w:rPr>
                <w:sz w:val="19"/>
                <w:szCs w:val="19"/>
              </w:rPr>
              <w:t>Instalaciones físicas, energía, clima, capacidad del CPD, proveedores de facilities</w:t>
            </w:r>
          </w:p>
        </w:tc>
      </w:tr>
      <w:tr w:rsidR="001C0CEA" w14:paraId="7568BF20" w14:textId="77777777">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02402FD" w14:textId="77777777" w:rsidR="001C0CEA" w:rsidRDefault="00000000">
            <w:r>
              <w:rPr>
                <w:sz w:val="19"/>
                <w:szCs w:val="19"/>
              </w:rPr>
              <w:t>Administradores de sistemas</w:t>
            </w:r>
          </w:p>
        </w:tc>
        <w:tc>
          <w:tcPr>
            <w:tcW w:w="57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0937E80" w14:textId="77777777" w:rsidR="001C0CEA" w:rsidRDefault="00000000">
            <w:r>
              <w:rPr>
                <w:sz w:val="19"/>
                <w:szCs w:val="19"/>
              </w:rPr>
              <w:t>Sistemas operativos, virtualización, plataformas</w:t>
            </w:r>
          </w:p>
        </w:tc>
      </w:tr>
      <w:tr w:rsidR="001C0CEA" w14:paraId="0AA18203" w14:textId="77777777">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E792B88" w14:textId="77777777" w:rsidR="001C0CEA" w:rsidRDefault="00000000">
            <w:r>
              <w:rPr>
                <w:sz w:val="19"/>
                <w:szCs w:val="19"/>
              </w:rPr>
              <w:t>Administradores de bases de datos (DBA)</w:t>
            </w:r>
          </w:p>
        </w:tc>
        <w:tc>
          <w:tcPr>
            <w:tcW w:w="57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987D275" w14:textId="77777777" w:rsidR="001C0CEA" w:rsidRDefault="00000000">
            <w:r>
              <w:rPr>
                <w:sz w:val="19"/>
                <w:szCs w:val="19"/>
              </w:rPr>
              <w:t>Instalación, rendimiento, copias y recuperación de BBDD</w:t>
            </w:r>
          </w:p>
        </w:tc>
      </w:tr>
      <w:tr w:rsidR="001C0CEA" w14:paraId="3F1556C2" w14:textId="77777777">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10566B5" w14:textId="77777777" w:rsidR="001C0CEA" w:rsidRDefault="00000000">
            <w:r>
              <w:rPr>
                <w:sz w:val="19"/>
                <w:szCs w:val="19"/>
              </w:rPr>
              <w:t>Administradores de redes y comunicaciones</w:t>
            </w:r>
          </w:p>
        </w:tc>
        <w:tc>
          <w:tcPr>
            <w:tcW w:w="57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74221BD" w14:textId="77777777" w:rsidR="001C0CEA" w:rsidRDefault="00000000">
            <w:r>
              <w:rPr>
                <w:sz w:val="19"/>
                <w:szCs w:val="19"/>
              </w:rPr>
              <w:t>LAN, WAN, cortafuegos, balanceadores</w:t>
            </w:r>
          </w:p>
        </w:tc>
      </w:tr>
      <w:tr w:rsidR="001C0CEA" w14:paraId="04D6AF77" w14:textId="77777777">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0AE1723" w14:textId="77777777" w:rsidR="001C0CEA" w:rsidRDefault="00000000">
            <w:r>
              <w:rPr>
                <w:sz w:val="19"/>
                <w:szCs w:val="19"/>
              </w:rPr>
              <w:t>Administradores de almacenamiento y backup</w:t>
            </w:r>
          </w:p>
        </w:tc>
        <w:tc>
          <w:tcPr>
            <w:tcW w:w="57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1BA5835" w14:textId="77777777" w:rsidR="001C0CEA" w:rsidRDefault="00000000">
            <w:r>
              <w:rPr>
                <w:sz w:val="19"/>
                <w:szCs w:val="19"/>
              </w:rPr>
              <w:t>Cabinas, SAN, replicación, políticas de copia</w:t>
            </w:r>
          </w:p>
        </w:tc>
      </w:tr>
      <w:tr w:rsidR="001C0CEA" w14:paraId="4377B5F2" w14:textId="77777777">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B162346" w14:textId="77777777" w:rsidR="001C0CEA" w:rsidRDefault="00000000">
            <w:r>
              <w:rPr>
                <w:sz w:val="19"/>
                <w:szCs w:val="19"/>
              </w:rPr>
              <w:t>Operadores</w:t>
            </w:r>
          </w:p>
        </w:tc>
        <w:tc>
          <w:tcPr>
            <w:tcW w:w="57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B54135D" w14:textId="77777777" w:rsidR="001C0CEA" w:rsidRDefault="00000000">
            <w:r>
              <w:rPr>
                <w:sz w:val="19"/>
                <w:szCs w:val="19"/>
              </w:rPr>
              <w:t>Vigilancia 24×7, ejecución del plan batch, procedimientos, primer diagnóstico y escalado</w:t>
            </w:r>
          </w:p>
        </w:tc>
      </w:tr>
      <w:tr w:rsidR="001C0CEA" w14:paraId="278AED20" w14:textId="77777777">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28BD29D" w14:textId="77777777" w:rsidR="001C0CEA" w:rsidRDefault="00000000">
            <w:r>
              <w:rPr>
                <w:sz w:val="19"/>
                <w:szCs w:val="19"/>
              </w:rPr>
              <w:t>Planificación y control de la producción</w:t>
            </w:r>
          </w:p>
        </w:tc>
        <w:tc>
          <w:tcPr>
            <w:tcW w:w="57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91BB8BD" w14:textId="77777777" w:rsidR="001C0CEA" w:rsidRDefault="00000000">
            <w:r>
              <w:rPr>
                <w:sz w:val="19"/>
                <w:szCs w:val="19"/>
              </w:rPr>
              <w:t>Definición de jobs, calendarios, control del plan</w:t>
            </w:r>
          </w:p>
        </w:tc>
      </w:tr>
      <w:tr w:rsidR="001C0CEA" w14:paraId="67E692D6" w14:textId="77777777">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7B79C86" w14:textId="77777777" w:rsidR="001C0CEA" w:rsidRDefault="00000000">
            <w:r>
              <w:rPr>
                <w:sz w:val="19"/>
                <w:szCs w:val="19"/>
              </w:rPr>
              <w:t>Centro de servicios / soporte</w:t>
            </w:r>
          </w:p>
        </w:tc>
        <w:tc>
          <w:tcPr>
            <w:tcW w:w="57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9FC877C" w14:textId="77777777" w:rsidR="001C0CEA" w:rsidRDefault="00000000">
            <w:r>
              <w:rPr>
                <w:sz w:val="19"/>
                <w:szCs w:val="19"/>
              </w:rPr>
              <w:t>Recepción y resolución de incidencias y peticiones (1.er nivel)</w:t>
            </w:r>
          </w:p>
        </w:tc>
      </w:tr>
      <w:tr w:rsidR="001C0CEA" w14:paraId="5144488E" w14:textId="77777777">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39C0013" w14:textId="77777777" w:rsidR="001C0CEA" w:rsidRDefault="00000000">
            <w:r>
              <w:rPr>
                <w:sz w:val="19"/>
                <w:szCs w:val="19"/>
              </w:rPr>
              <w:t>Seguridad</w:t>
            </w:r>
          </w:p>
        </w:tc>
        <w:tc>
          <w:tcPr>
            <w:tcW w:w="57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2BB94B1" w14:textId="77777777" w:rsidR="001C0CEA" w:rsidRDefault="00000000">
            <w:r>
              <w:rPr>
                <w:sz w:val="19"/>
                <w:szCs w:val="19"/>
              </w:rPr>
              <w:t>Responsable de seguridad (ENS), SOC, gestión de vulnerabilidades</w:t>
            </w:r>
          </w:p>
        </w:tc>
      </w:tr>
      <w:tr w:rsidR="001C0CEA" w14:paraId="654A52D9" w14:textId="77777777">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3A04BE6" w14:textId="77777777" w:rsidR="001C0CEA" w:rsidRDefault="00000000">
            <w:r>
              <w:rPr>
                <w:sz w:val="19"/>
                <w:szCs w:val="19"/>
              </w:rPr>
              <w:t>Continuidad</w:t>
            </w:r>
          </w:p>
        </w:tc>
        <w:tc>
          <w:tcPr>
            <w:tcW w:w="57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78C8800" w14:textId="77777777" w:rsidR="001C0CEA" w:rsidRDefault="00000000">
            <w:r>
              <w:rPr>
                <w:sz w:val="19"/>
                <w:szCs w:val="19"/>
              </w:rPr>
              <w:t>Plan de continuidad y DR, pruebas</w:t>
            </w:r>
          </w:p>
        </w:tc>
      </w:tr>
      <w:tr w:rsidR="001C0CEA" w14:paraId="757D6EC1" w14:textId="77777777">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F592991" w14:textId="77777777" w:rsidR="001C0CEA" w:rsidRDefault="00000000">
            <w:r>
              <w:rPr>
                <w:sz w:val="19"/>
                <w:szCs w:val="19"/>
              </w:rPr>
              <w:t>Monitorización (NOC)</w:t>
            </w:r>
          </w:p>
        </w:tc>
        <w:tc>
          <w:tcPr>
            <w:tcW w:w="57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A9C9E9B" w14:textId="77777777" w:rsidR="001C0CEA" w:rsidRDefault="00000000">
            <w:r>
              <w:rPr>
                <w:sz w:val="19"/>
                <w:szCs w:val="19"/>
              </w:rPr>
              <w:t>Herramientas y consolas de supervisión</w:t>
            </w:r>
          </w:p>
        </w:tc>
      </w:tr>
      <w:tr w:rsidR="001C0CEA" w14:paraId="29166F44" w14:textId="77777777">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80EE922" w14:textId="77777777" w:rsidR="001C0CEA" w:rsidRDefault="00000000">
            <w:r>
              <w:rPr>
                <w:sz w:val="19"/>
                <w:szCs w:val="19"/>
              </w:rPr>
              <w:t>Gestión de cambios / de incidencias / de configuración</w:t>
            </w:r>
          </w:p>
        </w:tc>
        <w:tc>
          <w:tcPr>
            <w:tcW w:w="57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F12A37B" w14:textId="77777777" w:rsidR="001C0CEA" w:rsidRDefault="00000000">
            <w:r>
              <w:rPr>
                <w:sz w:val="19"/>
                <w:szCs w:val="19"/>
              </w:rPr>
              <w:t>Dueños de proceso y coordinación</w:t>
            </w:r>
          </w:p>
        </w:tc>
      </w:tr>
    </w:tbl>
    <w:p w14:paraId="5CB7456A" w14:textId="77777777" w:rsidR="001C0CEA" w:rsidRDefault="001C0CEA">
      <w:pPr>
        <w:spacing w:after="120"/>
      </w:pPr>
    </w:p>
    <w:p w14:paraId="7DEED8CF" w14:textId="77777777" w:rsidR="001C0CEA" w:rsidRDefault="00000000">
      <w:pPr>
        <w:spacing w:after="120"/>
        <w:jc w:val="both"/>
      </w:pPr>
      <w:r>
        <w:t xml:space="preserve">Desde el punto de vista </w:t>
      </w:r>
      <w:r>
        <w:rPr>
          <w:b/>
          <w:bCs/>
        </w:rPr>
        <w:t>técnico</w:t>
      </w:r>
      <w:r>
        <w:t xml:space="preserve"> la organización se estructura por tecnologías (sistemas, redes, almacenamiento); desde el </w:t>
      </w:r>
      <w:r>
        <w:rPr>
          <w:b/>
          <w:bCs/>
        </w:rPr>
        <w:t>operativo</w:t>
      </w:r>
      <w:r>
        <w:t xml:space="preserve">, por turnos y niveles de soporte; desde el </w:t>
      </w:r>
      <w:r>
        <w:rPr>
          <w:b/>
          <w:bCs/>
        </w:rPr>
        <w:t>organizativo</w:t>
      </w:r>
      <w:r>
        <w:t xml:space="preserve">, por dependencia jerárquica y responsabilidades; y desde el </w:t>
      </w:r>
      <w:r>
        <w:rPr>
          <w:b/>
          <w:bCs/>
        </w:rPr>
        <w:t>funcional</w:t>
      </w:r>
      <w:r>
        <w:t xml:space="preserve">, por procesos de gestión de servicio (incidencias, cambios, capacidad…). La </w:t>
      </w:r>
      <w:r>
        <w:rPr>
          <w:b/>
          <w:bCs/>
        </w:rPr>
        <w:t>segregación de funciones</w:t>
      </w:r>
      <w:r>
        <w:t xml:space="preserve"> (desarrollo/producción, administración/auditoría) es un principio de control.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C0CEA" w14:paraId="18EFE4B5" w14:textId="77777777">
        <w:trPr>
          <w:cantSplit/>
        </w:trPr>
        <w:tc>
          <w:tcPr>
            <w:tcW w:w="9026" w:type="dxa"/>
            <w:tcBorders>
              <w:top w:val="single" w:sz="12" w:space="0" w:color="BF9000"/>
              <w:left w:val="single" w:sz="12" w:space="0" w:color="BF9000"/>
              <w:bottom w:val="single" w:sz="12" w:space="0" w:color="BF9000"/>
              <w:right w:val="single" w:sz="12" w:space="0" w:color="BF9000"/>
            </w:tcBorders>
            <w:shd w:val="clear" w:color="auto" w:fill="FFF2CC"/>
            <w:tcMar>
              <w:top w:w="120" w:type="dxa"/>
              <w:left w:w="160" w:type="dxa"/>
              <w:bottom w:w="120" w:type="dxa"/>
              <w:right w:w="160" w:type="dxa"/>
            </w:tcMar>
          </w:tcPr>
          <w:p w14:paraId="4F006D37" w14:textId="77777777" w:rsidR="001C0CEA" w:rsidRDefault="00000000">
            <w:pPr>
              <w:spacing w:after="80"/>
            </w:pPr>
            <w:r>
              <w:rPr>
                <w:b/>
                <w:bCs/>
                <w:color w:val="7F6000"/>
              </w:rPr>
              <w:t>Claves para el examen</w:t>
            </w:r>
          </w:p>
          <w:p w14:paraId="5E6AC619" w14:textId="77777777" w:rsidR="001C0CEA" w:rsidRDefault="00000000">
            <w:pPr>
              <w:pStyle w:val="Prrafodelista"/>
              <w:numPr>
                <w:ilvl w:val="0"/>
                <w:numId w:val="2"/>
              </w:numPr>
              <w:spacing w:after="40"/>
            </w:pPr>
            <w:r>
              <w:rPr>
                <w:sz w:val="20"/>
                <w:szCs w:val="20"/>
              </w:rPr>
              <w:t>La organización genérica por roles no es la estructura oficial del SAS.</w:t>
            </w:r>
          </w:p>
          <w:p w14:paraId="413E953C" w14:textId="77777777" w:rsidR="001C0CEA" w:rsidRDefault="00000000">
            <w:pPr>
              <w:pStyle w:val="Prrafodelista"/>
              <w:numPr>
                <w:ilvl w:val="0"/>
                <w:numId w:val="2"/>
              </w:numPr>
              <w:spacing w:after="40"/>
            </w:pPr>
            <w:r>
              <w:rPr>
                <w:sz w:val="20"/>
                <w:szCs w:val="20"/>
              </w:rPr>
              <w:t>Segregación de funciones: quien desarrolla no opera producción.</w:t>
            </w:r>
          </w:p>
        </w:tc>
      </w:tr>
    </w:tbl>
    <w:p w14:paraId="4625B94A" w14:textId="77777777" w:rsidR="001C0CEA" w:rsidRDefault="001C0CEA">
      <w:pPr>
        <w:spacing w:after="120"/>
      </w:pPr>
    </w:p>
    <w:p w14:paraId="304214F0" w14:textId="77777777" w:rsidR="001C0CEA" w:rsidRDefault="00000000">
      <w:pPr>
        <w:pStyle w:val="Ttulo1"/>
        <w:pageBreakBefore/>
      </w:pPr>
      <w:bookmarkStart w:id="99" w:name="_Toc241337980"/>
      <w:r>
        <w:lastRenderedPageBreak/>
        <w:t>26. Organización de los CPD y de los sistemas de información del Servicio Andaluz de Salud (situación actual)</w:t>
      </w:r>
      <w:bookmarkEnd w:id="9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C0CEA" w14:paraId="4FD69C1F" w14:textId="77777777">
        <w:trPr>
          <w:cantSplit/>
        </w:trPr>
        <w:tc>
          <w:tcPr>
            <w:tcW w:w="9026" w:type="dxa"/>
            <w:tcBorders>
              <w:top w:val="single" w:sz="12" w:space="0" w:color="2E75B6"/>
              <w:left w:val="single" w:sz="12" w:space="0" w:color="2E75B6"/>
              <w:bottom w:val="single" w:sz="12" w:space="0" w:color="2E75B6"/>
              <w:right w:val="single" w:sz="12" w:space="0" w:color="2E75B6"/>
            </w:tcBorders>
            <w:shd w:val="clear" w:color="auto" w:fill="DEEAF6"/>
            <w:tcMar>
              <w:top w:w="120" w:type="dxa"/>
              <w:left w:w="160" w:type="dxa"/>
              <w:bottom w:w="120" w:type="dxa"/>
              <w:right w:w="160" w:type="dxa"/>
            </w:tcMar>
          </w:tcPr>
          <w:p w14:paraId="722A18D8" w14:textId="77777777" w:rsidR="001C0CEA" w:rsidRDefault="00000000">
            <w:pPr>
              <w:spacing w:after="80"/>
            </w:pPr>
            <w:r>
              <w:rPr>
                <w:b/>
                <w:bCs/>
                <w:color w:val="2E75B6"/>
              </w:rPr>
              <w:t>Fecha de referencia y naturaleza de la información</w:t>
            </w:r>
          </w:p>
          <w:p w14:paraId="5408189E" w14:textId="77777777" w:rsidR="001C0CEA" w:rsidRDefault="00000000">
            <w:pPr>
              <w:pStyle w:val="Prrafodelista"/>
              <w:numPr>
                <w:ilvl w:val="0"/>
                <w:numId w:val="2"/>
              </w:numPr>
              <w:spacing w:after="40"/>
            </w:pPr>
            <w:r>
              <w:rPr>
                <w:sz w:val="20"/>
                <w:szCs w:val="20"/>
              </w:rPr>
              <w:t xml:space="preserve">Situación verificada a </w:t>
            </w:r>
            <w:r>
              <w:rPr>
                <w:b/>
                <w:bCs/>
                <w:sz w:val="20"/>
                <w:szCs w:val="20"/>
              </w:rPr>
              <w:t>26 de septiembre de 2026</w:t>
            </w:r>
            <w:r>
              <w:rPr>
                <w:sz w:val="20"/>
                <w:szCs w:val="20"/>
              </w:rPr>
              <w:t xml:space="preserve"> con fuentes oficiales (BOJA, portal de la Junta de Andalucía y portal del SAS) y documentación contractual pública.</w:t>
            </w:r>
          </w:p>
          <w:p w14:paraId="55A552DE" w14:textId="77777777" w:rsidR="001C0CEA" w:rsidRDefault="00000000">
            <w:pPr>
              <w:pStyle w:val="Prrafodelista"/>
              <w:numPr>
                <w:ilvl w:val="0"/>
                <w:numId w:val="2"/>
              </w:numPr>
              <w:spacing w:after="40"/>
            </w:pPr>
            <w:r>
              <w:rPr>
                <w:sz w:val="20"/>
                <w:szCs w:val="20"/>
              </w:rPr>
              <w:t xml:space="preserve">Se indica en cada caso si el dato procede de </w:t>
            </w:r>
            <w:r>
              <w:rPr>
                <w:b/>
                <w:bCs/>
                <w:sz w:val="20"/>
                <w:szCs w:val="20"/>
              </w:rPr>
              <w:t>norma</w:t>
            </w:r>
            <w:r>
              <w:rPr>
                <w:sz w:val="20"/>
                <w:szCs w:val="20"/>
              </w:rPr>
              <w:t xml:space="preserve"> (BOJA), de </w:t>
            </w:r>
            <w:r>
              <w:rPr>
                <w:b/>
                <w:bCs/>
                <w:sz w:val="20"/>
                <w:szCs w:val="20"/>
              </w:rPr>
              <w:t>información institucional</w:t>
            </w:r>
            <w:r>
              <w:rPr>
                <w:sz w:val="20"/>
                <w:szCs w:val="20"/>
              </w:rPr>
              <w:t xml:space="preserve"> (portales oficiales), de </w:t>
            </w:r>
            <w:r>
              <w:rPr>
                <w:b/>
                <w:bCs/>
                <w:sz w:val="20"/>
                <w:szCs w:val="20"/>
              </w:rPr>
              <w:t>documentación contractual</w:t>
            </w:r>
            <w:r>
              <w:rPr>
                <w:sz w:val="20"/>
                <w:szCs w:val="20"/>
              </w:rPr>
              <w:t xml:space="preserve"> (pliegos/licitaciones) o de </w:t>
            </w:r>
            <w:r>
              <w:rPr>
                <w:b/>
                <w:bCs/>
                <w:sz w:val="20"/>
                <w:szCs w:val="20"/>
              </w:rPr>
              <w:t>prensa</w:t>
            </w:r>
            <w:r>
              <w:rPr>
                <w:sz w:val="20"/>
                <w:szCs w:val="20"/>
              </w:rPr>
              <w:t>. Lo no verificado no se presenta como hecho.</w:t>
            </w:r>
          </w:p>
          <w:p w14:paraId="4268F6F3" w14:textId="77777777" w:rsidR="001C0CEA" w:rsidRDefault="00000000">
            <w:pPr>
              <w:pStyle w:val="Prrafodelista"/>
              <w:numPr>
                <w:ilvl w:val="0"/>
                <w:numId w:val="2"/>
              </w:numPr>
              <w:spacing w:after="40"/>
            </w:pPr>
            <w:r>
              <w:rPr>
                <w:sz w:val="20"/>
                <w:szCs w:val="20"/>
              </w:rPr>
              <w:t xml:space="preserve">La estructura de la Junta cambió en julio de 2026 (XIII Legislatura). Si la fecha de tu examen es posterior, </w:t>
            </w:r>
            <w:r>
              <w:rPr>
                <w:b/>
                <w:bCs/>
                <w:sz w:val="20"/>
                <w:szCs w:val="20"/>
              </w:rPr>
              <w:t>comprueba en el BOJA</w:t>
            </w:r>
            <w:r>
              <w:rPr>
                <w:sz w:val="20"/>
                <w:szCs w:val="20"/>
              </w:rPr>
              <w:t xml:space="preserve"> si ha habido nuevas modificaciones.</w:t>
            </w:r>
          </w:p>
        </w:tc>
      </w:tr>
    </w:tbl>
    <w:p w14:paraId="773034EA" w14:textId="77777777" w:rsidR="001C0CEA" w:rsidRDefault="001C0CEA">
      <w:pPr>
        <w:spacing w:after="120"/>
      </w:pPr>
    </w:p>
    <w:p w14:paraId="0F6AE52E" w14:textId="77777777" w:rsidR="001C0CEA" w:rsidRDefault="00000000">
      <w:pPr>
        <w:pStyle w:val="Ttulo2"/>
      </w:pPr>
      <w:bookmarkStart w:id="100" w:name="_Toc241337981"/>
      <w:r>
        <w:t>26.1. Encaje institucional del SAS</w:t>
      </w:r>
      <w:bookmarkEnd w:id="100"/>
    </w:p>
    <w:p w14:paraId="12E6C60B" w14:textId="77777777" w:rsidR="001C0CEA" w:rsidRDefault="00000000">
      <w:pPr>
        <w:spacing w:after="120"/>
        <w:jc w:val="both"/>
      </w:pPr>
      <w:r>
        <w:rPr>
          <w:b/>
          <w:bCs/>
        </w:rPr>
        <w:t>[Norma]</w:t>
      </w:r>
      <w:r>
        <w:t xml:space="preserve"> El </w:t>
      </w:r>
      <w:r>
        <w:rPr>
          <w:b/>
          <w:bCs/>
        </w:rPr>
        <w:t>Servicio Andaluz de Salud</w:t>
      </w:r>
      <w:r>
        <w:t xml:space="preserve"> es una </w:t>
      </w:r>
      <w:r>
        <w:rPr>
          <w:b/>
          <w:bCs/>
        </w:rPr>
        <w:t>agencia administrativa</w:t>
      </w:r>
      <w:r>
        <w:t xml:space="preserve"> de las previstas en el artículo 65 de la Ley 9/2007, de 22 de octubre, de la Administración de la Junta de Andalucía, adscrita a la </w:t>
      </w:r>
      <w:r>
        <w:rPr>
          <w:b/>
          <w:bCs/>
        </w:rPr>
        <w:t>Consejería de Presidencia, Sanidad y Emergencias</w:t>
      </w:r>
      <w:r>
        <w:t xml:space="preserve"> y, dentro de ella, a la </w:t>
      </w:r>
      <w:r>
        <w:rPr>
          <w:b/>
          <w:bCs/>
        </w:rPr>
        <w:t>Viceconsejería de Sanidad y Consumo</w:t>
      </w:r>
      <w:r>
        <w:t xml:space="preserve"> (Decreto 189/2026, de 30 de julio, por el que se establece la estructura orgánica de la Consejería de Presidencia, Sanidad y Emergencias; BOJA extraordinario n.º 15, de 31 de julio de 2026). La reorganización deriva del </w:t>
      </w:r>
      <w:r>
        <w:rPr>
          <w:b/>
          <w:bCs/>
        </w:rPr>
        <w:t>Decreto del Presidente 9/2026, de 9 de julio</w:t>
      </w:r>
      <w:r>
        <w:t>, que reestructuró las Consejerías.</w:t>
      </w:r>
    </w:p>
    <w:p w14:paraId="3A484D8B" w14:textId="77777777" w:rsidR="001C0CEA" w:rsidRDefault="00000000">
      <w:pPr>
        <w:spacing w:after="120"/>
        <w:jc w:val="both"/>
      </w:pPr>
      <w:r>
        <w:rPr>
          <w:b/>
          <w:bCs/>
        </w:rPr>
        <w:t>[Norma / portal oficial]</w:t>
      </w:r>
      <w:r>
        <w:t xml:space="preserve"> Órganos directivos del SAS vigentes:</w:t>
      </w:r>
    </w:p>
    <w:p w14:paraId="02D39428" w14:textId="77777777" w:rsidR="001C0CEA" w:rsidRDefault="00000000">
      <w:pPr>
        <w:pStyle w:val="Prrafodelista"/>
        <w:numPr>
          <w:ilvl w:val="0"/>
          <w:numId w:val="2"/>
        </w:numPr>
        <w:spacing w:after="60"/>
      </w:pPr>
      <w:r>
        <w:rPr>
          <w:b/>
          <w:bCs/>
        </w:rPr>
        <w:t>Dirección Gerencia</w:t>
      </w:r>
      <w:r>
        <w:t>, con rango de Viceconsejería (titular a la fecha: María de los Ángeles García Rescalvo, según el portal de la Junta).</w:t>
      </w:r>
    </w:p>
    <w:p w14:paraId="09E78106" w14:textId="77777777" w:rsidR="001C0CEA" w:rsidRDefault="00000000">
      <w:pPr>
        <w:pStyle w:val="Prrafodelista"/>
        <w:numPr>
          <w:ilvl w:val="0"/>
          <w:numId w:val="2"/>
        </w:numPr>
        <w:spacing w:after="60"/>
      </w:pPr>
      <w:r>
        <w:rPr>
          <w:b/>
          <w:bCs/>
        </w:rPr>
        <w:t>Dirección General de Asistencia Sanitaria y Resultados en Salud.</w:t>
      </w:r>
    </w:p>
    <w:p w14:paraId="114D8965" w14:textId="77777777" w:rsidR="001C0CEA" w:rsidRDefault="00000000">
      <w:pPr>
        <w:pStyle w:val="Prrafodelista"/>
        <w:numPr>
          <w:ilvl w:val="0"/>
          <w:numId w:val="2"/>
        </w:numPr>
        <w:spacing w:after="60"/>
      </w:pPr>
      <w:r>
        <w:rPr>
          <w:b/>
          <w:bCs/>
        </w:rPr>
        <w:t>Dirección General de Recursos Económicos y Financieros, y Contratación</w:t>
      </w:r>
      <w:r>
        <w:t xml:space="preserve"> (antes, Dirección General de Gestión Económica y Servicios).</w:t>
      </w:r>
    </w:p>
    <w:p w14:paraId="669C935D" w14:textId="77777777" w:rsidR="001C0CEA" w:rsidRDefault="00000000">
      <w:pPr>
        <w:pStyle w:val="Prrafodelista"/>
        <w:numPr>
          <w:ilvl w:val="0"/>
          <w:numId w:val="2"/>
        </w:numPr>
        <w:spacing w:after="60"/>
      </w:pPr>
      <w:r>
        <w:rPr>
          <w:b/>
          <w:bCs/>
        </w:rPr>
        <w:t>Dirección General de Personal.</w:t>
      </w:r>
    </w:p>
    <w:p w14:paraId="1FCE43C5" w14:textId="77777777" w:rsidR="001C0CEA" w:rsidRDefault="00000000">
      <w:pPr>
        <w:pStyle w:val="Prrafodelista"/>
        <w:numPr>
          <w:ilvl w:val="0"/>
          <w:numId w:val="2"/>
        </w:numPr>
        <w:spacing w:after="60"/>
      </w:pPr>
      <w:r>
        <w:rPr>
          <w:b/>
          <w:bCs/>
        </w:rPr>
        <w:t>Dirección General de Transformación e Infraestructuras Sanitarias</w:t>
      </w:r>
      <w:r>
        <w:t xml:space="preserve"> (de nueva creación en 2026; orientada a la transformación del sistema sanitario y a la planificación de las infraestructuras sanitarias).</w:t>
      </w:r>
    </w:p>
    <w:p w14:paraId="470AAACB" w14:textId="77777777" w:rsidR="001C0CEA" w:rsidRDefault="00000000">
      <w:pPr>
        <w:pStyle w:val="Prrafodelista"/>
        <w:numPr>
          <w:ilvl w:val="0"/>
          <w:numId w:val="2"/>
        </w:numPr>
        <w:spacing w:after="60"/>
      </w:pPr>
      <w:r>
        <w:rPr>
          <w:b/>
          <w:bCs/>
        </w:rPr>
        <w:t>Dirección General de Salud Digital e Infraestructuras Tecnológicas (DGSDIT)</w:t>
      </w:r>
      <w:r>
        <w:t xml:space="preserve"> (antes, Dirección General de Tecnologías de la Información y Comunicaciones).</w:t>
      </w:r>
    </w:p>
    <w:p w14:paraId="7F46F97F" w14:textId="77777777" w:rsidR="001C0CEA" w:rsidRDefault="00000000">
      <w:pPr>
        <w:jc w:val="center"/>
      </w:pPr>
      <w:r>
        <w:rPr>
          <w:noProof/>
        </w:rPr>
        <w:lastRenderedPageBreak/>
        <w:drawing>
          <wp:inline distT="0" distB="0" distL="0" distR="0" wp14:anchorId="29A2E842" wp14:editId="69B50477">
            <wp:extent cx="5905500" cy="3238500"/>
            <wp:effectExtent l="0" t="0" r="0" b="0"/>
            <wp:docPr id="1888430158" name="Figura 5. Encaje de la DG de Salud Digital e Infraestructuras Tecnológicas (septiembre de 2026)." descr="Figura 5. Encaje de la DG de Salud Digital e Infraestructuras Tecnológicas (septiembre de 2026)." title="Figura 5. Encaje de la DG de Salud Digital e Infraestructuras Tecnológicas (septiembre de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05500" cy="3238500"/>
                    </a:xfrm>
                    <a:prstGeom prst="rect">
                      <a:avLst/>
                    </a:prstGeom>
                  </pic:spPr>
                </pic:pic>
              </a:graphicData>
            </a:graphic>
          </wp:inline>
        </w:drawing>
      </w:r>
    </w:p>
    <w:p w14:paraId="60DE6F7A" w14:textId="77777777" w:rsidR="001C0CEA" w:rsidRDefault="00000000">
      <w:pPr>
        <w:spacing w:after="160"/>
        <w:jc w:val="center"/>
      </w:pPr>
      <w:r>
        <w:rPr>
          <w:i/>
          <w:iCs/>
          <w:color w:val="595959"/>
          <w:sz w:val="18"/>
          <w:szCs w:val="18"/>
        </w:rPr>
        <w:t>Figura 5. Encaje de la DG de Salud Digital e Infraestructuras Tecnológicas (septiembre de 2026).</w:t>
      </w:r>
    </w:p>
    <w:p w14:paraId="50677C5A" w14:textId="77777777" w:rsidR="001C0CEA" w:rsidRDefault="00000000">
      <w:pPr>
        <w:pStyle w:val="Ttulo2"/>
      </w:pPr>
      <w:bookmarkStart w:id="101" w:name="_Toc241337982"/>
      <w:r>
        <w:t>26.2. La Dirección General de Salud Digital e Infraestructuras Tecnológicas</w:t>
      </w:r>
      <w:bookmarkEnd w:id="101"/>
    </w:p>
    <w:p w14:paraId="2D1A6B27" w14:textId="77777777" w:rsidR="001C0CEA" w:rsidRDefault="00000000">
      <w:pPr>
        <w:spacing w:after="120"/>
        <w:jc w:val="both"/>
      </w:pPr>
      <w:r>
        <w:rPr>
          <w:b/>
          <w:bCs/>
        </w:rPr>
        <w:t>[Norma]</w:t>
      </w:r>
      <w:r>
        <w:t xml:space="preserve"> Es el órgano directivo del SAS competente en tecnologías de la información y comunicaciones y, por tanto, en la </w:t>
      </w:r>
      <w:r>
        <w:rPr>
          <w:b/>
          <w:bCs/>
        </w:rPr>
        <w:t>infraestructura tecnológica y los CPD</w:t>
      </w:r>
      <w:r>
        <w:t xml:space="preserve"> del organismo. Sus atribuciones se ejercen </w:t>
      </w:r>
      <w:r>
        <w:rPr>
          <w:b/>
          <w:bCs/>
        </w:rPr>
        <w:t>sin perjuicio de las competencias de la Agencia Digital de Andalucía y en coordinación con ella</w:t>
      </w:r>
      <w:r>
        <w:t>. Entre ellas, las más relacionadas con este tema son:</w:t>
      </w:r>
    </w:p>
    <w:p w14:paraId="698D8491" w14:textId="77777777" w:rsidR="001C0CEA" w:rsidRDefault="00000000">
      <w:pPr>
        <w:pStyle w:val="Prrafodelista"/>
        <w:numPr>
          <w:ilvl w:val="0"/>
          <w:numId w:val="2"/>
        </w:numPr>
        <w:spacing w:after="60"/>
      </w:pPr>
      <w:r>
        <w:t xml:space="preserve">Desarrollo y ejecución de la </w:t>
      </w:r>
      <w:r>
        <w:rPr>
          <w:b/>
          <w:bCs/>
        </w:rPr>
        <w:t>Estrategia de Salud Digital</w:t>
      </w:r>
      <w:r>
        <w:t xml:space="preserve"> en el ámbito del SAS.</w:t>
      </w:r>
    </w:p>
    <w:p w14:paraId="7523A0DD" w14:textId="77777777" w:rsidR="001C0CEA" w:rsidRDefault="00000000">
      <w:pPr>
        <w:pStyle w:val="Prrafodelista"/>
        <w:numPr>
          <w:ilvl w:val="0"/>
          <w:numId w:val="2"/>
        </w:numPr>
        <w:spacing w:after="60"/>
      </w:pPr>
      <w:r>
        <w:t xml:space="preserve">Planificación, ejecución y supervisión de proyectos de servicios digitales, </w:t>
      </w:r>
      <w:r>
        <w:rPr>
          <w:b/>
          <w:bCs/>
        </w:rPr>
        <w:t>garantizando su calidad y disponibilidad</w:t>
      </w:r>
      <w:r>
        <w:t>.</w:t>
      </w:r>
    </w:p>
    <w:p w14:paraId="72DF3797" w14:textId="77777777" w:rsidR="001C0CEA" w:rsidRDefault="00000000">
      <w:pPr>
        <w:pStyle w:val="Prrafodelista"/>
        <w:numPr>
          <w:ilvl w:val="0"/>
          <w:numId w:val="2"/>
        </w:numPr>
        <w:spacing w:after="60"/>
      </w:pPr>
      <w:r>
        <w:rPr>
          <w:b/>
          <w:bCs/>
        </w:rPr>
        <w:t>Planificar y gestionar la infraestructura tecnológica y las comunicaciones</w:t>
      </w:r>
      <w:r>
        <w:t xml:space="preserve"> del SAS.</w:t>
      </w:r>
    </w:p>
    <w:p w14:paraId="78649F0D" w14:textId="77777777" w:rsidR="001C0CEA" w:rsidRDefault="00000000">
      <w:pPr>
        <w:pStyle w:val="Prrafodelista"/>
        <w:numPr>
          <w:ilvl w:val="0"/>
          <w:numId w:val="2"/>
        </w:numPr>
        <w:spacing w:after="60"/>
      </w:pPr>
      <w:r>
        <w:t xml:space="preserve">Programar y planificar recursos tecnológicos para un </w:t>
      </w:r>
      <w:r>
        <w:rPr>
          <w:b/>
          <w:bCs/>
        </w:rPr>
        <w:t>uso eficiente y sostenible</w:t>
      </w:r>
      <w:r>
        <w:t>.</w:t>
      </w:r>
    </w:p>
    <w:p w14:paraId="4736B806" w14:textId="77777777" w:rsidR="001C0CEA" w:rsidRDefault="00000000">
      <w:pPr>
        <w:pStyle w:val="Prrafodelista"/>
        <w:numPr>
          <w:ilvl w:val="0"/>
          <w:numId w:val="2"/>
        </w:numPr>
        <w:spacing w:after="60"/>
      </w:pPr>
      <w:r>
        <w:t xml:space="preserve">Implementar y supervisar </w:t>
      </w:r>
      <w:r>
        <w:rPr>
          <w:b/>
          <w:bCs/>
        </w:rPr>
        <w:t>políticas de seguridad</w:t>
      </w:r>
      <w:r>
        <w:t xml:space="preserve"> para proteger la infraestructura tecnológica y los datos de los pacientes frente a ciberamenazas; coordinar el cumplimiento de la normativa de </w:t>
      </w:r>
      <w:r>
        <w:rPr>
          <w:b/>
          <w:bCs/>
        </w:rPr>
        <w:t>protección de datos</w:t>
      </w:r>
      <w:r>
        <w:t>.</w:t>
      </w:r>
    </w:p>
    <w:p w14:paraId="193E933A" w14:textId="77777777" w:rsidR="001C0CEA" w:rsidRDefault="00000000">
      <w:pPr>
        <w:pStyle w:val="Prrafodelista"/>
        <w:numPr>
          <w:ilvl w:val="0"/>
          <w:numId w:val="2"/>
        </w:numPr>
        <w:spacing w:after="60"/>
      </w:pPr>
      <w:r>
        <w:t xml:space="preserve">Asegurar la </w:t>
      </w:r>
      <w:r>
        <w:rPr>
          <w:b/>
          <w:bCs/>
        </w:rPr>
        <w:t>interoperabilidad</w:t>
      </w:r>
      <w:r>
        <w:t xml:space="preserve"> entre plataformas y servicios de salud.</w:t>
      </w:r>
    </w:p>
    <w:p w14:paraId="10A2D1C5" w14:textId="77777777" w:rsidR="001C0CEA" w:rsidRDefault="00000000">
      <w:pPr>
        <w:pStyle w:val="Prrafodelista"/>
        <w:numPr>
          <w:ilvl w:val="0"/>
          <w:numId w:val="2"/>
        </w:numPr>
        <w:spacing w:after="60"/>
      </w:pPr>
      <w:r>
        <w:rPr>
          <w:b/>
          <w:bCs/>
        </w:rPr>
        <w:t>Gobernanza del dato</w:t>
      </w:r>
      <w:r>
        <w:t xml:space="preserve"> (seguridad, integridad, disponibilidad y confidencialidad) e implantación de soluciones de almacenamiento y análisis.</w:t>
      </w:r>
    </w:p>
    <w:p w14:paraId="515620CC" w14:textId="77777777" w:rsidR="001C0CEA" w:rsidRDefault="00000000">
      <w:pPr>
        <w:pStyle w:val="Prrafodelista"/>
        <w:numPr>
          <w:ilvl w:val="0"/>
          <w:numId w:val="2"/>
        </w:numPr>
        <w:spacing w:after="60"/>
      </w:pPr>
      <w:r>
        <w:t xml:space="preserve">Incorporar </w:t>
      </w:r>
      <w:r>
        <w:rPr>
          <w:b/>
          <w:bCs/>
        </w:rPr>
        <w:t>tecnologías emergentes</w:t>
      </w:r>
      <w:r>
        <w:t xml:space="preserve"> como la inteligencia artificial.</w:t>
      </w:r>
    </w:p>
    <w:p w14:paraId="70350EB8" w14:textId="77777777" w:rsidR="001C0CEA" w:rsidRDefault="00000000">
      <w:pPr>
        <w:pStyle w:val="Prrafodelista"/>
        <w:numPr>
          <w:ilvl w:val="0"/>
          <w:numId w:val="2"/>
        </w:numPr>
        <w:spacing w:after="60"/>
      </w:pPr>
      <w:r>
        <w:t xml:space="preserve">Planes de renovación del </w:t>
      </w:r>
      <w:r>
        <w:rPr>
          <w:b/>
          <w:bCs/>
        </w:rPr>
        <w:t>puesto de usuario</w:t>
      </w:r>
      <w:r>
        <w:t xml:space="preserve"> y </w:t>
      </w:r>
      <w:r>
        <w:rPr>
          <w:b/>
          <w:bCs/>
        </w:rPr>
        <w:t>soporte técnico y resolución de incidencias</w:t>
      </w:r>
      <w:r>
        <w:t xml:space="preserve"> a los usuarios TIC.</w:t>
      </w:r>
    </w:p>
    <w:p w14:paraId="3E82962A" w14:textId="77777777" w:rsidR="001C0CEA" w:rsidRDefault="00000000">
      <w:pPr>
        <w:pStyle w:val="Prrafodelista"/>
        <w:numPr>
          <w:ilvl w:val="0"/>
          <w:numId w:val="2"/>
        </w:numPr>
        <w:spacing w:after="60"/>
      </w:pPr>
      <w:r>
        <w:t xml:space="preserve">Definir y desarrollar la </w:t>
      </w:r>
      <w:r>
        <w:rPr>
          <w:b/>
          <w:bCs/>
        </w:rPr>
        <w:t>agenda de transformación digital</w:t>
      </w:r>
      <w:r>
        <w:t xml:space="preserve"> del SAS, en coordinación con la ADA y alineada con la Estrategia de Salud Digital de Andalucía.</w:t>
      </w:r>
    </w:p>
    <w:p w14:paraId="32C7A3B3" w14:textId="77777777" w:rsidR="001C0CEA" w:rsidRDefault="00000000">
      <w:pPr>
        <w:spacing w:after="120"/>
        <w:jc w:val="both"/>
      </w:pPr>
      <w:r>
        <w:rPr>
          <w:b/>
          <w:bCs/>
        </w:rPr>
        <w:t>[Portal oficial]</w:t>
      </w:r>
      <w:r>
        <w:t xml:space="preserve"> Titular a la fecha: </w:t>
      </w:r>
      <w:r>
        <w:rPr>
          <w:b/>
          <w:bCs/>
        </w:rPr>
        <w:t>Ismael Vargas Pina</w:t>
      </w:r>
      <w:r>
        <w:t xml:space="preserve"> (nombrado por Decreto 350/2026, de 30 de julio). Sede: Avda. de la Constitución, 18, Sevilla. El portal de la Junta relaciona como unidades de la Dirección General la </w:t>
      </w:r>
      <w:r>
        <w:rPr>
          <w:b/>
          <w:bCs/>
        </w:rPr>
        <w:t>Subdirección Técnica Asesora de Gestión de la Información</w:t>
      </w:r>
      <w:r>
        <w:t xml:space="preserve">, la </w:t>
      </w:r>
      <w:r>
        <w:rPr>
          <w:b/>
          <w:bCs/>
        </w:rPr>
        <w:t>Coordinación de Sistemas de Información</w:t>
      </w:r>
      <w:r>
        <w:t xml:space="preserve"> y el </w:t>
      </w:r>
      <w:r>
        <w:rPr>
          <w:b/>
          <w:bCs/>
        </w:rPr>
        <w:t>Servicio de Informática</w:t>
      </w:r>
      <w:r>
        <w:t>. No se ha localizado un organigrama oficial publicado que detalle por debajo de ese nivel las áreas de infraestructuras, CPD o producción, por lo que no se describen aquí para no presentar inferencias como datos oficiales.</w:t>
      </w:r>
    </w:p>
    <w:p w14:paraId="2FDFC6B8" w14:textId="77777777" w:rsidR="001C0CEA" w:rsidRDefault="00000000">
      <w:pPr>
        <w:spacing w:after="120"/>
        <w:jc w:val="both"/>
      </w:pPr>
      <w:r>
        <w:rPr>
          <w:b/>
          <w:bCs/>
        </w:rPr>
        <w:lastRenderedPageBreak/>
        <w:t>[Norma]</w:t>
      </w:r>
      <w:r>
        <w:t xml:space="preserve"> Conviene distinguir este órgano de la </w:t>
      </w:r>
      <w:r>
        <w:rPr>
          <w:b/>
          <w:bCs/>
        </w:rPr>
        <w:t>Dirección General de Salud Digital y Ordenación Farmacéutica</w:t>
      </w:r>
      <w:r>
        <w:t xml:space="preserve">, que pertenece a la </w:t>
      </w:r>
      <w:r>
        <w:rPr>
          <w:b/>
          <w:bCs/>
        </w:rPr>
        <w:t>Consejería</w:t>
      </w:r>
      <w:r>
        <w:t xml:space="preserve"> (no al SAS) y depende de la Secretaría General de Salud Pública y Promoción de la Salud: a ella corresponden, en un plano más estratégico, el impulso de la transformación digital sanitaria en coordinación con la ADA, el </w:t>
      </w:r>
      <w:r>
        <w:rPr>
          <w:b/>
          <w:bCs/>
        </w:rPr>
        <w:t>diseño, seguimiento y evaluación de la Estrategia de Salud Digital</w:t>
      </w:r>
      <w:r>
        <w:t xml:space="preserve">, la política de gobierno del dato en salud y la implantación del Espacio Europeo de Datos de Salud. Además, las demás direcciones generales del SAS asumen la </w:t>
      </w:r>
      <w:r>
        <w:rPr>
          <w:b/>
          <w:bCs/>
        </w:rPr>
        <w:t>responsabilidad funcional</w:t>
      </w:r>
      <w:r>
        <w:t xml:space="preserve"> de los sistemas de información necesarios para sus funciones (así lo recogían expresamente los decretos de estructura anteriores).</w:t>
      </w:r>
    </w:p>
    <w:p w14:paraId="36D75FA1" w14:textId="77777777" w:rsidR="001C0CEA" w:rsidRDefault="00000000">
      <w:pPr>
        <w:pStyle w:val="Ttulo2"/>
      </w:pPr>
      <w:bookmarkStart w:id="102" w:name="_Toc241337983"/>
      <w:r>
        <w:t>26.3. Los CPD centrales del SAS</w:t>
      </w:r>
      <w:bookmarkEnd w:id="102"/>
    </w:p>
    <w:p w14:paraId="7F7C74B5" w14:textId="77777777" w:rsidR="001C0CEA" w:rsidRDefault="00000000">
      <w:pPr>
        <w:spacing w:after="120"/>
        <w:jc w:val="both"/>
      </w:pPr>
      <w:r>
        <w:rPr>
          <w:b/>
          <w:bCs/>
        </w:rPr>
        <w:t>[Documentación contractual]</w:t>
      </w:r>
      <w:r>
        <w:t xml:space="preserve"> Según la documentación pública de la licitación de los </w:t>
      </w:r>
      <w:r>
        <w:rPr>
          <w:b/>
          <w:bCs/>
        </w:rPr>
        <w:t>servicios de soporte para la gestión de los centros de procesos de datos centrales del Servicio Andaluz de Salud</w:t>
      </w:r>
      <w:r>
        <w:t xml:space="preserve"> (espacio «Licitaciones TIC» del SAS), los </w:t>
      </w:r>
      <w:r>
        <w:rPr>
          <w:b/>
          <w:bCs/>
        </w:rPr>
        <w:t>CPD corporativos del SAS son los CPD regionales de Sevilla y Málaga</w:t>
      </w:r>
      <w:r>
        <w:t xml:space="preserve">, cuya infraestructura física de sala y tareas básicas de operación se describen en el pliego de prescripciones técnicas. La documentación organiza el servicio en </w:t>
      </w:r>
      <w:r>
        <w:rPr>
          <w:b/>
          <w:bCs/>
        </w:rPr>
        <w:t>líneas</w:t>
      </w:r>
      <w:r>
        <w:t xml:space="preserve">: servicio de dirección, planificación y mejora; línea de servicios de </w:t>
      </w:r>
      <w:r>
        <w:rPr>
          <w:b/>
          <w:bCs/>
        </w:rPr>
        <w:t>operación</w:t>
      </w:r>
      <w:r>
        <w:t xml:space="preserve"> (incluida la resolución de peticiones de un catálogo, indicando cuáles están sujetas a control del cambio); línea de </w:t>
      </w:r>
      <w:r>
        <w:rPr>
          <w:b/>
          <w:bCs/>
        </w:rPr>
        <w:t>transición</w:t>
      </w:r>
      <w:r>
        <w:t xml:space="preserve"> (diseño y construcción de plataformas); línea de </w:t>
      </w:r>
      <w:r>
        <w:rPr>
          <w:b/>
          <w:bCs/>
        </w:rPr>
        <w:t>valor añadido</w:t>
      </w:r>
      <w:r>
        <w:t xml:space="preserve"> (entre otros, provisión y soporte especializado de comunicaciones WAN); y servicio de </w:t>
      </w:r>
      <w:r>
        <w:rPr>
          <w:b/>
          <w:bCs/>
        </w:rPr>
        <w:t>transformación</w:t>
      </w:r>
      <w:r>
        <w:t>. Los anexos catalogan los aplicativos centrales alojados en las plataformas de negocio, las plataformas tecnológicas, las instancias de bases de datos y las capas de servicios tecnológicos con su distribución entre los CPD centrales.</w:t>
      </w:r>
    </w:p>
    <w:p w14:paraId="6496400F" w14:textId="77777777" w:rsidR="001C0CEA" w:rsidRDefault="00000000">
      <w:pPr>
        <w:spacing w:after="120"/>
        <w:jc w:val="both"/>
      </w:pPr>
      <w:r>
        <w:rPr>
          <w:b/>
          <w:bCs/>
        </w:rPr>
        <w:t>[Fuente oficial – Consejo de Gobierno]</w:t>
      </w:r>
      <w:r>
        <w:t xml:space="preserve"> En julio de 2026 el Consejo de Gobierno autorizó la </w:t>
      </w:r>
      <w:r>
        <w:rPr>
          <w:b/>
          <w:bCs/>
        </w:rPr>
        <w:t>prórroga por 36 meses</w:t>
      </w:r>
      <w:r>
        <w:t xml:space="preserve"> de este contrato, por </w:t>
      </w:r>
      <w:r>
        <w:rPr>
          <w:b/>
          <w:bCs/>
        </w:rPr>
        <w:t>44.795.507 euros</w:t>
      </w:r>
      <w:r>
        <w:t xml:space="preserve">. El contrato se había formalizado en </w:t>
      </w:r>
      <w:r>
        <w:rPr>
          <w:b/>
          <w:bCs/>
        </w:rPr>
        <w:t>agosto de 2024</w:t>
      </w:r>
      <w:r>
        <w:t xml:space="preserve"> y preveía esa posibilidad. Según la referencia oficial, garantiza el funcionamiento de las infraestructuras que sustentan los principales sistemas de información del SAS: </w:t>
      </w:r>
      <w:r>
        <w:rPr>
          <w:b/>
          <w:bCs/>
        </w:rPr>
        <w:t>Diraya</w:t>
      </w:r>
      <w:r>
        <w:t xml:space="preserve"> (historia clínica electrónica), los sistemas de </w:t>
      </w:r>
      <w:r>
        <w:rPr>
          <w:b/>
          <w:bCs/>
        </w:rPr>
        <w:t>dispensación farmacéutica</w:t>
      </w:r>
      <w:r>
        <w:t xml:space="preserve">, </w:t>
      </w:r>
      <w:r>
        <w:rPr>
          <w:b/>
          <w:bCs/>
        </w:rPr>
        <w:t>citación</w:t>
      </w:r>
      <w:r>
        <w:t xml:space="preserve">, </w:t>
      </w:r>
      <w:r>
        <w:rPr>
          <w:b/>
          <w:bCs/>
        </w:rPr>
        <w:t>SIGLO</w:t>
      </w:r>
      <w:r>
        <w:t xml:space="preserve"> (gestión logística) y </w:t>
      </w:r>
      <w:r>
        <w:rPr>
          <w:b/>
          <w:bCs/>
        </w:rPr>
        <w:t>ClicSalud+</w:t>
      </w:r>
      <w:r>
        <w:t>, utilizados por profesionales, oficinas de farmacia y ciudadanía.</w:t>
      </w:r>
    </w:p>
    <w:p w14:paraId="73246679" w14:textId="77777777" w:rsidR="001C0CEA" w:rsidRDefault="00000000">
      <w:pPr>
        <w:pStyle w:val="Ttulo2"/>
      </w:pPr>
      <w:bookmarkStart w:id="103" w:name="_Toc241337984"/>
      <w:r>
        <w:t>26.4. Soporte a usuarios: CGES y ayudaDIGITAL</w:t>
      </w:r>
      <w:bookmarkEnd w:id="103"/>
    </w:p>
    <w:p w14:paraId="567C26CB" w14:textId="77777777" w:rsidR="001C0CEA" w:rsidRDefault="00000000">
      <w:pPr>
        <w:spacing w:after="120"/>
        <w:jc w:val="both"/>
      </w:pPr>
      <w:r>
        <w:rPr>
          <w:b/>
          <w:bCs/>
        </w:rPr>
        <w:t>[Portal oficial]</w:t>
      </w:r>
      <w:r>
        <w:t xml:space="preserve"> El </w:t>
      </w:r>
      <w:r>
        <w:rPr>
          <w:b/>
          <w:bCs/>
        </w:rPr>
        <w:t>Centro de Servicios al Usuario (CGES)</w:t>
      </w:r>
      <w:r>
        <w:t xml:space="preserve"> del SAS funciona desde </w:t>
      </w:r>
      <w:r>
        <w:rPr>
          <w:b/>
          <w:bCs/>
        </w:rPr>
        <w:t>1998</w:t>
      </w:r>
      <w:r>
        <w:t xml:space="preserve"> y está integrado en el servicio de soporte integral </w:t>
      </w:r>
      <w:r>
        <w:rPr>
          <w:b/>
          <w:bCs/>
        </w:rPr>
        <w:t>ayudaDIGITAL</w:t>
      </w:r>
      <w:r>
        <w:t xml:space="preserve">, que incluye el centro de servicios y los servicios de puesto de usuario, con canales telefónico, área personal web, app móvil, chat y WhatsApp, y un asistente con inteligencia artificial (AYDI). El SAS indica que este servicio asiste a </w:t>
      </w:r>
      <w:r>
        <w:rPr>
          <w:b/>
          <w:bCs/>
        </w:rPr>
        <w:t>más de 130.000 profesionales</w:t>
      </w:r>
      <w:r>
        <w:t xml:space="preserve"> del sistema sanitario público andaluz. En la terminología del tema, el CGES es el </w:t>
      </w:r>
      <w:r>
        <w:rPr>
          <w:b/>
          <w:bCs/>
        </w:rPr>
        <w:t>centro de servicios (service desk)</w:t>
      </w:r>
      <w:r>
        <w:t>: punto único de contacto para incidencias y peticiones.</w:t>
      </w:r>
    </w:p>
    <w:p w14:paraId="73E916E1" w14:textId="77777777" w:rsidR="001C0CEA" w:rsidRDefault="00000000">
      <w:pPr>
        <w:spacing w:after="120"/>
        <w:jc w:val="both"/>
      </w:pPr>
      <w:r>
        <w:rPr>
          <w:b/>
          <w:bCs/>
        </w:rPr>
        <w:t>[Portal oficial]</w:t>
      </w:r>
      <w:r>
        <w:t xml:space="preserve"> A través de ayudaDIGITAL se comunican también las </w:t>
      </w:r>
      <w:r>
        <w:rPr>
          <w:b/>
          <w:bCs/>
        </w:rPr>
        <w:t>intervenciones programadas</w:t>
      </w:r>
      <w:r>
        <w:t xml:space="preserve"> en las plataformas (por ejemplo, actualizaciones de la plataforma de servidores físicos o cortes planificados para actualizar aplicaciones como la de tarjeta sanitaria), lo que ilustra en la práctica la gestión de cambios con ventana y comunicación previa.</w:t>
      </w:r>
    </w:p>
    <w:p w14:paraId="501FAD79" w14:textId="77777777" w:rsidR="001C0CEA" w:rsidRDefault="00000000">
      <w:pPr>
        <w:pStyle w:val="Ttulo2"/>
      </w:pPr>
      <w:bookmarkStart w:id="104" w:name="_Toc241337985"/>
      <w:r>
        <w:t>26.5. Ámbito provincial y de centros</w:t>
      </w:r>
      <w:bookmarkEnd w:id="104"/>
    </w:p>
    <w:p w14:paraId="6A4EDEFC" w14:textId="77777777" w:rsidR="001C0CEA" w:rsidRDefault="00000000">
      <w:pPr>
        <w:spacing w:after="120"/>
        <w:jc w:val="both"/>
      </w:pPr>
      <w:r>
        <w:rPr>
          <w:b/>
          <w:bCs/>
        </w:rPr>
        <w:t>[Información institucional/prensa – con cautela]</w:t>
      </w:r>
      <w:r>
        <w:t xml:space="preserve"> Además de los CPD centrales, existen </w:t>
      </w:r>
      <w:r>
        <w:rPr>
          <w:b/>
          <w:bCs/>
        </w:rPr>
        <w:t>CPD en centros sanitarios</w:t>
      </w:r>
      <w:r>
        <w:t xml:space="preserve"> que dan servicio a su ámbito. Ejemplos publicados: el CPD del </w:t>
      </w:r>
      <w:r>
        <w:rPr>
          <w:b/>
          <w:bCs/>
        </w:rPr>
        <w:t>Hospital de Jerez</w:t>
      </w:r>
      <w:r>
        <w:t xml:space="preserve"> (descrito por el propio área sanitaria en 2021) y el CPD de </w:t>
      </w:r>
      <w:r>
        <w:rPr>
          <w:b/>
          <w:bCs/>
        </w:rPr>
        <w:t>referencia provincial en el Hospital Infanta Elena</w:t>
      </w:r>
      <w:r>
        <w:t xml:space="preserve"> de Huelva (información de prensa de febrero de 2026). En 2021 el Área de Gestión Sanitaria de Jerez describía un modelo en el que los </w:t>
      </w:r>
      <w:r>
        <w:rPr>
          <w:b/>
          <w:bCs/>
        </w:rPr>
        <w:t>Subdirectores TIC provinciales</w:t>
      </w:r>
      <w:r>
        <w:t xml:space="preserve"> coordinaban a los jefes de servicio de su provincia y reportaban al </w:t>
      </w:r>
      <w:r>
        <w:rPr>
          <w:b/>
          <w:bCs/>
        </w:rPr>
        <w:t>Subdirector TIC del SAS</w:t>
      </w:r>
      <w:r>
        <w:t>; esta descripción corresponde a la etapa anterior a la creación de la Dirección General (2024) y no se ha localizado un documento oficial posterior que confirme su configuración actual.</w:t>
      </w:r>
    </w:p>
    <w:p w14:paraId="6ECD5631" w14:textId="77777777" w:rsidR="001C0CEA" w:rsidRDefault="00000000">
      <w:pPr>
        <w:pStyle w:val="Ttulo2"/>
      </w:pPr>
      <w:bookmarkStart w:id="105" w:name="_Toc241337986"/>
      <w:r>
        <w:lastRenderedPageBreak/>
        <w:t>26.6. Relación con la Agencia Digital de Andalucía y el nuevo CPD de la Junta</w:t>
      </w:r>
      <w:bookmarkEnd w:id="105"/>
    </w:p>
    <w:p w14:paraId="56707E2D" w14:textId="77777777" w:rsidR="001C0CEA" w:rsidRDefault="00000000">
      <w:pPr>
        <w:pStyle w:val="Prrafodelista"/>
        <w:numPr>
          <w:ilvl w:val="0"/>
          <w:numId w:val="2"/>
        </w:numPr>
        <w:spacing w:after="60"/>
      </w:pPr>
      <w:r>
        <w:rPr>
          <w:b/>
          <w:bCs/>
        </w:rPr>
        <w:t>[Norma]</w:t>
      </w:r>
      <w:r>
        <w:t xml:space="preserve"> La </w:t>
      </w:r>
      <w:r>
        <w:rPr>
          <w:b/>
          <w:bCs/>
        </w:rPr>
        <w:t>Agencia Digital de Andalucía (ADA)</w:t>
      </w:r>
      <w:r>
        <w:t xml:space="preserve"> se creó por la disposición adicional vigesimosegunda de la Ley 3/2020 (Presupuesto 2021) y sus Estatutos se aprobaron por el </w:t>
      </w:r>
      <w:r>
        <w:rPr>
          <w:b/>
          <w:bCs/>
        </w:rPr>
        <w:t>Decreto 128/2021, de 30 de marzo</w:t>
      </w:r>
      <w:r>
        <w:t xml:space="preserve">. Integra los servicios TIC de la Administración de la Junta y de sus agencias administrativas y de régimen especial, </w:t>
      </w:r>
      <w:r>
        <w:rPr>
          <w:b/>
          <w:bCs/>
        </w:rPr>
        <w:t>salvo el Servicio Andaluz de Salud</w:t>
      </w:r>
      <w:r>
        <w:t>, que mantiene sus propios servicios TIC (según la memoria del Presupuesto 2026).</w:t>
      </w:r>
    </w:p>
    <w:p w14:paraId="34A55F3D" w14:textId="77777777" w:rsidR="001C0CEA" w:rsidRDefault="00000000">
      <w:pPr>
        <w:pStyle w:val="Prrafodelista"/>
        <w:numPr>
          <w:ilvl w:val="0"/>
          <w:numId w:val="2"/>
        </w:numPr>
        <w:spacing w:after="60"/>
      </w:pPr>
      <w:r>
        <w:rPr>
          <w:b/>
          <w:bCs/>
        </w:rPr>
        <w:t>[Norma/portal]</w:t>
      </w:r>
      <w:r>
        <w:t xml:space="preserve"> Su adscripción ha variado: Consejería de la Presidencia (2021–2025); Consejería de Industria, Energía y Minas (tras el Decreto del Presidente 5/2025); y, desde la reestructuración de julio de 2026, la </w:t>
      </w:r>
      <w:r>
        <w:rPr>
          <w:b/>
          <w:bCs/>
        </w:rPr>
        <w:t>Consejería de Inteligencia Artificial, Desarrollo Digital y Administración Pública</w:t>
      </w:r>
      <w:r>
        <w:t>, competente en tecnologías de la información, telecomunicaciones, interoperabilidad y ciberseguridad.</w:t>
      </w:r>
    </w:p>
    <w:p w14:paraId="4743674C" w14:textId="77777777" w:rsidR="001C0CEA" w:rsidRDefault="00000000">
      <w:pPr>
        <w:pStyle w:val="Prrafodelista"/>
        <w:numPr>
          <w:ilvl w:val="0"/>
          <w:numId w:val="2"/>
        </w:numPr>
        <w:spacing w:after="60"/>
      </w:pPr>
      <w:r>
        <w:rPr>
          <w:b/>
          <w:bCs/>
        </w:rPr>
        <w:t>[Fuente oficial]</w:t>
      </w:r>
      <w:r>
        <w:t xml:space="preserve"> La ADA construye, a través de Sandetel, el </w:t>
      </w:r>
      <w:r>
        <w:rPr>
          <w:b/>
          <w:bCs/>
        </w:rPr>
        <w:t>nuevo CPD corporativo de la Junta de Andalucía</w:t>
      </w:r>
      <w:r>
        <w:t xml:space="preserve"> en el antiguo edificio de </w:t>
      </w:r>
      <w:r>
        <w:rPr>
          <w:b/>
          <w:bCs/>
        </w:rPr>
        <w:t>El Palenque</w:t>
      </w:r>
      <w:r>
        <w:t xml:space="preserve"> (Isla de la Cartuja, Sevilla TechPark), con una inversión de unos 35 millones de euros cofinanciada con fondos Next Generation, una superficie de 5.150 m², un sistema de autoconsumo fotovoltaico de más de 20.000 m² y un modelo de </w:t>
      </w:r>
      <w:r>
        <w:rPr>
          <w:b/>
          <w:bCs/>
        </w:rPr>
        <w:t>nube híbrida</w:t>
      </w:r>
      <w:r>
        <w:t xml:space="preserve"> vinculado a la Estrategia Cloud de Andalucía 2030; la primera piedra se colocó en diciembre de 2025. Es un CPD de la </w:t>
      </w:r>
      <w:r>
        <w:rPr>
          <w:b/>
          <w:bCs/>
        </w:rPr>
        <w:t>Junta (ADA)</w:t>
      </w:r>
      <w:r>
        <w:t>, no un CPD del SAS.</w:t>
      </w:r>
    </w:p>
    <w:p w14:paraId="7FDEBB07" w14:textId="77777777" w:rsidR="001C0CEA" w:rsidRDefault="00000000">
      <w:pPr>
        <w:pStyle w:val="Ttulo2"/>
      </w:pPr>
      <w:bookmarkStart w:id="106" w:name="_Toc241337987"/>
      <w:r>
        <w:t>26.7. Otras actuaciones de infraestructura publicadas</w:t>
      </w:r>
      <w:bookmarkEnd w:id="106"/>
    </w:p>
    <w:p w14:paraId="1EB9F561" w14:textId="77777777" w:rsidR="001C0CEA" w:rsidRDefault="00000000">
      <w:pPr>
        <w:pStyle w:val="Prrafodelista"/>
        <w:numPr>
          <w:ilvl w:val="0"/>
          <w:numId w:val="2"/>
        </w:numPr>
        <w:spacing w:after="60"/>
      </w:pPr>
      <w:r>
        <w:rPr>
          <w:b/>
          <w:bCs/>
        </w:rPr>
        <w:t>[Portal oficial]</w:t>
      </w:r>
      <w:r>
        <w:t xml:space="preserve"> Proyecto de </w:t>
      </w:r>
      <w:r>
        <w:rPr>
          <w:b/>
          <w:bCs/>
        </w:rPr>
        <w:t>infraestructura hiperconvergente</w:t>
      </w:r>
      <w:r>
        <w:t xml:space="preserve"> para el SAS, iniciado en 2020.</w:t>
      </w:r>
    </w:p>
    <w:p w14:paraId="5F074B33" w14:textId="77777777" w:rsidR="001C0CEA" w:rsidRDefault="00000000">
      <w:pPr>
        <w:pStyle w:val="Prrafodelista"/>
        <w:numPr>
          <w:ilvl w:val="0"/>
          <w:numId w:val="2"/>
        </w:numPr>
        <w:spacing w:after="60"/>
      </w:pPr>
      <w:r>
        <w:rPr>
          <w:b/>
          <w:bCs/>
        </w:rPr>
        <w:t>[Portal oficial]</w:t>
      </w:r>
      <w:r>
        <w:t xml:space="preserve"> Renovación de la electrónica de fibra de la </w:t>
      </w:r>
      <w:r>
        <w:rPr>
          <w:b/>
          <w:bCs/>
        </w:rPr>
        <w:t>red de área de almacenamiento (SAN)</w:t>
      </w:r>
      <w:r>
        <w:t>.</w:t>
      </w:r>
    </w:p>
    <w:p w14:paraId="35DCCFE0" w14:textId="77777777" w:rsidR="001C0CEA" w:rsidRDefault="00000000">
      <w:pPr>
        <w:pStyle w:val="Prrafodelista"/>
        <w:numPr>
          <w:ilvl w:val="0"/>
          <w:numId w:val="2"/>
        </w:numPr>
        <w:spacing w:after="60"/>
      </w:pPr>
      <w:r>
        <w:rPr>
          <w:b/>
          <w:bCs/>
        </w:rPr>
        <w:t>[Portal oficial]</w:t>
      </w:r>
      <w:r>
        <w:t xml:space="preserve"> Renovación de 18.500 equipos informáticos de profesionales (plan de renovación del puesto de usuario).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C0CEA" w14:paraId="100E086C" w14:textId="77777777">
        <w:trPr>
          <w:cantSplit/>
        </w:trPr>
        <w:tc>
          <w:tcPr>
            <w:tcW w:w="9026" w:type="dxa"/>
            <w:tcBorders>
              <w:top w:val="single" w:sz="12" w:space="0" w:color="BF9000"/>
              <w:left w:val="single" w:sz="12" w:space="0" w:color="BF9000"/>
              <w:bottom w:val="single" w:sz="12" w:space="0" w:color="BF9000"/>
              <w:right w:val="single" w:sz="12" w:space="0" w:color="BF9000"/>
            </w:tcBorders>
            <w:shd w:val="clear" w:color="auto" w:fill="FFF2CC"/>
            <w:tcMar>
              <w:top w:w="120" w:type="dxa"/>
              <w:left w:w="160" w:type="dxa"/>
              <w:bottom w:w="120" w:type="dxa"/>
              <w:right w:w="160" w:type="dxa"/>
            </w:tcMar>
          </w:tcPr>
          <w:p w14:paraId="731F90E0" w14:textId="77777777" w:rsidR="001C0CEA" w:rsidRDefault="00000000">
            <w:pPr>
              <w:spacing w:after="80"/>
            </w:pPr>
            <w:r>
              <w:rPr>
                <w:b/>
                <w:bCs/>
                <w:color w:val="7F6000"/>
              </w:rPr>
              <w:t>Claves para el examen</w:t>
            </w:r>
          </w:p>
          <w:p w14:paraId="1D05CCAD" w14:textId="77777777" w:rsidR="001C0CEA" w:rsidRDefault="00000000">
            <w:pPr>
              <w:pStyle w:val="Prrafodelista"/>
              <w:numPr>
                <w:ilvl w:val="0"/>
                <w:numId w:val="2"/>
              </w:numPr>
              <w:spacing w:after="40"/>
            </w:pPr>
            <w:r>
              <w:rPr>
                <w:sz w:val="20"/>
                <w:szCs w:val="20"/>
              </w:rPr>
              <w:t xml:space="preserve">Órgano TIC del SAS hoy: </w:t>
            </w:r>
            <w:r>
              <w:rPr>
                <w:b/>
                <w:bCs/>
                <w:sz w:val="20"/>
                <w:szCs w:val="20"/>
              </w:rPr>
              <w:t>Dirección General de Salud Digital e Infraestructuras Tecnológicas</w:t>
            </w:r>
            <w:r>
              <w:rPr>
                <w:sz w:val="20"/>
                <w:szCs w:val="20"/>
              </w:rPr>
              <w:t xml:space="preserve"> (Decreto 189/2026).</w:t>
            </w:r>
          </w:p>
          <w:p w14:paraId="0289C086" w14:textId="77777777" w:rsidR="001C0CEA" w:rsidRDefault="00000000">
            <w:pPr>
              <w:pStyle w:val="Prrafodelista"/>
              <w:numPr>
                <w:ilvl w:val="0"/>
                <w:numId w:val="2"/>
              </w:numPr>
              <w:spacing w:after="40"/>
            </w:pPr>
            <w:r>
              <w:rPr>
                <w:sz w:val="20"/>
                <w:szCs w:val="20"/>
              </w:rPr>
              <w:t xml:space="preserve">El SAS depende de la </w:t>
            </w:r>
            <w:r>
              <w:rPr>
                <w:b/>
                <w:bCs/>
                <w:sz w:val="20"/>
                <w:szCs w:val="20"/>
              </w:rPr>
              <w:t>Consejería de Presidencia, Sanidad y Emergencias</w:t>
            </w:r>
            <w:r>
              <w:rPr>
                <w:sz w:val="20"/>
                <w:szCs w:val="20"/>
              </w:rPr>
              <w:t xml:space="preserve"> (Viceconsejería de Sanidad y Consumo).</w:t>
            </w:r>
          </w:p>
          <w:p w14:paraId="79AB8694" w14:textId="77777777" w:rsidR="001C0CEA" w:rsidRDefault="00000000">
            <w:pPr>
              <w:pStyle w:val="Prrafodelista"/>
              <w:numPr>
                <w:ilvl w:val="0"/>
                <w:numId w:val="2"/>
              </w:numPr>
              <w:spacing w:after="40"/>
            </w:pPr>
            <w:r>
              <w:rPr>
                <w:sz w:val="20"/>
                <w:szCs w:val="20"/>
              </w:rPr>
              <w:t xml:space="preserve">CPD corporativos del SAS según documentación contractual: </w:t>
            </w:r>
            <w:r>
              <w:rPr>
                <w:b/>
                <w:bCs/>
                <w:sz w:val="20"/>
                <w:szCs w:val="20"/>
              </w:rPr>
              <w:t>Sevilla y Málaga</w:t>
            </w:r>
            <w:r>
              <w:rPr>
                <w:sz w:val="20"/>
                <w:szCs w:val="20"/>
              </w:rPr>
              <w:t>.</w:t>
            </w:r>
          </w:p>
          <w:p w14:paraId="4456DAEC" w14:textId="77777777" w:rsidR="001C0CEA" w:rsidRDefault="00000000">
            <w:pPr>
              <w:pStyle w:val="Prrafodelista"/>
              <w:numPr>
                <w:ilvl w:val="0"/>
                <w:numId w:val="2"/>
              </w:numPr>
              <w:spacing w:after="40"/>
            </w:pPr>
            <w:r>
              <w:rPr>
                <w:sz w:val="20"/>
                <w:szCs w:val="20"/>
              </w:rPr>
              <w:t xml:space="preserve">La ADA gestiona las TIC de la Junta </w:t>
            </w:r>
            <w:r>
              <w:rPr>
                <w:b/>
                <w:bCs/>
                <w:sz w:val="20"/>
                <w:szCs w:val="20"/>
              </w:rPr>
              <w:t>excepto el SAS</w:t>
            </w:r>
            <w:r>
              <w:rPr>
                <w:sz w:val="20"/>
                <w:szCs w:val="20"/>
              </w:rPr>
              <w:t>; el nuevo CPD de El Palenque es de la Junta/ADA.</w:t>
            </w:r>
          </w:p>
          <w:p w14:paraId="53196394" w14:textId="77777777" w:rsidR="001C0CEA" w:rsidRDefault="00000000">
            <w:pPr>
              <w:pStyle w:val="Prrafodelista"/>
              <w:numPr>
                <w:ilvl w:val="0"/>
                <w:numId w:val="2"/>
              </w:numPr>
              <w:spacing w:after="40"/>
            </w:pPr>
            <w:r>
              <w:rPr>
                <w:sz w:val="20"/>
                <w:szCs w:val="20"/>
              </w:rPr>
              <w:t>CGES (desde 1998) + ayudaDIGITAL = centro de servicios al usuario del SAS.</w:t>
            </w:r>
          </w:p>
        </w:tc>
      </w:tr>
    </w:tbl>
    <w:p w14:paraId="0565E10B" w14:textId="77777777" w:rsidR="001C0CEA" w:rsidRDefault="001C0CEA">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C0CEA" w14:paraId="75F8BB3E" w14:textId="77777777">
        <w:trPr>
          <w:cantSplit/>
        </w:trPr>
        <w:tc>
          <w:tcPr>
            <w:tcW w:w="9026" w:type="dxa"/>
            <w:tcBorders>
              <w:top w:val="single" w:sz="12" w:space="0" w:color="C00000"/>
              <w:left w:val="single" w:sz="12" w:space="0" w:color="C00000"/>
              <w:bottom w:val="single" w:sz="12" w:space="0" w:color="C00000"/>
              <w:right w:val="single" w:sz="12" w:space="0" w:color="C00000"/>
            </w:tcBorders>
            <w:shd w:val="clear" w:color="auto" w:fill="FBE4E4"/>
            <w:tcMar>
              <w:top w:w="120" w:type="dxa"/>
              <w:left w:w="160" w:type="dxa"/>
              <w:bottom w:w="120" w:type="dxa"/>
              <w:right w:w="160" w:type="dxa"/>
            </w:tcMar>
          </w:tcPr>
          <w:p w14:paraId="30771340" w14:textId="77777777" w:rsidR="001C0CEA" w:rsidRDefault="00000000">
            <w:pPr>
              <w:spacing w:after="80"/>
            </w:pPr>
            <w:r>
              <w:rPr>
                <w:b/>
                <w:bCs/>
                <w:color w:val="C00000"/>
              </w:rPr>
              <w:t>Posibles trampas de test</w:t>
            </w:r>
          </w:p>
          <w:p w14:paraId="632A5730" w14:textId="77777777" w:rsidR="001C0CEA" w:rsidRDefault="00000000">
            <w:pPr>
              <w:pStyle w:val="Prrafodelista"/>
              <w:numPr>
                <w:ilvl w:val="0"/>
                <w:numId w:val="2"/>
              </w:numPr>
              <w:spacing w:after="40"/>
            </w:pPr>
            <w:r>
              <w:rPr>
                <w:sz w:val="20"/>
                <w:szCs w:val="20"/>
              </w:rPr>
              <w:t xml:space="preserve">No confundir la </w:t>
            </w:r>
            <w:r>
              <w:rPr>
                <w:b/>
                <w:bCs/>
                <w:sz w:val="20"/>
                <w:szCs w:val="20"/>
              </w:rPr>
              <w:t>DG de Salud Digital e Infraestructuras Tecnológicas (SAS)</w:t>
            </w:r>
            <w:r>
              <w:rPr>
                <w:sz w:val="20"/>
                <w:szCs w:val="20"/>
              </w:rPr>
              <w:t xml:space="preserve"> con la </w:t>
            </w:r>
            <w:r>
              <w:rPr>
                <w:b/>
                <w:bCs/>
                <w:sz w:val="20"/>
                <w:szCs w:val="20"/>
              </w:rPr>
              <w:t>DG de Salud Digital y Ordenación Farmacéutica (Consejería)</w:t>
            </w:r>
            <w:r>
              <w:rPr>
                <w:sz w:val="20"/>
                <w:szCs w:val="20"/>
              </w:rPr>
              <w:t>.</w:t>
            </w:r>
          </w:p>
          <w:p w14:paraId="6A5FBD94" w14:textId="77777777" w:rsidR="001C0CEA" w:rsidRDefault="00000000">
            <w:pPr>
              <w:pStyle w:val="Prrafodelista"/>
              <w:numPr>
                <w:ilvl w:val="0"/>
                <w:numId w:val="2"/>
              </w:numPr>
              <w:spacing w:after="40"/>
            </w:pPr>
            <w:r>
              <w:rPr>
                <w:sz w:val="20"/>
                <w:szCs w:val="20"/>
              </w:rPr>
              <w:t xml:space="preserve">Denominaciones como «Subdirección de Tecnologías de la Información (STIC)», «DG de Sistemas de Información y Comunicaciones» o «DG de Tecnologías de la Información y Comunicaciones» son </w:t>
            </w:r>
            <w:r>
              <w:rPr>
                <w:b/>
                <w:bCs/>
                <w:sz w:val="20"/>
                <w:szCs w:val="20"/>
              </w:rPr>
              <w:t>históricas</w:t>
            </w:r>
            <w:r>
              <w:rPr>
                <w:sz w:val="20"/>
                <w:szCs w:val="20"/>
              </w:rPr>
              <w:t xml:space="preserve"> (apartado 27).</w:t>
            </w:r>
          </w:p>
        </w:tc>
      </w:tr>
    </w:tbl>
    <w:p w14:paraId="6234299D" w14:textId="77777777" w:rsidR="001C0CEA" w:rsidRDefault="001C0CEA">
      <w:pPr>
        <w:spacing w:after="120"/>
      </w:pPr>
    </w:p>
    <w:p w14:paraId="062D620D" w14:textId="77777777" w:rsidR="001C0CEA" w:rsidRDefault="00000000">
      <w:pPr>
        <w:pStyle w:val="Ttulo1"/>
        <w:pageBreakBefore/>
      </w:pPr>
      <w:bookmarkStart w:id="107" w:name="_Toc241337988"/>
      <w:r>
        <w:lastRenderedPageBreak/>
        <w:t>27. Evolución histórica de la organización TIC del SAS</w:t>
      </w:r>
      <w:bookmarkEnd w:id="107"/>
    </w:p>
    <w:p w14:paraId="1617436C" w14:textId="77777777" w:rsidR="001C0CEA" w:rsidRDefault="00000000">
      <w:pPr>
        <w:jc w:val="center"/>
      </w:pPr>
      <w:r>
        <w:rPr>
          <w:noProof/>
        </w:rPr>
        <w:drawing>
          <wp:inline distT="0" distB="0" distL="0" distR="0" wp14:anchorId="607936ED" wp14:editId="253CF8F1">
            <wp:extent cx="5905500" cy="2095500"/>
            <wp:effectExtent l="0" t="0" r="0" b="0"/>
            <wp:docPr id="1643423160" name="Figura 6. Evolución del órgano TIC del SAS." descr="Figura 6. Evolución del órgano TIC del SAS." title="Figura 6. Evolución del órgano TIC del S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05500" cy="2095500"/>
                    </a:xfrm>
                    <a:prstGeom prst="rect">
                      <a:avLst/>
                    </a:prstGeom>
                  </pic:spPr>
                </pic:pic>
              </a:graphicData>
            </a:graphic>
          </wp:inline>
        </w:drawing>
      </w:r>
    </w:p>
    <w:p w14:paraId="158250A4" w14:textId="77777777" w:rsidR="001C0CEA" w:rsidRDefault="00000000">
      <w:pPr>
        <w:spacing w:after="160"/>
        <w:jc w:val="center"/>
      </w:pPr>
      <w:r>
        <w:rPr>
          <w:i/>
          <w:iCs/>
          <w:color w:val="595959"/>
          <w:sz w:val="18"/>
          <w:szCs w:val="18"/>
        </w:rPr>
        <w:t>Figura 6. Evolución del órgano TIC del SAS.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2800"/>
        <w:gridCol w:w="2026"/>
      </w:tblGrid>
      <w:tr w:rsidR="001C0CEA" w14:paraId="633D03DE" w14:textId="77777777">
        <w:trPr>
          <w:tblHeader/>
        </w:trPr>
        <w:tc>
          <w:tcPr>
            <w:tcW w:w="22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435C6537" w14:textId="77777777" w:rsidR="001C0CEA" w:rsidRDefault="00000000">
            <w:r>
              <w:rPr>
                <w:b/>
                <w:bCs/>
                <w:color w:val="FFFFFF"/>
                <w:sz w:val="19"/>
                <w:szCs w:val="19"/>
              </w:rPr>
              <w:t>Periodo / norma</w:t>
            </w:r>
          </w:p>
        </w:tc>
        <w:tc>
          <w:tcPr>
            <w:tcW w:w="20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4AA3CD51" w14:textId="77777777" w:rsidR="001C0CEA" w:rsidRDefault="00000000">
            <w:r>
              <w:rPr>
                <w:b/>
                <w:bCs/>
                <w:color w:val="FFFFFF"/>
                <w:sz w:val="19"/>
                <w:szCs w:val="19"/>
              </w:rPr>
              <w:t>Consejería de adscripción</w:t>
            </w:r>
          </w:p>
        </w:tc>
        <w:tc>
          <w:tcPr>
            <w:tcW w:w="28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09086A34" w14:textId="77777777" w:rsidR="001C0CEA" w:rsidRDefault="00000000">
            <w:r>
              <w:rPr>
                <w:b/>
                <w:bCs/>
                <w:color w:val="FFFFFF"/>
                <w:sz w:val="19"/>
                <w:szCs w:val="19"/>
              </w:rPr>
              <w:t>Órgano TIC del SAS</w:t>
            </w:r>
          </w:p>
        </w:tc>
        <w:tc>
          <w:tcPr>
            <w:tcW w:w="2026"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22DF1533" w14:textId="77777777" w:rsidR="001C0CEA" w:rsidRDefault="00000000">
            <w:r>
              <w:rPr>
                <w:b/>
                <w:bCs/>
                <w:color w:val="FFFFFF"/>
                <w:sz w:val="19"/>
                <w:szCs w:val="19"/>
              </w:rPr>
              <w:t>Observaciones</w:t>
            </w:r>
          </w:p>
        </w:tc>
      </w:tr>
      <w:tr w:rsidR="001C0CEA" w14:paraId="05451C5E" w14:textId="77777777">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6CA3A49" w14:textId="77777777" w:rsidR="001C0CEA" w:rsidRDefault="00000000">
            <w:r>
              <w:rPr>
                <w:sz w:val="19"/>
                <w:szCs w:val="19"/>
              </w:rPr>
              <w:t>Hasta septiembre de 2024 (Decretos 105/2019 y 156/2022)</w:t>
            </w:r>
          </w:p>
        </w:tc>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72AC5CF" w14:textId="77777777" w:rsidR="001C0CEA" w:rsidRDefault="00000000">
            <w:r>
              <w:rPr>
                <w:sz w:val="19"/>
                <w:szCs w:val="19"/>
              </w:rPr>
              <w:t>Salud y Familias (2019) → Salud y Consumo (2022)</w:t>
            </w:r>
          </w:p>
        </w:tc>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EF34E06" w14:textId="77777777" w:rsidR="001C0CEA" w:rsidRDefault="00000000">
            <w:r>
              <w:rPr>
                <w:b/>
                <w:bCs/>
                <w:sz w:val="19"/>
                <w:szCs w:val="19"/>
              </w:rPr>
              <w:t>Subdirección de Tecnologías de la Información y Comunicaciones (STIC)</w:t>
            </w:r>
            <w:r>
              <w:rPr>
                <w:sz w:val="19"/>
                <w:szCs w:val="19"/>
              </w:rPr>
              <w:t>, unidad de los servicios centrales, con subdirecciones TIC provinciales</w:t>
            </w:r>
          </w:p>
        </w:tc>
        <w:tc>
          <w:tcPr>
            <w:tcW w:w="20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704FC05" w14:textId="77777777" w:rsidR="001C0CEA" w:rsidRDefault="00000000">
            <w:r>
              <w:rPr>
                <w:sz w:val="19"/>
                <w:szCs w:val="19"/>
              </w:rPr>
              <w:t>El CGES y ayudaDIGITAL dependían de la STIC</w:t>
            </w:r>
          </w:p>
        </w:tc>
      </w:tr>
      <w:tr w:rsidR="001C0CEA" w14:paraId="34AEC923" w14:textId="77777777">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75DFFBD" w14:textId="77777777" w:rsidR="001C0CEA" w:rsidRDefault="00000000">
            <w:r>
              <w:rPr>
                <w:sz w:val="19"/>
                <w:szCs w:val="19"/>
              </w:rPr>
              <w:t>Decreto 198/2024, de 3 de septiembre</w:t>
            </w:r>
          </w:p>
        </w:tc>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C28DB56" w14:textId="77777777" w:rsidR="001C0CEA" w:rsidRDefault="00000000">
            <w:r>
              <w:rPr>
                <w:sz w:val="19"/>
                <w:szCs w:val="19"/>
              </w:rPr>
              <w:t>Salud y Consumo</w:t>
            </w:r>
          </w:p>
        </w:tc>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6735EBD" w14:textId="77777777" w:rsidR="001C0CEA" w:rsidRDefault="00000000">
            <w:r>
              <w:rPr>
                <w:sz w:val="19"/>
                <w:szCs w:val="19"/>
              </w:rPr>
              <w:t xml:space="preserve">Se crea la </w:t>
            </w:r>
            <w:r>
              <w:rPr>
                <w:b/>
                <w:bCs/>
                <w:sz w:val="19"/>
                <w:szCs w:val="19"/>
              </w:rPr>
              <w:t>DG de Sistemas de Información y Comunicaciones</w:t>
            </w:r>
            <w:r>
              <w:rPr>
                <w:sz w:val="19"/>
                <w:szCs w:val="19"/>
              </w:rPr>
              <w:t xml:space="preserve"> (DGSIC)</w:t>
            </w:r>
          </w:p>
        </w:tc>
        <w:tc>
          <w:tcPr>
            <w:tcW w:w="20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3065319" w14:textId="77777777" w:rsidR="001C0CEA" w:rsidRDefault="00000000">
            <w:r>
              <w:rPr>
                <w:sz w:val="19"/>
                <w:szCs w:val="19"/>
              </w:rPr>
              <w:t>Eleva el área TIC del SAS a rango de Dirección General</w:t>
            </w:r>
          </w:p>
        </w:tc>
      </w:tr>
      <w:tr w:rsidR="001C0CEA" w14:paraId="1FA1F7DB" w14:textId="77777777">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0672280" w14:textId="77777777" w:rsidR="001C0CEA" w:rsidRDefault="00000000">
            <w:r>
              <w:rPr>
                <w:sz w:val="19"/>
                <w:szCs w:val="19"/>
              </w:rPr>
              <w:t>Decreto 168/2025, de 5 de noviembre</w:t>
            </w:r>
          </w:p>
        </w:tc>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FA359B8" w14:textId="77777777" w:rsidR="001C0CEA" w:rsidRDefault="00000000">
            <w:r>
              <w:rPr>
                <w:sz w:val="19"/>
                <w:szCs w:val="19"/>
              </w:rPr>
              <w:t>Sanidad, Presidencia y Emergencias</w:t>
            </w:r>
          </w:p>
        </w:tc>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8B5E427" w14:textId="77777777" w:rsidR="001C0CEA" w:rsidRDefault="00000000">
            <w:r>
              <w:rPr>
                <w:sz w:val="19"/>
                <w:szCs w:val="19"/>
              </w:rPr>
              <w:t xml:space="preserve">Pasa a </w:t>
            </w:r>
            <w:r>
              <w:rPr>
                <w:b/>
                <w:bCs/>
                <w:sz w:val="19"/>
                <w:szCs w:val="19"/>
              </w:rPr>
              <w:t>DG de Tecnologías de la Información y Comunicaciones</w:t>
            </w:r>
            <w:r>
              <w:rPr>
                <w:sz w:val="19"/>
                <w:szCs w:val="19"/>
              </w:rPr>
              <w:t xml:space="preserve"> (DGTIC)</w:t>
            </w:r>
          </w:p>
        </w:tc>
        <w:tc>
          <w:tcPr>
            <w:tcW w:w="20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4FE6CD5" w14:textId="77777777" w:rsidR="001C0CEA" w:rsidRDefault="00000000">
            <w:r>
              <w:rPr>
                <w:sz w:val="19"/>
                <w:szCs w:val="19"/>
              </w:rPr>
              <w:t>Nivel operativo; la estrategia de salud digital se sitúa en la SG de Investigación, Innovación y Salud Digital de la Consejería</w:t>
            </w:r>
          </w:p>
        </w:tc>
      </w:tr>
      <w:tr w:rsidR="001C0CEA" w14:paraId="51606A6A" w14:textId="77777777">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3AE432F" w14:textId="77777777" w:rsidR="001C0CEA" w:rsidRDefault="00000000">
            <w:r>
              <w:rPr>
                <w:sz w:val="19"/>
                <w:szCs w:val="19"/>
              </w:rPr>
              <w:t>Decreto 189/2026, de 30 de julio (vigente)</w:t>
            </w:r>
          </w:p>
        </w:tc>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F542582" w14:textId="77777777" w:rsidR="001C0CEA" w:rsidRDefault="00000000">
            <w:r>
              <w:rPr>
                <w:sz w:val="19"/>
                <w:szCs w:val="19"/>
              </w:rPr>
              <w:t>Presidencia, Sanidad y Emergencias</w:t>
            </w:r>
          </w:p>
        </w:tc>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A2FD85A" w14:textId="77777777" w:rsidR="001C0CEA" w:rsidRDefault="00000000">
            <w:r>
              <w:rPr>
                <w:sz w:val="19"/>
                <w:szCs w:val="19"/>
              </w:rPr>
              <w:t xml:space="preserve">Pasa a </w:t>
            </w:r>
            <w:r>
              <w:rPr>
                <w:b/>
                <w:bCs/>
                <w:sz w:val="19"/>
                <w:szCs w:val="19"/>
              </w:rPr>
              <w:t>DG de Salud Digital e Infraestructuras Tecnológicas</w:t>
            </w:r>
            <w:r>
              <w:rPr>
                <w:sz w:val="19"/>
                <w:szCs w:val="19"/>
              </w:rPr>
              <w:t xml:space="preserve"> (DGSDIT)</w:t>
            </w:r>
          </w:p>
        </w:tc>
        <w:tc>
          <w:tcPr>
            <w:tcW w:w="20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88BAC5D" w14:textId="77777777" w:rsidR="001C0CEA" w:rsidRDefault="00000000">
            <w:r>
              <w:rPr>
                <w:sz w:val="19"/>
                <w:szCs w:val="19"/>
              </w:rPr>
              <w:t>Se suprime la SG de Investigación, Innovación y Salud Digital; se crea la DG de Salud Digital y Ordenación Farmacéutica (Consejería) y la DG de Transformación e Infraestructuras Sanitarias (SAS)</w:t>
            </w:r>
          </w:p>
        </w:tc>
      </w:tr>
    </w:tbl>
    <w:p w14:paraId="7ADF3D4B" w14:textId="77777777" w:rsidR="001C0CEA" w:rsidRDefault="001C0CEA">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C0CEA" w14:paraId="13B860B6" w14:textId="77777777">
        <w:trPr>
          <w:cantSplit/>
        </w:trPr>
        <w:tc>
          <w:tcPr>
            <w:tcW w:w="9026" w:type="dxa"/>
            <w:tcBorders>
              <w:top w:val="single" w:sz="12" w:space="0" w:color="2E75B6"/>
              <w:left w:val="single" w:sz="12" w:space="0" w:color="2E75B6"/>
              <w:bottom w:val="single" w:sz="12" w:space="0" w:color="2E75B6"/>
              <w:right w:val="single" w:sz="12" w:space="0" w:color="2E75B6"/>
            </w:tcBorders>
            <w:shd w:val="clear" w:color="auto" w:fill="DEEAF6"/>
            <w:tcMar>
              <w:top w:w="120" w:type="dxa"/>
              <w:left w:w="160" w:type="dxa"/>
              <w:bottom w:w="120" w:type="dxa"/>
              <w:right w:w="160" w:type="dxa"/>
            </w:tcMar>
          </w:tcPr>
          <w:p w14:paraId="613F6FD0" w14:textId="77777777" w:rsidR="001C0CEA" w:rsidRDefault="00000000">
            <w:pPr>
              <w:spacing w:after="80"/>
            </w:pPr>
            <w:r>
              <w:rPr>
                <w:b/>
                <w:bCs/>
                <w:color w:val="2E75B6"/>
              </w:rPr>
              <w:lastRenderedPageBreak/>
              <w:t>Situación en el momento de la pregunta vs. situación actual</w:t>
            </w:r>
          </w:p>
          <w:p w14:paraId="59B16B48" w14:textId="77777777" w:rsidR="001C0CEA" w:rsidRDefault="00000000">
            <w:pPr>
              <w:pStyle w:val="Prrafodelista"/>
              <w:numPr>
                <w:ilvl w:val="0"/>
                <w:numId w:val="2"/>
              </w:numPr>
              <w:spacing w:after="40"/>
            </w:pPr>
            <w:r>
              <w:rPr>
                <w:b/>
                <w:bCs/>
                <w:sz w:val="20"/>
                <w:szCs w:val="20"/>
              </w:rPr>
              <w:t>Situación en el momento de las preguntas del banco:</w:t>
            </w:r>
            <w:r>
              <w:rPr>
                <w:sz w:val="20"/>
                <w:szCs w:val="20"/>
              </w:rPr>
              <w:t xml:space="preserve"> las 6 preguntas del CSV versan sobre conceptos técnicos (free cooling, TIA-942, SAI, pasillos, Tier) y </w:t>
            </w:r>
            <w:r>
              <w:rPr>
                <w:b/>
                <w:bCs/>
                <w:sz w:val="20"/>
                <w:szCs w:val="20"/>
              </w:rPr>
              <w:t>no dependen de la estructura organizativa del SAS</w:t>
            </w:r>
            <w:r>
              <w:rPr>
                <w:sz w:val="20"/>
                <w:szCs w:val="20"/>
              </w:rPr>
              <w:t>, por lo que su respuesta no ha cambiado.</w:t>
            </w:r>
          </w:p>
          <w:p w14:paraId="066D9881" w14:textId="77777777" w:rsidR="001C0CEA" w:rsidRDefault="00000000">
            <w:pPr>
              <w:pStyle w:val="Prrafodelista"/>
              <w:numPr>
                <w:ilvl w:val="0"/>
                <w:numId w:val="2"/>
              </w:numPr>
              <w:spacing w:after="40"/>
            </w:pPr>
            <w:r>
              <w:rPr>
                <w:b/>
                <w:bCs/>
                <w:sz w:val="20"/>
                <w:szCs w:val="20"/>
              </w:rPr>
              <w:t>Situación actual:</w:t>
            </w:r>
            <w:r>
              <w:rPr>
                <w:sz w:val="20"/>
                <w:szCs w:val="20"/>
              </w:rPr>
              <w:t xml:space="preserve"> si en una convocatoria futura aparece una pregunta sobre el órgano responsable de las TIC del SAS, hay que fijarse en la fecha de referencia del temario o de la convocatoria. Con la normativa vigente a septiembre de 2026, la respuesta es la </w:t>
            </w:r>
            <w:r>
              <w:rPr>
                <w:b/>
                <w:bCs/>
                <w:sz w:val="20"/>
                <w:szCs w:val="20"/>
              </w:rPr>
              <w:t>Dirección General de Salud Digital e Infraestructuras Tecnológicas</w:t>
            </w:r>
            <w:r>
              <w:rPr>
                <w:sz w:val="20"/>
                <w:szCs w:val="20"/>
              </w:rPr>
              <w:t>.</w:t>
            </w:r>
          </w:p>
          <w:p w14:paraId="35803D31" w14:textId="77777777" w:rsidR="001C0CEA" w:rsidRDefault="00000000">
            <w:pPr>
              <w:pStyle w:val="Prrafodelista"/>
              <w:numPr>
                <w:ilvl w:val="0"/>
                <w:numId w:val="2"/>
              </w:numPr>
              <w:spacing w:after="40"/>
            </w:pPr>
            <w:r>
              <w:rPr>
                <w:sz w:val="20"/>
                <w:szCs w:val="20"/>
              </w:rPr>
              <w:t>Si una pregunta antigua menciona la «Subdirección de Tecnologías de la Información y Comunicaciones (STIC)», se refiere a la etapa anterior a septiembre de 2024.</w:t>
            </w:r>
          </w:p>
        </w:tc>
      </w:tr>
    </w:tbl>
    <w:p w14:paraId="2362ECC7" w14:textId="77777777" w:rsidR="001C0CEA" w:rsidRDefault="001C0CEA">
      <w:pPr>
        <w:spacing w:after="120"/>
      </w:pPr>
    </w:p>
    <w:p w14:paraId="25224CC9" w14:textId="77777777" w:rsidR="001C0CEA" w:rsidRDefault="00000000">
      <w:pPr>
        <w:spacing w:after="120"/>
        <w:jc w:val="both"/>
      </w:pPr>
      <w:r>
        <w:t xml:space="preserve">Nota sobre la denominación de la Consejería: la Consejería de </w:t>
      </w:r>
      <w:r>
        <w:rPr>
          <w:b/>
          <w:bCs/>
        </w:rPr>
        <w:t>Sanidad</w:t>
      </w:r>
      <w:r>
        <w:t xml:space="preserve">, Presidencia y Emergencias (2025) y la Consejería de </w:t>
      </w:r>
      <w:r>
        <w:rPr>
          <w:b/>
          <w:bCs/>
        </w:rPr>
        <w:t>Presidencia</w:t>
      </w:r>
      <w:r>
        <w:t>, Sanidad y Emergencias (2026) son órganos distintos; la segunda sustituyó a la primera tras el Decreto del Presidente 9/2026.</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C0CEA" w14:paraId="1B3DEEC6" w14:textId="77777777">
        <w:trPr>
          <w:cantSplit/>
        </w:trPr>
        <w:tc>
          <w:tcPr>
            <w:tcW w:w="9026" w:type="dxa"/>
            <w:tcBorders>
              <w:top w:val="single" w:sz="12" w:space="0" w:color="BF9000"/>
              <w:left w:val="single" w:sz="12" w:space="0" w:color="BF9000"/>
              <w:bottom w:val="single" w:sz="12" w:space="0" w:color="BF9000"/>
              <w:right w:val="single" w:sz="12" w:space="0" w:color="BF9000"/>
            </w:tcBorders>
            <w:shd w:val="clear" w:color="auto" w:fill="FFF2CC"/>
            <w:tcMar>
              <w:top w:w="120" w:type="dxa"/>
              <w:left w:w="160" w:type="dxa"/>
              <w:bottom w:w="120" w:type="dxa"/>
              <w:right w:w="160" w:type="dxa"/>
            </w:tcMar>
          </w:tcPr>
          <w:p w14:paraId="2FE8813B" w14:textId="77777777" w:rsidR="001C0CEA" w:rsidRDefault="00000000">
            <w:pPr>
              <w:spacing w:after="80"/>
            </w:pPr>
            <w:r>
              <w:rPr>
                <w:b/>
                <w:bCs/>
                <w:color w:val="7F6000"/>
              </w:rPr>
              <w:t>Claves para el examen</w:t>
            </w:r>
          </w:p>
          <w:p w14:paraId="05B26F7B" w14:textId="77777777" w:rsidR="001C0CEA" w:rsidRDefault="00000000">
            <w:pPr>
              <w:pStyle w:val="Prrafodelista"/>
              <w:numPr>
                <w:ilvl w:val="0"/>
                <w:numId w:val="2"/>
              </w:numPr>
              <w:spacing w:after="40"/>
            </w:pPr>
            <w:r>
              <w:rPr>
                <w:sz w:val="20"/>
                <w:szCs w:val="20"/>
              </w:rPr>
              <w:t xml:space="preserve">STIC (hasta 2024) → DGSIC (2024) → DGTIC (2025) → </w:t>
            </w:r>
            <w:r>
              <w:rPr>
                <w:b/>
                <w:bCs/>
                <w:sz w:val="20"/>
                <w:szCs w:val="20"/>
              </w:rPr>
              <w:t>DGSDIT (2026)</w:t>
            </w:r>
            <w:r>
              <w:rPr>
                <w:sz w:val="20"/>
                <w:szCs w:val="20"/>
              </w:rPr>
              <w:t>.</w:t>
            </w:r>
          </w:p>
          <w:p w14:paraId="296B7A42" w14:textId="77777777" w:rsidR="001C0CEA" w:rsidRDefault="00000000">
            <w:pPr>
              <w:pStyle w:val="Prrafodelista"/>
              <w:numPr>
                <w:ilvl w:val="0"/>
                <w:numId w:val="2"/>
              </w:numPr>
              <w:spacing w:after="40"/>
            </w:pPr>
            <w:r>
              <w:rPr>
                <w:sz w:val="20"/>
                <w:szCs w:val="20"/>
              </w:rPr>
              <w:t xml:space="preserve">Decretos de estructura: 105/2019 → 156/2022 → 198/2024 → 168/2025 → </w:t>
            </w:r>
            <w:r>
              <w:rPr>
                <w:b/>
                <w:bCs/>
                <w:sz w:val="20"/>
                <w:szCs w:val="20"/>
              </w:rPr>
              <w:t>189/2026</w:t>
            </w:r>
            <w:r>
              <w:rPr>
                <w:sz w:val="20"/>
                <w:szCs w:val="20"/>
              </w:rPr>
              <w:t>.</w:t>
            </w:r>
          </w:p>
        </w:tc>
      </w:tr>
    </w:tbl>
    <w:p w14:paraId="31FDEFA2" w14:textId="77777777" w:rsidR="001C0CEA" w:rsidRDefault="001C0CEA">
      <w:pPr>
        <w:spacing w:after="120"/>
      </w:pPr>
    </w:p>
    <w:p w14:paraId="75DEDB30" w14:textId="77777777" w:rsidR="001C0CEA" w:rsidRDefault="00000000">
      <w:pPr>
        <w:pStyle w:val="Ttulo1"/>
        <w:pageBreakBefore/>
      </w:pPr>
      <w:bookmarkStart w:id="108" w:name="_Toc241337989"/>
      <w:r>
        <w:lastRenderedPageBreak/>
        <w:t>28. Eficiencia energética y sostenibilidad del CPD</w:t>
      </w:r>
      <w:bookmarkEnd w:id="108"/>
    </w:p>
    <w:p w14:paraId="018BA944" w14:textId="77777777" w:rsidR="001C0CEA" w:rsidRDefault="00000000">
      <w:pPr>
        <w:pStyle w:val="Ttulo2"/>
      </w:pPr>
      <w:bookmarkStart w:id="109" w:name="_Toc241337990"/>
      <w:r>
        <w:t>28.1. PUE y otros indicadores</w:t>
      </w:r>
      <w:bookmarkEnd w:id="109"/>
    </w:p>
    <w:p w14:paraId="65E94DAC" w14:textId="77777777" w:rsidR="001C0CEA" w:rsidRDefault="00000000">
      <w:pPr>
        <w:spacing w:after="120"/>
        <w:jc w:val="both"/>
      </w:pPr>
      <w:r>
        <w:t xml:space="preserve">El </w:t>
      </w:r>
      <w:r>
        <w:rPr>
          <w:b/>
          <w:bCs/>
        </w:rPr>
        <w:t>PUE</w:t>
      </w:r>
      <w:r>
        <w:t xml:space="preserve"> (</w:t>
      </w:r>
      <w:r>
        <w:rPr>
          <w:i/>
          <w:iCs/>
        </w:rPr>
        <w:t>Power Usage Effectiveness</w:t>
      </w:r>
      <w:r>
        <w:t xml:space="preserve">), propuesto por The Green Grid y normalizado en </w:t>
      </w:r>
      <w:r>
        <w:rPr>
          <w:b/>
          <w:bCs/>
        </w:rPr>
        <w:t>ISO/IEC 30134-2</w:t>
      </w:r>
      <w:r>
        <w:t xml:space="preserve"> (y en la serie EN 50600-4), se define como:</w:t>
      </w:r>
    </w:p>
    <w:p w14:paraId="4255B3A0" w14:textId="77777777" w:rsidR="001C0CEA" w:rsidRDefault="00000000">
      <w:pPr>
        <w:spacing w:after="120"/>
        <w:jc w:val="both"/>
      </w:pPr>
      <w:r>
        <w:rPr>
          <w:b/>
          <w:bCs/>
        </w:rPr>
        <w:t>PUE = Energía total consumida por la instalación del CPD / Energía consumida por los equipos TI</w:t>
      </w:r>
      <w:r>
        <w:t xml:space="preserve"> (medida sobre un periodo, idealmente anual).</w:t>
      </w:r>
    </w:p>
    <w:p w14:paraId="6CD8D4E4" w14:textId="77777777" w:rsidR="001C0CEA" w:rsidRDefault="00000000">
      <w:pPr>
        <w:pStyle w:val="Prrafodelista"/>
        <w:numPr>
          <w:ilvl w:val="0"/>
          <w:numId w:val="2"/>
        </w:numPr>
        <w:spacing w:after="60"/>
      </w:pPr>
      <w:r>
        <w:t xml:space="preserve">Su valor es </w:t>
      </w:r>
      <w:r>
        <w:rPr>
          <w:b/>
          <w:bCs/>
        </w:rPr>
        <w:t>≥ 1</w:t>
      </w:r>
      <w:r>
        <w:t>; 1 sería el ideal teórico (toda la energía va a TI). Valores en torno a 1,2–1,5 son propios de CPD eficientes; CPD antiguos pueden superar 2.</w:t>
      </w:r>
    </w:p>
    <w:p w14:paraId="556C31E0" w14:textId="77777777" w:rsidR="001C0CEA" w:rsidRDefault="00000000">
      <w:pPr>
        <w:pStyle w:val="Prrafodelista"/>
        <w:numPr>
          <w:ilvl w:val="0"/>
          <w:numId w:val="2"/>
        </w:numPr>
        <w:spacing w:after="60"/>
      </w:pPr>
      <w:r>
        <w:rPr>
          <w:b/>
          <w:bCs/>
        </w:rPr>
        <w:t>DCiE</w:t>
      </w:r>
      <w:r>
        <w:t xml:space="preserve"> = 1/PUE × 100 (%): expresión inversa.</w:t>
      </w:r>
    </w:p>
    <w:p w14:paraId="32C252BD" w14:textId="77777777" w:rsidR="001C0CEA" w:rsidRDefault="00000000">
      <w:pPr>
        <w:pStyle w:val="Prrafodelista"/>
        <w:numPr>
          <w:ilvl w:val="0"/>
          <w:numId w:val="2"/>
        </w:numPr>
        <w:spacing w:after="60"/>
      </w:pPr>
      <w:r>
        <w:t xml:space="preserve">El PUE mide la </w:t>
      </w:r>
      <w:r>
        <w:rPr>
          <w:b/>
          <w:bCs/>
        </w:rPr>
        <w:t>eficiencia de la infraestructura de soporte</w:t>
      </w:r>
      <w:r>
        <w:t xml:space="preserve"> (clima, pérdidas eléctricas, iluminación), </w:t>
      </w:r>
      <w:r>
        <w:rPr>
          <w:b/>
          <w:bCs/>
        </w:rPr>
        <w:t>no la eficiencia global</w:t>
      </w:r>
      <w:r>
        <w:t xml:space="preserve"> ni la de los equipos TI. Paradoja: si se virtualiza y se reduce la carga TI sin ajustar la climatización, el PUE puede </w:t>
      </w:r>
      <w:r>
        <w:rPr>
          <w:b/>
          <w:bCs/>
        </w:rPr>
        <w:t>empeorar</w:t>
      </w:r>
      <w:r>
        <w:t xml:space="preserve"> aunque el consumo total baje.</w:t>
      </w:r>
    </w:p>
    <w:p w14:paraId="63ECF9DE" w14:textId="77777777" w:rsidR="001C0CEA" w:rsidRDefault="00000000">
      <w:pPr>
        <w:pStyle w:val="Prrafodelista"/>
        <w:numPr>
          <w:ilvl w:val="0"/>
          <w:numId w:val="2"/>
        </w:numPr>
        <w:spacing w:after="60"/>
      </w:pPr>
      <w:r>
        <w:t xml:space="preserve">Otros indicadores: </w:t>
      </w:r>
      <w:r>
        <w:rPr>
          <w:b/>
          <w:bCs/>
        </w:rPr>
        <w:t>WUE</w:t>
      </w:r>
      <w:r>
        <w:t xml:space="preserve"> (uso de agua), </w:t>
      </w:r>
      <w:r>
        <w:rPr>
          <w:b/>
          <w:bCs/>
        </w:rPr>
        <w:t>CUE</w:t>
      </w:r>
      <w:r>
        <w:t xml:space="preserve"> (emisiones de carbono), </w:t>
      </w:r>
      <w:r>
        <w:rPr>
          <w:b/>
          <w:bCs/>
        </w:rPr>
        <w:t>REF</w:t>
      </w:r>
      <w:r>
        <w:t xml:space="preserve"> (factor de energía renovable), </w:t>
      </w:r>
      <w:r>
        <w:rPr>
          <w:b/>
          <w:bCs/>
        </w:rPr>
        <w:t>ERF</w:t>
      </w:r>
      <w:r>
        <w:t xml:space="preserve"> (reutilización de energía).</w:t>
      </w:r>
    </w:p>
    <w:p w14:paraId="153AB85B" w14:textId="77777777" w:rsidR="001C0CEA" w:rsidRDefault="00000000">
      <w:pPr>
        <w:pStyle w:val="Ttulo2"/>
      </w:pPr>
      <w:bookmarkStart w:id="110" w:name="_Toc241337991"/>
      <w:r>
        <w:t>28.2. Marco europeo</w:t>
      </w:r>
      <w:bookmarkEnd w:id="110"/>
    </w:p>
    <w:p w14:paraId="08BF3475" w14:textId="77777777" w:rsidR="001C0CEA" w:rsidRDefault="00000000">
      <w:pPr>
        <w:spacing w:after="120"/>
        <w:jc w:val="both"/>
      </w:pPr>
      <w:r>
        <w:t xml:space="preserve">La </w:t>
      </w:r>
      <w:r>
        <w:rPr>
          <w:b/>
          <w:bCs/>
        </w:rPr>
        <w:t>Directiva (UE) 2023/1791</w:t>
      </w:r>
      <w:r>
        <w:t xml:space="preserve"> de eficiencia energética (art. 12) obliga a los centros de datos con una demanda de potencia TI instalada de al menos </w:t>
      </w:r>
      <w:r>
        <w:rPr>
          <w:b/>
          <w:bCs/>
        </w:rPr>
        <w:t>500 kW</w:t>
      </w:r>
      <w:r>
        <w:t xml:space="preserve"> a comunicar indicadores de rendimiento energético y sostenibilidad a una base de datos europea, conforme al </w:t>
      </w:r>
      <w:r>
        <w:rPr>
          <w:b/>
          <w:bCs/>
        </w:rPr>
        <w:t>Reglamento Delegado (UE) 2024/1364</w:t>
      </w:r>
      <w:r>
        <w:t xml:space="preserve">. Existe además el </w:t>
      </w:r>
      <w:r>
        <w:rPr>
          <w:b/>
          <w:bCs/>
        </w:rPr>
        <w:t>Código de Conducta Europeo sobre Eficiencia Energética en CPD</w:t>
      </w:r>
      <w:r>
        <w:t xml:space="preserve"> (voluntario, de buenas prácticas).</w:t>
      </w:r>
    </w:p>
    <w:p w14:paraId="2A4C253A" w14:textId="77777777" w:rsidR="001C0CEA" w:rsidRDefault="00000000">
      <w:pPr>
        <w:pStyle w:val="Ttulo2"/>
      </w:pPr>
      <w:bookmarkStart w:id="111" w:name="_Toc241337992"/>
      <w:r>
        <w:t>28.3. Medidas de eficiencia</w:t>
      </w:r>
      <w:bookmarkEnd w:id="111"/>
    </w:p>
    <w:p w14:paraId="463CE8CD" w14:textId="77777777" w:rsidR="001C0CEA" w:rsidRDefault="00000000">
      <w:pPr>
        <w:pStyle w:val="Prrafodelista"/>
        <w:numPr>
          <w:ilvl w:val="0"/>
          <w:numId w:val="2"/>
        </w:numPr>
        <w:spacing w:after="60"/>
      </w:pPr>
      <w:r>
        <w:t xml:space="preserve">Virtualización y </w:t>
      </w:r>
      <w:r>
        <w:rPr>
          <w:b/>
          <w:bCs/>
        </w:rPr>
        <w:t>consolidación</w:t>
      </w:r>
      <w:r>
        <w:t>; apagado de servidores sin uso (</w:t>
      </w:r>
      <w:r>
        <w:rPr>
          <w:i/>
          <w:iCs/>
        </w:rPr>
        <w:t>zombies</w:t>
      </w:r>
      <w:r>
        <w:t>).</w:t>
      </w:r>
    </w:p>
    <w:p w14:paraId="29BBEC4C" w14:textId="77777777" w:rsidR="001C0CEA" w:rsidRDefault="00000000">
      <w:pPr>
        <w:pStyle w:val="Prrafodelista"/>
        <w:numPr>
          <w:ilvl w:val="0"/>
          <w:numId w:val="2"/>
        </w:numPr>
        <w:spacing w:after="60"/>
      </w:pPr>
      <w:r>
        <w:t>Contención de pasillos, paneles ciegos, sellado del suelo técnico.</w:t>
      </w:r>
    </w:p>
    <w:p w14:paraId="2964E1B3" w14:textId="77777777" w:rsidR="001C0CEA" w:rsidRDefault="00000000">
      <w:pPr>
        <w:pStyle w:val="Prrafodelista"/>
        <w:numPr>
          <w:ilvl w:val="0"/>
          <w:numId w:val="2"/>
        </w:numPr>
        <w:spacing w:after="60"/>
      </w:pPr>
      <w:r>
        <w:t>Subir las consignas de temperatura dentro del rango recomendado de ASHRAE.</w:t>
      </w:r>
    </w:p>
    <w:p w14:paraId="1E334B73" w14:textId="77777777" w:rsidR="001C0CEA" w:rsidRDefault="00000000">
      <w:pPr>
        <w:pStyle w:val="Prrafodelista"/>
        <w:numPr>
          <w:ilvl w:val="0"/>
          <w:numId w:val="2"/>
        </w:numPr>
        <w:spacing w:after="60"/>
      </w:pPr>
      <w:r>
        <w:rPr>
          <w:b/>
          <w:bCs/>
        </w:rPr>
        <w:t>Free cooling</w:t>
      </w:r>
      <w:r>
        <w:t>, variadores de velocidad, SAI de alta eficiencia (modos eco), iluminación LED con detección de presencia.</w:t>
      </w:r>
    </w:p>
    <w:p w14:paraId="30E22FD4" w14:textId="77777777" w:rsidR="001C0CEA" w:rsidRDefault="00000000">
      <w:pPr>
        <w:pStyle w:val="Prrafodelista"/>
        <w:numPr>
          <w:ilvl w:val="0"/>
          <w:numId w:val="2"/>
        </w:numPr>
        <w:spacing w:after="60"/>
      </w:pPr>
      <w:r>
        <w:t>Energías renovables y reutilización del calor.</w:t>
      </w:r>
    </w:p>
    <w:p w14:paraId="7051A291" w14:textId="77777777" w:rsidR="001C0CEA" w:rsidRDefault="00000000">
      <w:pPr>
        <w:pStyle w:val="Prrafodelista"/>
        <w:numPr>
          <w:ilvl w:val="0"/>
          <w:numId w:val="2"/>
        </w:numPr>
        <w:spacing w:after="60"/>
      </w:pPr>
      <w:r>
        <w:t>Ejemplo publicado: el nuevo CPD de la Junta en El Palenque prevé cubrir al menos el 50 % de su demanda con autoconsumo fotovoltaico y usar refrigeración por expansión directa en lugar de sistemas basados en agua.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C0CEA" w14:paraId="2A957FFC" w14:textId="77777777">
        <w:trPr>
          <w:cantSplit/>
        </w:trPr>
        <w:tc>
          <w:tcPr>
            <w:tcW w:w="9026" w:type="dxa"/>
            <w:tcBorders>
              <w:top w:val="single" w:sz="12" w:space="0" w:color="BF9000"/>
              <w:left w:val="single" w:sz="12" w:space="0" w:color="BF9000"/>
              <w:bottom w:val="single" w:sz="12" w:space="0" w:color="BF9000"/>
              <w:right w:val="single" w:sz="12" w:space="0" w:color="BF9000"/>
            </w:tcBorders>
            <w:shd w:val="clear" w:color="auto" w:fill="FFF2CC"/>
            <w:tcMar>
              <w:top w:w="120" w:type="dxa"/>
              <w:left w:w="160" w:type="dxa"/>
              <w:bottom w:w="120" w:type="dxa"/>
              <w:right w:w="160" w:type="dxa"/>
            </w:tcMar>
          </w:tcPr>
          <w:p w14:paraId="06D68A9E" w14:textId="77777777" w:rsidR="001C0CEA" w:rsidRDefault="00000000">
            <w:pPr>
              <w:spacing w:after="80"/>
            </w:pPr>
            <w:r>
              <w:rPr>
                <w:b/>
                <w:bCs/>
                <w:color w:val="7F6000"/>
              </w:rPr>
              <w:t>Claves para el examen</w:t>
            </w:r>
          </w:p>
          <w:p w14:paraId="6F907F46" w14:textId="77777777" w:rsidR="001C0CEA" w:rsidRDefault="00000000">
            <w:pPr>
              <w:pStyle w:val="Prrafodelista"/>
              <w:numPr>
                <w:ilvl w:val="0"/>
                <w:numId w:val="2"/>
              </w:numPr>
              <w:spacing w:after="40"/>
            </w:pPr>
            <w:r>
              <w:rPr>
                <w:b/>
                <w:bCs/>
                <w:sz w:val="20"/>
                <w:szCs w:val="20"/>
              </w:rPr>
              <w:t>PUE = energía total / energía TI</w:t>
            </w:r>
            <w:r>
              <w:rPr>
                <w:sz w:val="20"/>
                <w:szCs w:val="20"/>
              </w:rPr>
              <w:t>; ≥ 1; cuanto más cercano a 1, mejor.</w:t>
            </w:r>
          </w:p>
          <w:p w14:paraId="156FA342" w14:textId="77777777" w:rsidR="001C0CEA" w:rsidRDefault="00000000">
            <w:pPr>
              <w:pStyle w:val="Prrafodelista"/>
              <w:numPr>
                <w:ilvl w:val="0"/>
                <w:numId w:val="2"/>
              </w:numPr>
              <w:spacing w:after="40"/>
            </w:pPr>
            <w:r>
              <w:rPr>
                <w:sz w:val="20"/>
                <w:szCs w:val="20"/>
              </w:rPr>
              <w:t>PUE ≠ eficiencia global del CPD.</w:t>
            </w:r>
          </w:p>
          <w:p w14:paraId="76D6D425" w14:textId="77777777" w:rsidR="001C0CEA" w:rsidRDefault="00000000">
            <w:pPr>
              <w:pStyle w:val="Prrafodelista"/>
              <w:numPr>
                <w:ilvl w:val="0"/>
                <w:numId w:val="2"/>
              </w:numPr>
              <w:spacing w:after="40"/>
            </w:pPr>
            <w:r>
              <w:rPr>
                <w:sz w:val="20"/>
                <w:szCs w:val="20"/>
              </w:rPr>
              <w:t>CPD ≥ 500 kW TI: obligación de reporte en la UE (Directiva 2023/1791; Reglamento Delegado 2024/1364).</w:t>
            </w:r>
          </w:p>
        </w:tc>
      </w:tr>
    </w:tbl>
    <w:p w14:paraId="445BB9CB" w14:textId="77777777" w:rsidR="001C0CEA" w:rsidRDefault="001C0CEA">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C0CEA" w14:paraId="183A2C0E" w14:textId="77777777">
        <w:trPr>
          <w:cantSplit/>
        </w:trPr>
        <w:tc>
          <w:tcPr>
            <w:tcW w:w="9026" w:type="dxa"/>
            <w:tcBorders>
              <w:top w:val="single" w:sz="12" w:space="0" w:color="C00000"/>
              <w:left w:val="single" w:sz="12" w:space="0" w:color="C00000"/>
              <w:bottom w:val="single" w:sz="12" w:space="0" w:color="C00000"/>
              <w:right w:val="single" w:sz="12" w:space="0" w:color="C00000"/>
            </w:tcBorders>
            <w:shd w:val="clear" w:color="auto" w:fill="FBE4E4"/>
            <w:tcMar>
              <w:top w:w="120" w:type="dxa"/>
              <w:left w:w="160" w:type="dxa"/>
              <w:bottom w:w="120" w:type="dxa"/>
              <w:right w:w="160" w:type="dxa"/>
            </w:tcMar>
          </w:tcPr>
          <w:p w14:paraId="0DF37305" w14:textId="77777777" w:rsidR="001C0CEA" w:rsidRDefault="00000000">
            <w:pPr>
              <w:spacing w:after="80"/>
            </w:pPr>
            <w:r>
              <w:rPr>
                <w:b/>
                <w:bCs/>
                <w:color w:val="C00000"/>
              </w:rPr>
              <w:t>Posibles trampas de test</w:t>
            </w:r>
          </w:p>
          <w:p w14:paraId="4F904B3A" w14:textId="77777777" w:rsidR="001C0CEA" w:rsidRDefault="00000000">
            <w:pPr>
              <w:pStyle w:val="Prrafodelista"/>
              <w:numPr>
                <w:ilvl w:val="0"/>
                <w:numId w:val="2"/>
              </w:numPr>
              <w:spacing w:after="40"/>
            </w:pPr>
            <w:r>
              <w:rPr>
                <w:sz w:val="20"/>
                <w:szCs w:val="20"/>
              </w:rPr>
              <w:t>Un PUE de 0,8 es imposible.</w:t>
            </w:r>
          </w:p>
          <w:p w14:paraId="6DA2C3B0" w14:textId="77777777" w:rsidR="001C0CEA" w:rsidRDefault="00000000">
            <w:pPr>
              <w:pStyle w:val="Prrafodelista"/>
              <w:numPr>
                <w:ilvl w:val="0"/>
                <w:numId w:val="2"/>
              </w:numPr>
              <w:spacing w:after="40"/>
            </w:pPr>
            <w:r>
              <w:rPr>
                <w:sz w:val="20"/>
                <w:szCs w:val="20"/>
              </w:rPr>
              <w:t>Reducir carga TI puede empeorar el PUE sin empeorar la eficiencia real.</w:t>
            </w:r>
          </w:p>
        </w:tc>
      </w:tr>
    </w:tbl>
    <w:p w14:paraId="0AB8C4F8" w14:textId="77777777" w:rsidR="001C0CEA" w:rsidRDefault="001C0CEA">
      <w:pPr>
        <w:spacing w:after="120"/>
      </w:pPr>
    </w:p>
    <w:p w14:paraId="6D691431" w14:textId="77777777" w:rsidR="001C0CEA" w:rsidRDefault="00000000">
      <w:pPr>
        <w:pStyle w:val="Ttulo1"/>
        <w:pageBreakBefore/>
      </w:pPr>
      <w:bookmarkStart w:id="112" w:name="_Toc241337993"/>
      <w:r>
        <w:lastRenderedPageBreak/>
        <w:t>29. Casos prácticos adicionales</w:t>
      </w:r>
      <w:bookmarkEnd w:id="11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C0CEA" w14:paraId="2B5250FD" w14:textId="77777777">
        <w:trPr>
          <w:cantSplit/>
        </w:trPr>
        <w:tc>
          <w:tcPr>
            <w:tcW w:w="9026" w:type="dxa"/>
            <w:tcBorders>
              <w:top w:val="single" w:sz="12" w:space="0" w:color="548235"/>
              <w:left w:val="single" w:sz="12" w:space="0" w:color="548235"/>
              <w:bottom w:val="single" w:sz="12" w:space="0" w:color="548235"/>
              <w:right w:val="single" w:sz="12" w:space="0" w:color="548235"/>
            </w:tcBorders>
            <w:shd w:val="clear" w:color="auto" w:fill="E2EFD9"/>
            <w:tcMar>
              <w:top w:w="120" w:type="dxa"/>
              <w:left w:w="160" w:type="dxa"/>
              <w:bottom w:w="120" w:type="dxa"/>
              <w:right w:w="160" w:type="dxa"/>
            </w:tcMar>
          </w:tcPr>
          <w:p w14:paraId="73387B2F" w14:textId="77777777" w:rsidR="001C0CEA" w:rsidRDefault="00000000">
            <w:pPr>
              <w:spacing w:after="80"/>
            </w:pPr>
            <w:r>
              <w:rPr>
                <w:b/>
                <w:bCs/>
                <w:color w:val="548235"/>
              </w:rPr>
              <w:t>Diseño de un CPD para un área sanitaria</w:t>
            </w:r>
          </w:p>
          <w:p w14:paraId="58DA9CC1" w14:textId="77777777" w:rsidR="001C0CEA" w:rsidRDefault="00000000">
            <w:pPr>
              <w:pStyle w:val="Prrafodelista"/>
              <w:numPr>
                <w:ilvl w:val="0"/>
                <w:numId w:val="2"/>
              </w:numPr>
              <w:spacing w:after="40"/>
            </w:pPr>
            <w:r>
              <w:rPr>
                <w:sz w:val="20"/>
                <w:szCs w:val="20"/>
              </w:rPr>
              <w:t>Necesidad: alojar sistemas locales (PACS, laboratorio, departamentales) con alta disponibilidad; los sistemas corporativos (Diraya, receta) residen en los CPD centrales.</w:t>
            </w:r>
          </w:p>
          <w:p w14:paraId="55BC7A7E" w14:textId="77777777" w:rsidR="001C0CEA" w:rsidRDefault="00000000">
            <w:pPr>
              <w:pStyle w:val="Prrafodelista"/>
              <w:numPr>
                <w:ilvl w:val="0"/>
                <w:numId w:val="2"/>
              </w:numPr>
              <w:spacing w:after="40"/>
            </w:pPr>
            <w:r>
              <w:rPr>
                <w:sz w:val="20"/>
                <w:szCs w:val="20"/>
              </w:rPr>
              <w:t>Decisiones: sala fuera de sótanos y alejada de conducciones de agua; 12 racks con pasillo frío contenido; SAI modular N+1 y doble alimentación A/B; grupo electrógeno compartido con el hospital; clima N+1 con free cooling indirecto; detección por aspiración y extinción por gas inerte; control de acceso con tarjeta y PIN; replicación de datos críticos al CPD central y copias fuera del sitio.</w:t>
            </w:r>
          </w:p>
          <w:p w14:paraId="3AB42092" w14:textId="77777777" w:rsidR="001C0CEA" w:rsidRDefault="00000000">
            <w:pPr>
              <w:pStyle w:val="Prrafodelista"/>
              <w:numPr>
                <w:ilvl w:val="0"/>
                <w:numId w:val="2"/>
              </w:numPr>
              <w:spacing w:after="40"/>
            </w:pPr>
            <w:r>
              <w:rPr>
                <w:sz w:val="20"/>
                <w:szCs w:val="20"/>
              </w:rPr>
              <w:t>Nivel orientativo: equivalente a un diseño mantenible concurrentemente (clase 3 / Rated-3) en energía y clima.</w:t>
            </w:r>
          </w:p>
        </w:tc>
      </w:tr>
    </w:tbl>
    <w:p w14:paraId="0FF9CC7C" w14:textId="77777777" w:rsidR="001C0CEA" w:rsidRDefault="001C0CEA">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C0CEA" w14:paraId="5CE6A3D4" w14:textId="77777777">
        <w:trPr>
          <w:cantSplit/>
        </w:trPr>
        <w:tc>
          <w:tcPr>
            <w:tcW w:w="9026" w:type="dxa"/>
            <w:tcBorders>
              <w:top w:val="single" w:sz="12" w:space="0" w:color="548235"/>
              <w:left w:val="single" w:sz="12" w:space="0" w:color="548235"/>
              <w:bottom w:val="single" w:sz="12" w:space="0" w:color="548235"/>
              <w:right w:val="single" w:sz="12" w:space="0" w:color="548235"/>
            </w:tcBorders>
            <w:shd w:val="clear" w:color="auto" w:fill="E2EFD9"/>
            <w:tcMar>
              <w:top w:w="120" w:type="dxa"/>
              <w:left w:w="160" w:type="dxa"/>
              <w:bottom w:w="120" w:type="dxa"/>
              <w:right w:w="160" w:type="dxa"/>
            </w:tcMar>
          </w:tcPr>
          <w:p w14:paraId="7D266AF7" w14:textId="77777777" w:rsidR="001C0CEA" w:rsidRDefault="00000000">
            <w:pPr>
              <w:spacing w:after="80"/>
            </w:pPr>
            <w:r>
              <w:rPr>
                <w:b/>
                <w:bCs/>
                <w:color w:val="548235"/>
              </w:rPr>
              <w:t>Incendio en la sala técnica</w:t>
            </w:r>
          </w:p>
          <w:p w14:paraId="45E26F3B" w14:textId="77777777" w:rsidR="001C0CEA" w:rsidRDefault="00000000">
            <w:pPr>
              <w:pStyle w:val="Prrafodelista"/>
              <w:numPr>
                <w:ilvl w:val="0"/>
                <w:numId w:val="2"/>
              </w:numPr>
              <w:spacing w:after="40"/>
            </w:pPr>
            <w:r>
              <w:rPr>
                <w:sz w:val="20"/>
                <w:szCs w:val="20"/>
              </w:rPr>
              <w:t>El sistema de aspiración detecta partículas en fase incipiente: alarma de primer nivel; operación revisa la sala.</w:t>
            </w:r>
          </w:p>
          <w:p w14:paraId="1AD1FAAF" w14:textId="77777777" w:rsidR="001C0CEA" w:rsidRDefault="00000000">
            <w:pPr>
              <w:pStyle w:val="Prrafodelista"/>
              <w:numPr>
                <w:ilvl w:val="0"/>
                <w:numId w:val="2"/>
              </w:numPr>
              <w:spacing w:after="40"/>
            </w:pPr>
            <w:r>
              <w:rPr>
                <w:sz w:val="20"/>
                <w:szCs w:val="20"/>
              </w:rPr>
              <w:t>Confirmación por segunda zona: alarma general, parada de climatización, cierre de compuertas, cuenta atrás y evacuación; descarga del agente gaseoso.</w:t>
            </w:r>
          </w:p>
          <w:p w14:paraId="048AD3A9" w14:textId="77777777" w:rsidR="001C0CEA" w:rsidRDefault="00000000">
            <w:pPr>
              <w:pStyle w:val="Prrafodelista"/>
              <w:numPr>
                <w:ilvl w:val="0"/>
                <w:numId w:val="2"/>
              </w:numPr>
              <w:spacing w:after="40"/>
            </w:pPr>
            <w:r>
              <w:rPr>
                <w:sz w:val="20"/>
                <w:szCs w:val="20"/>
              </w:rPr>
              <w:t>Servicios afectados: se evalúa conmutar al sitio alternativo según el plan de continuidad; tras la extinción, ventilación, peritaje, restauración y recarga del sistema según RIPCI.</w:t>
            </w:r>
          </w:p>
        </w:tc>
      </w:tr>
    </w:tbl>
    <w:p w14:paraId="1727E704" w14:textId="77777777" w:rsidR="001C0CEA" w:rsidRDefault="001C0CEA">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C0CEA" w14:paraId="2DAB6ABC" w14:textId="77777777">
        <w:trPr>
          <w:cantSplit/>
        </w:trPr>
        <w:tc>
          <w:tcPr>
            <w:tcW w:w="9026" w:type="dxa"/>
            <w:tcBorders>
              <w:top w:val="single" w:sz="12" w:space="0" w:color="548235"/>
              <w:left w:val="single" w:sz="12" w:space="0" w:color="548235"/>
              <w:bottom w:val="single" w:sz="12" w:space="0" w:color="548235"/>
              <w:right w:val="single" w:sz="12" w:space="0" w:color="548235"/>
            </w:tcBorders>
            <w:shd w:val="clear" w:color="auto" w:fill="E2EFD9"/>
            <w:tcMar>
              <w:top w:w="120" w:type="dxa"/>
              <w:left w:w="160" w:type="dxa"/>
              <w:bottom w:w="120" w:type="dxa"/>
              <w:right w:w="160" w:type="dxa"/>
            </w:tcMar>
          </w:tcPr>
          <w:p w14:paraId="70D6469D" w14:textId="77777777" w:rsidR="001C0CEA" w:rsidRDefault="00000000">
            <w:pPr>
              <w:spacing w:after="80"/>
            </w:pPr>
            <w:r>
              <w:rPr>
                <w:b/>
                <w:bCs/>
                <w:color w:val="548235"/>
              </w:rPr>
              <w:t>Caída de comunicaciones</w:t>
            </w:r>
          </w:p>
          <w:p w14:paraId="675FDDC8" w14:textId="77777777" w:rsidR="001C0CEA" w:rsidRDefault="00000000">
            <w:pPr>
              <w:pStyle w:val="Prrafodelista"/>
              <w:numPr>
                <w:ilvl w:val="0"/>
                <w:numId w:val="2"/>
              </w:numPr>
              <w:spacing w:after="40"/>
            </w:pPr>
            <w:r>
              <w:rPr>
                <w:sz w:val="20"/>
                <w:szCs w:val="20"/>
              </w:rPr>
              <w:t>Se pierde el enlace principal del CPD con un operador. Con doble operador y rutas diversas, el encaminamiento dinámico lleva el tráfico al segundo operador sin impacto perceptible.</w:t>
            </w:r>
          </w:p>
          <w:p w14:paraId="63CC3F76" w14:textId="77777777" w:rsidR="001C0CEA" w:rsidRDefault="00000000">
            <w:pPr>
              <w:pStyle w:val="Prrafodelista"/>
              <w:numPr>
                <w:ilvl w:val="0"/>
                <w:numId w:val="2"/>
              </w:numPr>
              <w:spacing w:after="40"/>
            </w:pPr>
            <w:r>
              <w:rPr>
                <w:sz w:val="20"/>
                <w:szCs w:val="20"/>
              </w:rPr>
              <w:t>Sin redundancia: incidencia P1, comunicación a centros, activación de procedimientos de contingencia (trabajo con datos locales/manuales) y escalado al operador según ANS del contrato.</w:t>
            </w:r>
          </w:p>
        </w:tc>
      </w:tr>
    </w:tbl>
    <w:p w14:paraId="242A721C" w14:textId="77777777" w:rsidR="001C0CEA" w:rsidRDefault="001C0CEA">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C0CEA" w14:paraId="04FC31CB" w14:textId="77777777">
        <w:trPr>
          <w:cantSplit/>
        </w:trPr>
        <w:tc>
          <w:tcPr>
            <w:tcW w:w="9026" w:type="dxa"/>
            <w:tcBorders>
              <w:top w:val="single" w:sz="12" w:space="0" w:color="548235"/>
              <w:left w:val="single" w:sz="12" w:space="0" w:color="548235"/>
              <w:bottom w:val="single" w:sz="12" w:space="0" w:color="548235"/>
              <w:right w:val="single" w:sz="12" w:space="0" w:color="548235"/>
            </w:tcBorders>
            <w:shd w:val="clear" w:color="auto" w:fill="E2EFD9"/>
            <w:tcMar>
              <w:top w:w="120" w:type="dxa"/>
              <w:left w:w="160" w:type="dxa"/>
              <w:bottom w:w="120" w:type="dxa"/>
              <w:right w:w="160" w:type="dxa"/>
            </w:tcMar>
          </w:tcPr>
          <w:p w14:paraId="0B685E69" w14:textId="77777777" w:rsidR="001C0CEA" w:rsidRDefault="00000000">
            <w:pPr>
              <w:spacing w:after="80"/>
            </w:pPr>
            <w:r>
              <w:rPr>
                <w:b/>
                <w:bCs/>
                <w:color w:val="548235"/>
              </w:rPr>
              <w:t>Monitorización proactiva</w:t>
            </w:r>
          </w:p>
          <w:p w14:paraId="3DFAAB80" w14:textId="77777777" w:rsidR="001C0CEA" w:rsidRDefault="00000000">
            <w:pPr>
              <w:pStyle w:val="Prrafodelista"/>
              <w:numPr>
                <w:ilvl w:val="0"/>
                <w:numId w:val="2"/>
              </w:numPr>
              <w:spacing w:after="40"/>
            </w:pPr>
            <w:r>
              <w:rPr>
                <w:sz w:val="20"/>
                <w:szCs w:val="20"/>
              </w:rPr>
              <w:t>La monitorización detecta que la latencia de la cabina de almacenamiento crece un 20 % semanal y que un volumen alcanzará el 90 % en 10 días.</w:t>
            </w:r>
          </w:p>
          <w:p w14:paraId="549220AB" w14:textId="77777777" w:rsidR="001C0CEA" w:rsidRDefault="00000000">
            <w:pPr>
              <w:pStyle w:val="Prrafodelista"/>
              <w:numPr>
                <w:ilvl w:val="0"/>
                <w:numId w:val="2"/>
              </w:numPr>
              <w:spacing w:after="40"/>
            </w:pPr>
            <w:r>
              <w:rPr>
                <w:sz w:val="20"/>
                <w:szCs w:val="20"/>
              </w:rPr>
              <w:t>Gestión de eventos: se genera un aviso (no incidencia). Gestión de capacidad: se planifica ampliación mediante un cambio normal antes de que afecte al servicio. Resultado: se evita la incidencia.</w:t>
            </w:r>
          </w:p>
        </w:tc>
      </w:tr>
    </w:tbl>
    <w:p w14:paraId="5A0EDAEA" w14:textId="77777777" w:rsidR="001C0CEA" w:rsidRDefault="001C0CEA">
      <w:pPr>
        <w:spacing w:after="120"/>
      </w:pPr>
    </w:p>
    <w:p w14:paraId="06F11642" w14:textId="77777777" w:rsidR="001C0CEA" w:rsidRDefault="00000000">
      <w:pPr>
        <w:pStyle w:val="Ttulo1"/>
        <w:pageBreakBefore/>
      </w:pPr>
      <w:bookmarkStart w:id="113" w:name="_Toc241337994"/>
      <w:r>
        <w:lastRenderedPageBreak/>
        <w:t>30. Claves finales y detección de trampas de test</w:t>
      </w:r>
      <w:bookmarkEnd w:id="11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1C0CEA" w14:paraId="280BC1FF" w14:textId="77777777">
        <w:trPr>
          <w:tblHeader/>
        </w:trPr>
        <w:tc>
          <w:tcPr>
            <w:tcW w:w="30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69EF8DE2" w14:textId="77777777" w:rsidR="001C0CEA" w:rsidRDefault="00000000">
            <w:r>
              <w:rPr>
                <w:b/>
                <w:bCs/>
                <w:color w:val="FFFFFF"/>
                <w:sz w:val="19"/>
                <w:szCs w:val="19"/>
              </w:rPr>
              <w:t>Pareja de conceptos</w:t>
            </w:r>
          </w:p>
        </w:tc>
        <w:tc>
          <w:tcPr>
            <w:tcW w:w="6026"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262301E0" w14:textId="77777777" w:rsidR="001C0CEA" w:rsidRDefault="00000000">
            <w:r>
              <w:rPr>
                <w:b/>
                <w:bCs/>
                <w:color w:val="FFFFFF"/>
                <w:sz w:val="19"/>
                <w:szCs w:val="19"/>
              </w:rPr>
              <w:t>Diferencia clave</w:t>
            </w:r>
          </w:p>
        </w:tc>
      </w:tr>
      <w:tr w:rsidR="001C0CEA" w14:paraId="5A6A1BD8" w14:textId="77777777">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61E2262" w14:textId="77777777" w:rsidR="001C0CEA" w:rsidRDefault="00000000">
            <w:r>
              <w:rPr>
                <w:sz w:val="19"/>
                <w:szCs w:val="19"/>
              </w:rPr>
              <w:t>N+1 vs. 2N</w:t>
            </w:r>
          </w:p>
        </w:tc>
        <w:tc>
          <w:tcPr>
            <w:tcW w:w="60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D1A0622" w14:textId="77777777" w:rsidR="001C0CEA" w:rsidRDefault="00000000">
            <w:r>
              <w:rPr>
                <w:sz w:val="19"/>
                <w:szCs w:val="19"/>
              </w:rPr>
              <w:t>N+1: una unidad de reserva en el mismo sistema. 2N: dos sistemas completos independientes</w:t>
            </w:r>
          </w:p>
        </w:tc>
      </w:tr>
      <w:tr w:rsidR="001C0CEA" w14:paraId="187EF8CD" w14:textId="77777777">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3BB10F9" w14:textId="77777777" w:rsidR="001C0CEA" w:rsidRDefault="00000000">
            <w:r>
              <w:rPr>
                <w:sz w:val="19"/>
                <w:szCs w:val="19"/>
              </w:rPr>
              <w:t>Disponibilidad vs. continuidad</w:t>
            </w:r>
          </w:p>
        </w:tc>
        <w:tc>
          <w:tcPr>
            <w:tcW w:w="60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A8702B1" w14:textId="77777777" w:rsidR="001C0CEA" w:rsidRDefault="00000000">
            <w:r>
              <w:rPr>
                <w:sz w:val="19"/>
                <w:szCs w:val="19"/>
              </w:rPr>
              <w:t>Disponibilidad: % de tiempo operativo de un servicio. Continuidad: capacidad de la organización de seguir funcionando ante un incidente disruptivo</w:t>
            </w:r>
          </w:p>
        </w:tc>
      </w:tr>
      <w:tr w:rsidR="001C0CEA" w14:paraId="1D197413" w14:textId="77777777">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A1B824C" w14:textId="77777777" w:rsidR="001C0CEA" w:rsidRDefault="00000000">
            <w:r>
              <w:rPr>
                <w:sz w:val="19"/>
                <w:szCs w:val="19"/>
              </w:rPr>
              <w:t>Backup vs. replicación</w:t>
            </w:r>
          </w:p>
        </w:tc>
        <w:tc>
          <w:tcPr>
            <w:tcW w:w="60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C6295CB" w14:textId="77777777" w:rsidR="001C0CEA" w:rsidRDefault="00000000">
            <w:r>
              <w:rPr>
                <w:sz w:val="19"/>
                <w:szCs w:val="19"/>
              </w:rPr>
              <w:t>Backup: copias históricas independientes y restaurables. Replicación: copia continua del estado actual (replica también los errores)</w:t>
            </w:r>
          </w:p>
        </w:tc>
      </w:tr>
      <w:tr w:rsidR="001C0CEA" w14:paraId="15623B12" w14:textId="77777777">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486C2F5" w14:textId="77777777" w:rsidR="001C0CEA" w:rsidRDefault="00000000">
            <w:r>
              <w:rPr>
                <w:sz w:val="19"/>
                <w:szCs w:val="19"/>
              </w:rPr>
              <w:t>RPO vs. RTO</w:t>
            </w:r>
          </w:p>
        </w:tc>
        <w:tc>
          <w:tcPr>
            <w:tcW w:w="60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0F22AD6" w14:textId="77777777" w:rsidR="001C0CEA" w:rsidRDefault="00000000">
            <w:r>
              <w:rPr>
                <w:sz w:val="19"/>
                <w:szCs w:val="19"/>
              </w:rPr>
              <w:t>RPO: datos que se pueden perder (hacia atrás). RTO: tiempo para restaurar (hacia delante)</w:t>
            </w:r>
          </w:p>
        </w:tc>
      </w:tr>
      <w:tr w:rsidR="001C0CEA" w14:paraId="4272560D" w14:textId="77777777">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480E798" w14:textId="77777777" w:rsidR="001C0CEA" w:rsidRDefault="00000000">
            <w:r>
              <w:rPr>
                <w:sz w:val="19"/>
                <w:szCs w:val="19"/>
              </w:rPr>
              <w:t>SAN vs. NAS</w:t>
            </w:r>
          </w:p>
        </w:tc>
        <w:tc>
          <w:tcPr>
            <w:tcW w:w="60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041AC0E" w14:textId="77777777" w:rsidR="001C0CEA" w:rsidRDefault="00000000">
            <w:r>
              <w:rPr>
                <w:sz w:val="19"/>
                <w:szCs w:val="19"/>
              </w:rPr>
              <w:t>SAN: bloque, red dedicada (FC/iSCSI). NAS: fichero, LAN (NFS/SMB)</w:t>
            </w:r>
          </w:p>
        </w:tc>
      </w:tr>
      <w:tr w:rsidR="001C0CEA" w14:paraId="4B718AE9" w14:textId="77777777">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75BF6B5" w14:textId="77777777" w:rsidR="001C0CEA" w:rsidRDefault="00000000">
            <w:r>
              <w:rPr>
                <w:sz w:val="19"/>
                <w:szCs w:val="19"/>
              </w:rPr>
              <w:t>Batch vs. online</w:t>
            </w:r>
          </w:p>
        </w:tc>
        <w:tc>
          <w:tcPr>
            <w:tcW w:w="60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E144A41" w14:textId="77777777" w:rsidR="001C0CEA" w:rsidRDefault="00000000">
            <w:r>
              <w:rPr>
                <w:sz w:val="19"/>
                <w:szCs w:val="19"/>
              </w:rPr>
              <w:t>Batch: lotes, planificado, sin interacción. Online: transacciones interactivas con respuesta inmediata</w:t>
            </w:r>
          </w:p>
        </w:tc>
      </w:tr>
      <w:tr w:rsidR="001C0CEA" w14:paraId="01583A1D" w14:textId="77777777">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DEAEAAE" w14:textId="77777777" w:rsidR="001C0CEA" w:rsidRDefault="00000000">
            <w:r>
              <w:rPr>
                <w:sz w:val="19"/>
                <w:szCs w:val="19"/>
              </w:rPr>
              <w:t>Incidencia vs. problema</w:t>
            </w:r>
          </w:p>
        </w:tc>
        <w:tc>
          <w:tcPr>
            <w:tcW w:w="60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839ED7B" w14:textId="77777777" w:rsidR="001C0CEA" w:rsidRDefault="00000000">
            <w:r>
              <w:rPr>
                <w:sz w:val="19"/>
                <w:szCs w:val="19"/>
              </w:rPr>
              <w:t>Incidencia: restaurar el servicio. Problema: causa raíz de una o varias incidencias</w:t>
            </w:r>
          </w:p>
        </w:tc>
      </w:tr>
      <w:tr w:rsidR="001C0CEA" w14:paraId="4BBD1410" w14:textId="77777777">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0BA2761" w14:textId="77777777" w:rsidR="001C0CEA" w:rsidRDefault="00000000">
            <w:r>
              <w:rPr>
                <w:sz w:val="19"/>
                <w:szCs w:val="19"/>
              </w:rPr>
              <w:t>Cambio vs. petición</w:t>
            </w:r>
          </w:p>
        </w:tc>
        <w:tc>
          <w:tcPr>
            <w:tcW w:w="60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0857A98" w14:textId="77777777" w:rsidR="001C0CEA" w:rsidRDefault="00000000">
            <w:r>
              <w:rPr>
                <w:sz w:val="19"/>
                <w:szCs w:val="19"/>
              </w:rPr>
              <w:t>Cambio: modificación controlada con riesgo. Petición: servicio estándar del catálogo</w:t>
            </w:r>
          </w:p>
        </w:tc>
      </w:tr>
      <w:tr w:rsidR="001C0CEA" w14:paraId="1C11E929" w14:textId="77777777">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FB78F31" w14:textId="77777777" w:rsidR="001C0CEA" w:rsidRDefault="00000000">
            <w:r>
              <w:rPr>
                <w:sz w:val="19"/>
                <w:szCs w:val="19"/>
              </w:rPr>
              <w:t>Monitorización vs. operación</w:t>
            </w:r>
          </w:p>
        </w:tc>
        <w:tc>
          <w:tcPr>
            <w:tcW w:w="60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FFD1B6D" w14:textId="77777777" w:rsidR="001C0CEA" w:rsidRDefault="00000000">
            <w:r>
              <w:rPr>
                <w:sz w:val="19"/>
                <w:szCs w:val="19"/>
              </w:rPr>
              <w:t>Monitorización: observar y medir. Operación: actuar (ejecutar procedimientos, reaccionar)</w:t>
            </w:r>
          </w:p>
        </w:tc>
      </w:tr>
      <w:tr w:rsidR="001C0CEA" w14:paraId="3EF5BA47" w14:textId="77777777">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62A8516" w14:textId="77777777" w:rsidR="001C0CEA" w:rsidRDefault="00000000">
            <w:r>
              <w:rPr>
                <w:sz w:val="19"/>
                <w:szCs w:val="19"/>
              </w:rPr>
              <w:t>Monitorización vs. gestión de eventos</w:t>
            </w:r>
          </w:p>
        </w:tc>
        <w:tc>
          <w:tcPr>
            <w:tcW w:w="60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84089DD" w14:textId="77777777" w:rsidR="001C0CEA" w:rsidRDefault="00000000">
            <w:r>
              <w:rPr>
                <w:sz w:val="19"/>
                <w:szCs w:val="19"/>
              </w:rPr>
              <w:t>Monitorización: recoger datos. Gestión de eventos: interpretar y decidir la respuesta</w:t>
            </w:r>
          </w:p>
        </w:tc>
      </w:tr>
      <w:tr w:rsidR="001C0CEA" w14:paraId="70C70598" w14:textId="77777777">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3F80B35" w14:textId="77777777" w:rsidR="001C0CEA" w:rsidRDefault="00000000">
            <w:r>
              <w:rPr>
                <w:sz w:val="19"/>
                <w:szCs w:val="19"/>
              </w:rPr>
              <w:t>CPD principal vs. centro de respaldo</w:t>
            </w:r>
          </w:p>
        </w:tc>
        <w:tc>
          <w:tcPr>
            <w:tcW w:w="60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DD2F328" w14:textId="77777777" w:rsidR="001C0CEA" w:rsidRDefault="00000000">
            <w:r>
              <w:rPr>
                <w:sz w:val="19"/>
                <w:szCs w:val="19"/>
              </w:rPr>
              <w:t>Principal: producción habitual. Respaldo: asume servicios en caso de desastre (hot/warm/cold)</w:t>
            </w:r>
          </w:p>
        </w:tc>
      </w:tr>
      <w:tr w:rsidR="001C0CEA" w14:paraId="7B5A0A71" w14:textId="77777777">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E2E7DAD" w14:textId="77777777" w:rsidR="001C0CEA" w:rsidRDefault="00000000">
            <w:r>
              <w:rPr>
                <w:sz w:val="19"/>
                <w:szCs w:val="19"/>
              </w:rPr>
              <w:t>Hot vs. warm vs. cold site</w:t>
            </w:r>
          </w:p>
        </w:tc>
        <w:tc>
          <w:tcPr>
            <w:tcW w:w="60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8980739" w14:textId="77777777" w:rsidR="001C0CEA" w:rsidRDefault="00000000">
            <w:r>
              <w:rPr>
                <w:sz w:val="19"/>
                <w:szCs w:val="19"/>
              </w:rPr>
              <w:t>Hot: listo con datos. Warm: parcialmente equipado. Cold: solo espacio e instalaciones</w:t>
            </w:r>
          </w:p>
        </w:tc>
      </w:tr>
      <w:tr w:rsidR="001C0CEA" w14:paraId="7F0C75C7" w14:textId="77777777">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84F9141" w14:textId="77777777" w:rsidR="001C0CEA" w:rsidRDefault="00000000">
            <w:r>
              <w:rPr>
                <w:sz w:val="19"/>
                <w:szCs w:val="19"/>
              </w:rPr>
              <w:t>Estándar vs. certificación</w:t>
            </w:r>
          </w:p>
        </w:tc>
        <w:tc>
          <w:tcPr>
            <w:tcW w:w="60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F843C5D" w14:textId="77777777" w:rsidR="001C0CEA" w:rsidRDefault="00000000">
            <w:r>
              <w:rPr>
                <w:sz w:val="19"/>
                <w:szCs w:val="19"/>
              </w:rPr>
              <w:t>Estándar: documento de requisitos. Certificación: evaluación de un tercero con validez temporal (TIA-942: 3 años)</w:t>
            </w:r>
          </w:p>
        </w:tc>
      </w:tr>
      <w:tr w:rsidR="001C0CEA" w14:paraId="7F82E16B" w14:textId="77777777">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C0F43C3" w14:textId="77777777" w:rsidR="001C0CEA" w:rsidRDefault="00000000">
            <w:r>
              <w:rPr>
                <w:sz w:val="19"/>
                <w:szCs w:val="19"/>
              </w:rPr>
              <w:t>Tier (Uptime) vs. Rated (TIA) vs. clase (EN 50600)</w:t>
            </w:r>
          </w:p>
        </w:tc>
        <w:tc>
          <w:tcPr>
            <w:tcW w:w="60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0A75C0C" w14:textId="77777777" w:rsidR="001C0CEA" w:rsidRDefault="00000000">
            <w:r>
              <w:rPr>
                <w:sz w:val="19"/>
                <w:szCs w:val="19"/>
              </w:rPr>
              <w:t>Tres sistemas distintos de 4 niveles; no se deben mezclar</w:t>
            </w:r>
          </w:p>
        </w:tc>
      </w:tr>
      <w:tr w:rsidR="001C0CEA" w14:paraId="3AF05A77" w14:textId="77777777">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B0EB464" w14:textId="77777777" w:rsidR="001C0CEA" w:rsidRDefault="00000000">
            <w:r>
              <w:rPr>
                <w:sz w:val="19"/>
                <w:szCs w:val="19"/>
              </w:rPr>
              <w:t>Seguridad física vs. lógica</w:t>
            </w:r>
          </w:p>
        </w:tc>
        <w:tc>
          <w:tcPr>
            <w:tcW w:w="60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E2B372B" w14:textId="77777777" w:rsidR="001C0CEA" w:rsidRDefault="00000000">
            <w:r>
              <w:rPr>
                <w:sz w:val="19"/>
                <w:szCs w:val="19"/>
              </w:rPr>
              <w:t>Física: espacios, equipos, entorno. Lógica: datos, accesos, redes</w:t>
            </w:r>
          </w:p>
        </w:tc>
      </w:tr>
      <w:tr w:rsidR="001C0CEA" w14:paraId="3FC4720B" w14:textId="77777777">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1CB6C03" w14:textId="77777777" w:rsidR="001C0CEA" w:rsidRDefault="00000000">
            <w:r>
              <w:rPr>
                <w:sz w:val="19"/>
                <w:szCs w:val="19"/>
              </w:rPr>
              <w:t>Producción vs. desarrollo</w:t>
            </w:r>
          </w:p>
        </w:tc>
        <w:tc>
          <w:tcPr>
            <w:tcW w:w="60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3FB6E54" w14:textId="77777777" w:rsidR="001C0CEA" w:rsidRDefault="00000000">
            <w:r>
              <w:rPr>
                <w:sz w:val="19"/>
                <w:szCs w:val="19"/>
              </w:rPr>
              <w:t>Producción: servicio real y estable con datos reales. Desarrollo: cambio continuo con datos de prueba</w:t>
            </w:r>
          </w:p>
        </w:tc>
      </w:tr>
      <w:tr w:rsidR="001C0CEA" w14:paraId="287C3316" w14:textId="77777777">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E57EE8E" w14:textId="77777777" w:rsidR="001C0CEA" w:rsidRDefault="00000000">
            <w:r>
              <w:rPr>
                <w:sz w:val="19"/>
                <w:szCs w:val="19"/>
              </w:rPr>
              <w:t>Administración vs. operación</w:t>
            </w:r>
          </w:p>
        </w:tc>
        <w:tc>
          <w:tcPr>
            <w:tcW w:w="60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E67A044" w14:textId="77777777" w:rsidR="001C0CEA" w:rsidRDefault="00000000">
            <w:r>
              <w:rPr>
                <w:sz w:val="19"/>
                <w:szCs w:val="19"/>
              </w:rPr>
              <w:t>Administración: configura y resuelve técnicamente. Operación: ejecuta procedimientos y vigila 24×7</w:t>
            </w:r>
          </w:p>
        </w:tc>
      </w:tr>
      <w:tr w:rsidR="001C0CEA" w14:paraId="2E635F6F" w14:textId="77777777">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FC0996D" w14:textId="77777777" w:rsidR="001C0CEA" w:rsidRDefault="00000000">
            <w:r>
              <w:rPr>
                <w:sz w:val="19"/>
                <w:szCs w:val="19"/>
              </w:rPr>
              <w:t>Estructura SAS histórica vs. actual</w:t>
            </w:r>
          </w:p>
        </w:tc>
        <w:tc>
          <w:tcPr>
            <w:tcW w:w="60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ACABA8B" w14:textId="77777777" w:rsidR="001C0CEA" w:rsidRDefault="00000000">
            <w:r>
              <w:rPr>
                <w:sz w:val="19"/>
                <w:szCs w:val="19"/>
              </w:rPr>
              <w:t>STIC (hasta 2024) → DGSIC → DGTIC → DGSDIT (2026)</w:t>
            </w:r>
          </w:p>
        </w:tc>
      </w:tr>
    </w:tbl>
    <w:p w14:paraId="3550DF3F" w14:textId="77777777" w:rsidR="001C0CEA" w:rsidRDefault="001C0CEA">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C0CEA" w14:paraId="5B10E86C" w14:textId="77777777">
        <w:trPr>
          <w:cantSplit/>
        </w:trPr>
        <w:tc>
          <w:tcPr>
            <w:tcW w:w="9026" w:type="dxa"/>
            <w:tcBorders>
              <w:top w:val="single" w:sz="12" w:space="0" w:color="BF9000"/>
              <w:left w:val="single" w:sz="12" w:space="0" w:color="BF9000"/>
              <w:bottom w:val="single" w:sz="12" w:space="0" w:color="BF9000"/>
              <w:right w:val="single" w:sz="12" w:space="0" w:color="BF9000"/>
            </w:tcBorders>
            <w:shd w:val="clear" w:color="auto" w:fill="FFF2CC"/>
            <w:tcMar>
              <w:top w:w="120" w:type="dxa"/>
              <w:left w:w="160" w:type="dxa"/>
              <w:bottom w:w="120" w:type="dxa"/>
              <w:right w:w="160" w:type="dxa"/>
            </w:tcMar>
          </w:tcPr>
          <w:p w14:paraId="7A913705" w14:textId="77777777" w:rsidR="001C0CEA" w:rsidRDefault="00000000">
            <w:pPr>
              <w:spacing w:after="80"/>
            </w:pPr>
            <w:r>
              <w:rPr>
                <w:b/>
                <w:bCs/>
                <w:color w:val="7F6000"/>
              </w:rPr>
              <w:lastRenderedPageBreak/>
              <w:t>Datos numéricos para memorizar</w:t>
            </w:r>
          </w:p>
          <w:p w14:paraId="2FF8B16E" w14:textId="77777777" w:rsidR="001C0CEA" w:rsidRDefault="00000000">
            <w:pPr>
              <w:pStyle w:val="Prrafodelista"/>
              <w:numPr>
                <w:ilvl w:val="0"/>
                <w:numId w:val="2"/>
              </w:numPr>
              <w:spacing w:after="40"/>
            </w:pPr>
            <w:r>
              <w:rPr>
                <w:sz w:val="20"/>
                <w:szCs w:val="20"/>
              </w:rPr>
              <w:t>1U = 44,45 mm; rack de 19″.</w:t>
            </w:r>
          </w:p>
          <w:p w14:paraId="72BB911D" w14:textId="77777777" w:rsidR="001C0CEA" w:rsidRDefault="00000000">
            <w:pPr>
              <w:pStyle w:val="Prrafodelista"/>
              <w:numPr>
                <w:ilvl w:val="0"/>
                <w:numId w:val="2"/>
              </w:numPr>
              <w:spacing w:after="40"/>
            </w:pPr>
            <w:r>
              <w:rPr>
                <w:sz w:val="20"/>
                <w:szCs w:val="20"/>
              </w:rPr>
              <w:t>Rango recomendado ASHRAE aire de entrada ≈ 18–27 °C.</w:t>
            </w:r>
          </w:p>
          <w:p w14:paraId="20BB02AB" w14:textId="77777777" w:rsidR="001C0CEA" w:rsidRDefault="00000000">
            <w:pPr>
              <w:pStyle w:val="Prrafodelista"/>
              <w:numPr>
                <w:ilvl w:val="0"/>
                <w:numId w:val="2"/>
              </w:numPr>
              <w:spacing w:after="40"/>
            </w:pPr>
            <w:r>
              <w:rPr>
                <w:sz w:val="20"/>
                <w:szCs w:val="20"/>
              </w:rPr>
              <w:t>Certificación TIA-942: diseño 1 año; instalación 3 años (vigilancia anual).</w:t>
            </w:r>
          </w:p>
          <w:p w14:paraId="41621AC9" w14:textId="77777777" w:rsidR="001C0CEA" w:rsidRDefault="00000000">
            <w:pPr>
              <w:pStyle w:val="Prrafodelista"/>
              <w:numPr>
                <w:ilvl w:val="0"/>
                <w:numId w:val="2"/>
              </w:numPr>
              <w:spacing w:after="40"/>
            </w:pPr>
            <w:r>
              <w:rPr>
                <w:sz w:val="20"/>
                <w:szCs w:val="20"/>
              </w:rPr>
              <w:t>TIA-942 revisión C: mayo 2024. ENS: RD 311/2022. RIPCI: RD 513/2017. REBT: RD 842/2002.</w:t>
            </w:r>
          </w:p>
          <w:p w14:paraId="6BAA617D" w14:textId="77777777" w:rsidR="001C0CEA" w:rsidRDefault="00000000">
            <w:pPr>
              <w:pStyle w:val="Prrafodelista"/>
              <w:numPr>
                <w:ilvl w:val="0"/>
                <w:numId w:val="2"/>
              </w:numPr>
              <w:spacing w:after="40"/>
            </w:pPr>
            <w:r>
              <w:rPr>
                <w:sz w:val="20"/>
                <w:szCs w:val="20"/>
              </w:rPr>
              <w:t>99,99 % ≈ 52,6 min/año; 99,999 % ≈ 5,3 min/año; Tier I ≈ 28,8 h; Tier IV ≈ 26,3 min.</w:t>
            </w:r>
          </w:p>
          <w:p w14:paraId="026AFBC3" w14:textId="77777777" w:rsidR="001C0CEA" w:rsidRDefault="00000000">
            <w:pPr>
              <w:pStyle w:val="Prrafodelista"/>
              <w:numPr>
                <w:ilvl w:val="0"/>
                <w:numId w:val="2"/>
              </w:numPr>
              <w:spacing w:after="40"/>
            </w:pPr>
            <w:r>
              <w:rPr>
                <w:sz w:val="20"/>
                <w:szCs w:val="20"/>
              </w:rPr>
              <w:t>RGPD: notificación de brechas en 72 h. CPD ≥ 500 kW TI: reporte energético UE.</w:t>
            </w:r>
          </w:p>
          <w:p w14:paraId="5D492B59" w14:textId="77777777" w:rsidR="001C0CEA" w:rsidRDefault="00000000">
            <w:pPr>
              <w:pStyle w:val="Prrafodelista"/>
              <w:numPr>
                <w:ilvl w:val="0"/>
                <w:numId w:val="2"/>
              </w:numPr>
              <w:spacing w:after="40"/>
            </w:pPr>
            <w:r>
              <w:rPr>
                <w:sz w:val="20"/>
                <w:szCs w:val="20"/>
              </w:rPr>
              <w:t>Contrato soporte CPD centrales SAS: formalizado agosto 2024; prórroga 36 meses (44,8 M€) autorizada en julio de 2026.</w:t>
            </w:r>
          </w:p>
        </w:tc>
      </w:tr>
    </w:tbl>
    <w:p w14:paraId="32B16814" w14:textId="77777777" w:rsidR="001C0CEA" w:rsidRDefault="001C0CEA">
      <w:pPr>
        <w:spacing w:after="120"/>
      </w:pPr>
    </w:p>
    <w:p w14:paraId="5AF28FDF" w14:textId="77777777" w:rsidR="001C0CEA" w:rsidRDefault="00000000">
      <w:pPr>
        <w:pStyle w:val="Ttulo1"/>
        <w:pageBreakBefore/>
      </w:pPr>
      <w:bookmarkStart w:id="114" w:name="_Toc241337995"/>
      <w:r>
        <w:lastRenderedPageBreak/>
        <w:t>31. Anexo: comprobación de cobertura de las preguntas del banco</w:t>
      </w:r>
      <w:bookmarkEnd w:id="114"/>
    </w:p>
    <w:p w14:paraId="2686383A" w14:textId="77777777" w:rsidR="001C0CEA" w:rsidRDefault="00000000">
      <w:pPr>
        <w:spacing w:after="120"/>
        <w:jc w:val="both"/>
      </w:pPr>
      <w:r>
        <w:t>Resolución comentada de las preguntas del CSV para verificar que el documento contiene la información necesaria. No sustituye al estudio de los apartados.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186"/>
        <w:gridCol w:w="1097"/>
        <w:gridCol w:w="3865"/>
        <w:gridCol w:w="1278"/>
      </w:tblGrid>
      <w:tr w:rsidR="001C0CEA" w14:paraId="1FF95D4F" w14:textId="77777777">
        <w:trPr>
          <w:tblHeader/>
        </w:trPr>
        <w:tc>
          <w:tcPr>
            <w:tcW w:w="6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0627D739" w14:textId="77777777" w:rsidR="001C0CEA" w:rsidRDefault="00000000">
            <w:r>
              <w:rPr>
                <w:b/>
                <w:bCs/>
                <w:color w:val="FFFFFF"/>
                <w:sz w:val="19"/>
                <w:szCs w:val="19"/>
              </w:rPr>
              <w:t>ID</w:t>
            </w:r>
          </w:p>
        </w:tc>
        <w:tc>
          <w:tcPr>
            <w:tcW w:w="22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41786A7E" w14:textId="77777777" w:rsidR="001C0CEA" w:rsidRDefault="00000000">
            <w:r>
              <w:rPr>
                <w:b/>
                <w:bCs/>
                <w:color w:val="FFFFFF"/>
                <w:sz w:val="19"/>
                <w:szCs w:val="19"/>
              </w:rPr>
              <w:t>Pregunta (resumen)</w:t>
            </w:r>
          </w:p>
        </w:tc>
        <w:tc>
          <w:tcPr>
            <w:tcW w:w="11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439A33DF" w14:textId="77777777" w:rsidR="001C0CEA" w:rsidRDefault="00000000">
            <w:r>
              <w:rPr>
                <w:b/>
                <w:bCs/>
                <w:color w:val="FFFFFF"/>
                <w:sz w:val="19"/>
                <w:szCs w:val="19"/>
              </w:rPr>
              <w:t>Correcta</w:t>
            </w:r>
          </w:p>
        </w:tc>
        <w:tc>
          <w:tcPr>
            <w:tcW w:w="39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0DC4D286" w14:textId="77777777" w:rsidR="001C0CEA" w:rsidRDefault="00000000">
            <w:r>
              <w:rPr>
                <w:b/>
                <w:bCs/>
                <w:color w:val="FFFFFF"/>
                <w:sz w:val="19"/>
                <w:szCs w:val="19"/>
              </w:rPr>
              <w:t>Justificación</w:t>
            </w:r>
          </w:p>
        </w:tc>
        <w:tc>
          <w:tcPr>
            <w:tcW w:w="1226"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52CD105B" w14:textId="77777777" w:rsidR="001C0CEA" w:rsidRDefault="00000000">
            <w:r>
              <w:rPr>
                <w:b/>
                <w:bCs/>
                <w:color w:val="FFFFFF"/>
                <w:sz w:val="19"/>
                <w:szCs w:val="19"/>
              </w:rPr>
              <w:t>Estado</w:t>
            </w:r>
          </w:p>
        </w:tc>
      </w:tr>
      <w:tr w:rsidR="001C0CEA" w14:paraId="5FE4CC88" w14:textId="77777777">
        <w:tc>
          <w:tcPr>
            <w:tcW w:w="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C7D68E8" w14:textId="77777777" w:rsidR="001C0CEA" w:rsidRDefault="00000000">
            <w:r>
              <w:rPr>
                <w:sz w:val="19"/>
                <w:szCs w:val="19"/>
              </w:rPr>
              <w:t>780</w:t>
            </w:r>
          </w:p>
        </w:tc>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22E5184" w14:textId="77777777" w:rsidR="001C0CEA" w:rsidRDefault="00000000">
            <w:r>
              <w:rPr>
                <w:sz w:val="19"/>
                <w:szCs w:val="19"/>
              </w:rPr>
              <w:t>Free cooling en el Green CPD</w:t>
            </w:r>
          </w:p>
        </w:tc>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5FA0880" w14:textId="77777777" w:rsidR="001C0CEA" w:rsidRDefault="00000000">
            <w:r>
              <w:rPr>
                <w:sz w:val="19"/>
                <w:szCs w:val="19"/>
              </w:rPr>
              <w:t>D</w:t>
            </w:r>
          </w:p>
        </w:tc>
        <w:tc>
          <w:tcPr>
            <w:tcW w:w="3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424DE48" w14:textId="77777777" w:rsidR="001C0CEA" w:rsidRDefault="00000000">
            <w:r>
              <w:rPr>
                <w:sz w:val="19"/>
                <w:szCs w:val="19"/>
              </w:rPr>
              <w:t>Usa las bajas temperaturas del aire exterior cuando son inferiores a las necesarias. A = contención de pasillos; B = refrigeración líquida; C = paneles solares (distractores)</w:t>
            </w:r>
          </w:p>
        </w:tc>
        <w:tc>
          <w:tcPr>
            <w:tcW w:w="12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5704A72" w14:textId="77777777" w:rsidR="001C0CEA" w:rsidRDefault="00000000">
            <w:r>
              <w:rPr>
                <w:sz w:val="19"/>
                <w:szCs w:val="19"/>
              </w:rPr>
              <w:t>Vigente</w:t>
            </w:r>
          </w:p>
        </w:tc>
      </w:tr>
      <w:tr w:rsidR="001C0CEA" w14:paraId="2BD9FDDD" w14:textId="77777777">
        <w:tc>
          <w:tcPr>
            <w:tcW w:w="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787646E" w14:textId="77777777" w:rsidR="001C0CEA" w:rsidRDefault="00000000">
            <w:r>
              <w:rPr>
                <w:sz w:val="19"/>
                <w:szCs w:val="19"/>
              </w:rPr>
              <w:t>974</w:t>
            </w:r>
          </w:p>
        </w:tc>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024C6CC" w14:textId="77777777" w:rsidR="001C0CEA" w:rsidRDefault="00000000">
            <w:r>
              <w:rPr>
                <w:sz w:val="19"/>
                <w:szCs w:val="19"/>
              </w:rPr>
              <w:t>Validez de la certificación TIA-942 de un CPD operativo</w:t>
            </w:r>
          </w:p>
        </w:tc>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DEB5D19" w14:textId="77777777" w:rsidR="001C0CEA" w:rsidRDefault="00000000">
            <w:r>
              <w:rPr>
                <w:sz w:val="19"/>
                <w:szCs w:val="19"/>
              </w:rPr>
              <w:t>C (3 años)</w:t>
            </w:r>
          </w:p>
        </w:tc>
        <w:tc>
          <w:tcPr>
            <w:tcW w:w="3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95F4B85" w14:textId="77777777" w:rsidR="001C0CEA" w:rsidRDefault="00000000">
            <w:r>
              <w:rPr>
                <w:sz w:val="19"/>
                <w:szCs w:val="19"/>
              </w:rPr>
              <w:t xml:space="preserve">Certificación de instalaciones: 3 años con auditorías de vigilancia anuales; recertificación al tercer año. El enunciado dice «rectificación», que debe entenderse como </w:t>
            </w:r>
            <w:r>
              <w:rPr>
                <w:b/>
                <w:bCs/>
                <w:sz w:val="19"/>
                <w:szCs w:val="19"/>
              </w:rPr>
              <w:t>recertificación</w:t>
            </w:r>
          </w:p>
        </w:tc>
        <w:tc>
          <w:tcPr>
            <w:tcW w:w="12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7E0F314" w14:textId="77777777" w:rsidR="001C0CEA" w:rsidRDefault="00000000">
            <w:r>
              <w:rPr>
                <w:sz w:val="19"/>
                <w:szCs w:val="19"/>
              </w:rPr>
              <w:t>Vigente (redacción mejorable)</w:t>
            </w:r>
          </w:p>
        </w:tc>
      </w:tr>
      <w:tr w:rsidR="001C0CEA" w14:paraId="167B5E22" w14:textId="77777777">
        <w:tc>
          <w:tcPr>
            <w:tcW w:w="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4ECD895" w14:textId="77777777" w:rsidR="001C0CEA" w:rsidRDefault="00000000">
            <w:r>
              <w:rPr>
                <w:sz w:val="19"/>
                <w:szCs w:val="19"/>
              </w:rPr>
              <w:t>1381</w:t>
            </w:r>
          </w:p>
        </w:tc>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D3DA90A" w14:textId="77777777" w:rsidR="001C0CEA" w:rsidRDefault="00000000">
            <w:r>
              <w:rPr>
                <w:sz w:val="19"/>
                <w:szCs w:val="19"/>
              </w:rPr>
              <w:t>¿Qué significa SAI o UPS?</w:t>
            </w:r>
          </w:p>
        </w:tc>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18AC776" w14:textId="77777777" w:rsidR="001C0CEA" w:rsidRDefault="00000000">
            <w:r>
              <w:rPr>
                <w:sz w:val="19"/>
                <w:szCs w:val="19"/>
              </w:rPr>
              <w:t>A</w:t>
            </w:r>
          </w:p>
        </w:tc>
        <w:tc>
          <w:tcPr>
            <w:tcW w:w="3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412EA2F" w14:textId="77777777" w:rsidR="001C0CEA" w:rsidRDefault="00000000">
            <w:r>
              <w:rPr>
                <w:sz w:val="19"/>
                <w:szCs w:val="19"/>
              </w:rPr>
              <w:t xml:space="preserve">Sistema de Alimentación Ininterrumpida / </w:t>
            </w:r>
            <w:r>
              <w:rPr>
                <w:i/>
                <w:iCs/>
                <w:sz w:val="19"/>
                <w:szCs w:val="19"/>
              </w:rPr>
              <w:t>Uninterruptible Power Supply</w:t>
            </w:r>
          </w:p>
        </w:tc>
        <w:tc>
          <w:tcPr>
            <w:tcW w:w="12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4AEF1B5" w14:textId="77777777" w:rsidR="001C0CEA" w:rsidRDefault="00000000">
            <w:r>
              <w:rPr>
                <w:sz w:val="19"/>
                <w:szCs w:val="19"/>
              </w:rPr>
              <w:t>Vigente</w:t>
            </w:r>
          </w:p>
        </w:tc>
      </w:tr>
      <w:tr w:rsidR="001C0CEA" w14:paraId="287159AF" w14:textId="77777777">
        <w:tc>
          <w:tcPr>
            <w:tcW w:w="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5D70CBB" w14:textId="77777777" w:rsidR="001C0CEA" w:rsidRDefault="00000000">
            <w:r>
              <w:rPr>
                <w:sz w:val="19"/>
                <w:szCs w:val="19"/>
              </w:rPr>
              <w:t>1424</w:t>
            </w:r>
          </w:p>
        </w:tc>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6101542" w14:textId="77777777" w:rsidR="001C0CEA" w:rsidRDefault="00000000">
            <w:r>
              <w:rPr>
                <w:sz w:val="19"/>
                <w:szCs w:val="19"/>
              </w:rPr>
              <w:t>Pasillo frío/pasillo caliente optimiza…</w:t>
            </w:r>
          </w:p>
        </w:tc>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20C6F13" w14:textId="77777777" w:rsidR="001C0CEA" w:rsidRDefault="00000000">
            <w:r>
              <w:rPr>
                <w:sz w:val="19"/>
                <w:szCs w:val="19"/>
              </w:rPr>
              <w:t>B</w:t>
            </w:r>
          </w:p>
        </w:tc>
        <w:tc>
          <w:tcPr>
            <w:tcW w:w="3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20E0D89" w14:textId="77777777" w:rsidR="001C0CEA" w:rsidRDefault="00000000">
            <w:r>
              <w:rPr>
                <w:sz w:val="19"/>
                <w:szCs w:val="19"/>
              </w:rPr>
              <w:t>La climatización del CPD</w:t>
            </w:r>
          </w:p>
        </w:tc>
        <w:tc>
          <w:tcPr>
            <w:tcW w:w="12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02A0E3F" w14:textId="77777777" w:rsidR="001C0CEA" w:rsidRDefault="00000000">
            <w:r>
              <w:rPr>
                <w:sz w:val="19"/>
                <w:szCs w:val="19"/>
              </w:rPr>
              <w:t>Vigente</w:t>
            </w:r>
          </w:p>
        </w:tc>
      </w:tr>
      <w:tr w:rsidR="001C0CEA" w14:paraId="0482EBC4" w14:textId="77777777">
        <w:tc>
          <w:tcPr>
            <w:tcW w:w="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F8A5D67" w14:textId="77777777" w:rsidR="001C0CEA" w:rsidRDefault="00000000">
            <w:r>
              <w:rPr>
                <w:sz w:val="19"/>
                <w:szCs w:val="19"/>
              </w:rPr>
              <w:t>6348</w:t>
            </w:r>
          </w:p>
        </w:tc>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A2DEF31" w14:textId="77777777" w:rsidR="001C0CEA" w:rsidRDefault="00000000">
            <w:r>
              <w:rPr>
                <w:sz w:val="19"/>
                <w:szCs w:val="19"/>
              </w:rPr>
              <w:t>Redundancia asociada a Tier IV</w:t>
            </w:r>
          </w:p>
        </w:tc>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F3DFC2C" w14:textId="77777777" w:rsidR="001C0CEA" w:rsidRDefault="00000000">
            <w:r>
              <w:rPr>
                <w:sz w:val="19"/>
                <w:szCs w:val="19"/>
              </w:rPr>
              <w:t>D (2N)</w:t>
            </w:r>
          </w:p>
        </w:tc>
        <w:tc>
          <w:tcPr>
            <w:tcW w:w="3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80007DD" w14:textId="77777777" w:rsidR="001C0CEA" w:rsidRDefault="00000000">
            <w:r>
              <w:rPr>
                <w:sz w:val="19"/>
                <w:szCs w:val="19"/>
              </w:rPr>
              <w:t>Tier IV = tolerante a fallos, sistemas duplicados independientes. 2N+1 es más exigente pero no es la asociación canónica</w:t>
            </w:r>
          </w:p>
        </w:tc>
        <w:tc>
          <w:tcPr>
            <w:tcW w:w="12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43A8811" w14:textId="77777777" w:rsidR="001C0CEA" w:rsidRDefault="00000000">
            <w:r>
              <w:rPr>
                <w:sz w:val="19"/>
                <w:szCs w:val="19"/>
              </w:rPr>
              <w:t>Vigente, con matiz</w:t>
            </w:r>
          </w:p>
        </w:tc>
      </w:tr>
      <w:tr w:rsidR="001C0CEA" w14:paraId="7B3E63F4" w14:textId="77777777">
        <w:tc>
          <w:tcPr>
            <w:tcW w:w="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D9B6DC9" w14:textId="77777777" w:rsidR="001C0CEA" w:rsidRDefault="00000000">
            <w:r>
              <w:rPr>
                <w:sz w:val="19"/>
                <w:szCs w:val="19"/>
              </w:rPr>
              <w:t>6619</w:t>
            </w:r>
          </w:p>
        </w:tc>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ECF789C" w14:textId="77777777" w:rsidR="001C0CEA" w:rsidRDefault="00000000">
            <w:r>
              <w:rPr>
                <w:sz w:val="19"/>
                <w:szCs w:val="19"/>
              </w:rPr>
              <w:t>Concepto TIER</w:t>
            </w:r>
          </w:p>
        </w:tc>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852C22D" w14:textId="77777777" w:rsidR="001C0CEA" w:rsidRDefault="00000000">
            <w:r>
              <w:rPr>
                <w:sz w:val="19"/>
                <w:szCs w:val="19"/>
              </w:rPr>
              <w:t>A</w:t>
            </w:r>
          </w:p>
        </w:tc>
        <w:tc>
          <w:tcPr>
            <w:tcW w:w="3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9F01974" w14:textId="77777777" w:rsidR="001C0CEA" w:rsidRDefault="00000000">
            <w:r>
              <w:rPr>
                <w:sz w:val="19"/>
                <w:szCs w:val="19"/>
              </w:rPr>
              <w:t>Fiabilidad asociada a 4 niveles. B es falsa (no puntúa de 0 a 99,999); C es falsa (no es un ratio de eficiencia térmica); D es falsa</w:t>
            </w:r>
          </w:p>
        </w:tc>
        <w:tc>
          <w:tcPr>
            <w:tcW w:w="12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B0D6090" w14:textId="77777777" w:rsidR="001C0CEA" w:rsidRDefault="00000000">
            <w:r>
              <w:rPr>
                <w:sz w:val="19"/>
                <w:szCs w:val="19"/>
              </w:rPr>
              <w:t>Vigente, con matiz terminológico (TIA usa hoy «Rated»)</w:t>
            </w:r>
          </w:p>
        </w:tc>
      </w:tr>
    </w:tbl>
    <w:p w14:paraId="238D7A5C" w14:textId="77777777" w:rsidR="001C0CEA" w:rsidRDefault="001C0CEA">
      <w:pPr>
        <w:spacing w:after="120"/>
      </w:pPr>
    </w:p>
    <w:p w14:paraId="059BD280" w14:textId="77777777" w:rsidR="001C0CEA" w:rsidRDefault="00000000">
      <w:pPr>
        <w:spacing w:after="120"/>
        <w:jc w:val="both"/>
      </w:pPr>
      <w:r>
        <w:rPr>
          <w:b/>
          <w:bCs/>
        </w:rPr>
        <w:t>Resultado de la auditoría de cobertura:</w:t>
      </w:r>
      <w:r>
        <w:t xml:space="preserve"> 6 de 6 preguntas (100 %) pueden resolverse con el contenido del documento.</w:t>
      </w:r>
    </w:p>
    <w:p w14:paraId="45E71905" w14:textId="77777777" w:rsidR="001C0CEA" w:rsidRDefault="00000000">
      <w:pPr>
        <w:pStyle w:val="Ttulo1"/>
        <w:pageBreakBefore/>
      </w:pPr>
      <w:bookmarkStart w:id="115" w:name="_Toc241337996"/>
      <w:r>
        <w:lastRenderedPageBreak/>
        <w:t>32. Conclusiones</w:t>
      </w:r>
      <w:bookmarkEnd w:id="115"/>
    </w:p>
    <w:p w14:paraId="4DB7A836" w14:textId="77777777" w:rsidR="001C0CEA" w:rsidRDefault="00000000">
      <w:pPr>
        <w:spacing w:after="120"/>
        <w:jc w:val="both"/>
      </w:pPr>
      <w:r>
        <w:t xml:space="preserve">Planificar un CPD es decidir, desde el análisis de necesidades y el BIA, </w:t>
      </w:r>
      <w:r>
        <w:rPr>
          <w:b/>
          <w:bCs/>
        </w:rPr>
        <w:t>qué nivel de disponibilidad se necesita y cuánto cuesta</w:t>
      </w:r>
      <w:r>
        <w:t xml:space="preserve">, y trasladarlo a una ubicación, un diseño y unas instalaciones (energía, clima, incendios, seguridad) coherentes con estándares reconocidos. Explotarlo es mantener los servicios en producción con procesos disciplinados: planificación y control de trabajos, gestión de cambios, incidencias, problemas, capacidad y configuración, con trazabilidad y seguridad conforme al ENS. En el SAS, estas funciones se concentran hoy en la </w:t>
      </w:r>
      <w:r>
        <w:rPr>
          <w:b/>
          <w:bCs/>
        </w:rPr>
        <w:t>Dirección General de Salud Digital e Infraestructuras Tecnológicas</w:t>
      </w:r>
      <w:r>
        <w:t xml:space="preserve">, con </w:t>
      </w:r>
      <w:r>
        <w:rPr>
          <w:b/>
          <w:bCs/>
        </w:rPr>
        <w:t>CPD corporativos en Sevilla y Málaga</w:t>
      </w:r>
      <w:r>
        <w:t xml:space="preserve">, un centro de servicios (CGES/ayudaDIGITAL) y una relación de coordinación con la </w:t>
      </w:r>
      <w:r>
        <w:rPr>
          <w:b/>
          <w:bCs/>
        </w:rPr>
        <w:t>Agencia Digital de Andalucía</w:t>
      </w:r>
      <w:r>
        <w:t>, que gestiona las TIC del resto de la Junta. Para el examen, la clave es dominar las definiciones y equivalencias (SAI, Tier/2N, pasillos, free cooling, RPO/RTO, backup), no confundir norma con certificación ni estructuras históricas con la vigente.</w:t>
      </w:r>
    </w:p>
    <w:p w14:paraId="19BCFFD4" w14:textId="77777777" w:rsidR="001C0CEA" w:rsidRDefault="00000000">
      <w:pPr>
        <w:pStyle w:val="Ttulo1"/>
        <w:pageBreakBefore/>
      </w:pPr>
      <w:bookmarkStart w:id="116" w:name="_Toc241337997"/>
      <w:r>
        <w:lastRenderedPageBreak/>
        <w:t>33. Fuentes y referencias</w:t>
      </w:r>
      <w:bookmarkEnd w:id="116"/>
    </w:p>
    <w:p w14:paraId="02AF2430" w14:textId="77777777" w:rsidR="001C0CEA" w:rsidRDefault="00000000">
      <w:pPr>
        <w:spacing w:after="120"/>
        <w:jc w:val="both"/>
      </w:pPr>
      <w:r>
        <w:t>Fuentes consultadas y verificadas en septiembre de 2026. Se indican solo enlaces comprobados durante la elaboración.</w:t>
      </w:r>
    </w:p>
    <w:p w14:paraId="140BF372" w14:textId="77777777" w:rsidR="001C0CEA" w:rsidRDefault="00000000">
      <w:pPr>
        <w:pStyle w:val="Ttulo2"/>
      </w:pPr>
      <w:bookmarkStart w:id="117" w:name="_Toc241337998"/>
      <w:r>
        <w:t>33.1. Normativa y fuentes oficiales (BOJA, Junta de Andalucía, SAS)</w:t>
      </w:r>
      <w:bookmarkEnd w:id="11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7"/>
        <w:gridCol w:w="1283"/>
        <w:gridCol w:w="1423"/>
        <w:gridCol w:w="20981"/>
      </w:tblGrid>
      <w:tr w:rsidR="001C0CEA" w14:paraId="1FA457B8" w14:textId="77777777">
        <w:trPr>
          <w:tblHeader/>
        </w:trPr>
        <w:tc>
          <w:tcPr>
            <w:tcW w:w="33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29872420" w14:textId="77777777" w:rsidR="001C0CEA" w:rsidRDefault="00000000">
            <w:r>
              <w:rPr>
                <w:b/>
                <w:bCs/>
                <w:color w:val="FFFFFF"/>
                <w:sz w:val="19"/>
                <w:szCs w:val="19"/>
              </w:rPr>
              <w:t>Título</w:t>
            </w:r>
          </w:p>
        </w:tc>
        <w:tc>
          <w:tcPr>
            <w:tcW w:w="17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4081A396" w14:textId="77777777" w:rsidR="001C0CEA" w:rsidRDefault="00000000">
            <w:r>
              <w:rPr>
                <w:b/>
                <w:bCs/>
                <w:color w:val="FFFFFF"/>
                <w:sz w:val="19"/>
                <w:szCs w:val="19"/>
              </w:rPr>
              <w:t>Organismo</w:t>
            </w:r>
          </w:p>
        </w:tc>
        <w:tc>
          <w:tcPr>
            <w:tcW w:w="15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486D81AA" w14:textId="77777777" w:rsidR="001C0CEA" w:rsidRDefault="00000000">
            <w:r>
              <w:rPr>
                <w:b/>
                <w:bCs/>
                <w:color w:val="FFFFFF"/>
                <w:sz w:val="19"/>
                <w:szCs w:val="19"/>
              </w:rPr>
              <w:t>Fecha / estado</w:t>
            </w:r>
          </w:p>
        </w:tc>
        <w:tc>
          <w:tcPr>
            <w:tcW w:w="2526"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2C143E3C" w14:textId="77777777" w:rsidR="001C0CEA" w:rsidRDefault="00000000">
            <w:r>
              <w:rPr>
                <w:b/>
                <w:bCs/>
                <w:color w:val="FFFFFF"/>
                <w:sz w:val="19"/>
                <w:szCs w:val="19"/>
              </w:rPr>
              <w:t>Enlace</w:t>
            </w:r>
          </w:p>
        </w:tc>
      </w:tr>
      <w:tr w:rsidR="001C0CEA" w14:paraId="6A128714" w14:textId="77777777">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EC5F21A" w14:textId="77777777" w:rsidR="001C0CEA" w:rsidRDefault="00000000">
            <w:r>
              <w:rPr>
                <w:sz w:val="19"/>
                <w:szCs w:val="19"/>
              </w:rPr>
              <w:t>Decreto 189/2026, de 30 de julio, estructura orgánica de la Consejería de Presidencia, Sanidad y Emergencias</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AE5BB7F" w14:textId="77777777" w:rsidR="001C0CEA" w:rsidRDefault="00000000">
            <w:r>
              <w:rPr>
                <w:sz w:val="19"/>
                <w:szCs w:val="19"/>
              </w:rPr>
              <w:t>Junta de Andalucía (BOJA extr. 15)</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A56A7EB" w14:textId="77777777" w:rsidR="001C0CEA" w:rsidRDefault="00000000">
            <w:r>
              <w:rPr>
                <w:sz w:val="19"/>
                <w:szCs w:val="19"/>
              </w:rPr>
              <w:t>31/07/2026 – vigente</w:t>
            </w:r>
          </w:p>
        </w:tc>
        <w:tc>
          <w:tcPr>
            <w:tcW w:w="25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9749F5D" w14:textId="77777777" w:rsidR="001C0CEA" w:rsidRDefault="00000000">
            <w:r>
              <w:rPr>
                <w:sz w:val="19"/>
                <w:szCs w:val="19"/>
              </w:rPr>
              <w:t>https://www.juntadeandalucia.es/boja/2026/515/1</w:t>
            </w:r>
          </w:p>
        </w:tc>
      </w:tr>
      <w:tr w:rsidR="001C0CEA" w14:paraId="77040DCB" w14:textId="77777777">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3D4F15D" w14:textId="77777777" w:rsidR="001C0CEA" w:rsidRDefault="00000000">
            <w:r>
              <w:rPr>
                <w:sz w:val="19"/>
                <w:szCs w:val="19"/>
              </w:rPr>
              <w:t>Decreto 168/2025, de 5 de noviembre, estructura orgánica de la Consejería de Sanidad, Presidencia y Emergencias</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B3C7A96" w14:textId="77777777" w:rsidR="001C0CEA" w:rsidRDefault="00000000">
            <w:r>
              <w:rPr>
                <w:sz w:val="19"/>
                <w:szCs w:val="19"/>
              </w:rPr>
              <w:t>Junta de Andalucía (BOJA extr. 13)</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A37CBB8" w14:textId="77777777" w:rsidR="001C0CEA" w:rsidRDefault="00000000">
            <w:r>
              <w:rPr>
                <w:sz w:val="19"/>
                <w:szCs w:val="19"/>
              </w:rPr>
              <w:t>05/11/2025 – derogado por el anterior</w:t>
            </w:r>
          </w:p>
        </w:tc>
        <w:tc>
          <w:tcPr>
            <w:tcW w:w="25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98F3C2B" w14:textId="77777777" w:rsidR="001C0CEA" w:rsidRDefault="00000000">
            <w:r>
              <w:rPr>
                <w:sz w:val="19"/>
                <w:szCs w:val="19"/>
              </w:rPr>
              <w:t>https://www.juntadeandalucia.es/boja/2025/513/1</w:t>
            </w:r>
          </w:p>
        </w:tc>
      </w:tr>
      <w:tr w:rsidR="001C0CEA" w14:paraId="6B9F5868" w14:textId="77777777">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1920C38" w14:textId="77777777" w:rsidR="001C0CEA" w:rsidRDefault="00000000">
            <w:r>
              <w:rPr>
                <w:sz w:val="19"/>
                <w:szCs w:val="19"/>
              </w:rPr>
              <w:t>Decreto 198/2024, de 3 de septiembre, estructura orgánica de la Consejería de Salud y Consumo</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AEBBAB5" w14:textId="77777777" w:rsidR="001C0CEA" w:rsidRDefault="00000000">
            <w:r>
              <w:rPr>
                <w:sz w:val="19"/>
                <w:szCs w:val="19"/>
              </w:rPr>
              <w:t>Junta de Andalucía</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06656B2" w14:textId="77777777" w:rsidR="001C0CEA" w:rsidRDefault="00000000">
            <w:r>
              <w:rPr>
                <w:sz w:val="19"/>
                <w:szCs w:val="19"/>
              </w:rPr>
              <w:t>2024 – derogado</w:t>
            </w:r>
          </w:p>
        </w:tc>
        <w:tc>
          <w:tcPr>
            <w:tcW w:w="25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118B332" w14:textId="77777777" w:rsidR="001C0CEA" w:rsidRDefault="00000000">
            <w:r>
              <w:rPr>
                <w:sz w:val="19"/>
                <w:szCs w:val="19"/>
              </w:rPr>
              <w:t>https://www.juntadeandalucia.es/boja/2024/516/1</w:t>
            </w:r>
          </w:p>
        </w:tc>
      </w:tr>
      <w:tr w:rsidR="001C0CEA" w14:paraId="00D10551" w14:textId="77777777">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B0F866A" w14:textId="77777777" w:rsidR="001C0CEA" w:rsidRDefault="00000000">
            <w:r>
              <w:rPr>
                <w:sz w:val="19"/>
                <w:szCs w:val="19"/>
              </w:rPr>
              <w:t>Decreto 156/2022, de 9 de agosto, estructura orgánica de la Consejería de Salud y Consumo</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DA47B6D" w14:textId="77777777" w:rsidR="001C0CEA" w:rsidRDefault="00000000">
            <w:r>
              <w:rPr>
                <w:sz w:val="19"/>
                <w:szCs w:val="19"/>
              </w:rPr>
              <w:t>Junta de Andalucía</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A200C85" w14:textId="77777777" w:rsidR="001C0CEA" w:rsidRDefault="00000000">
            <w:r>
              <w:rPr>
                <w:sz w:val="19"/>
                <w:szCs w:val="19"/>
              </w:rPr>
              <w:t>2022 – derogado</w:t>
            </w:r>
          </w:p>
        </w:tc>
        <w:tc>
          <w:tcPr>
            <w:tcW w:w="25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A8D10FA" w14:textId="77777777" w:rsidR="001C0CEA" w:rsidRDefault="00000000">
            <w:r>
              <w:rPr>
                <w:sz w:val="19"/>
                <w:szCs w:val="19"/>
              </w:rPr>
              <w:t>https://www.juntadeandalucia.es/boja/2022/528/5</w:t>
            </w:r>
          </w:p>
        </w:tc>
      </w:tr>
      <w:tr w:rsidR="001C0CEA" w14:paraId="6B5F9BC5" w14:textId="77777777">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DC59445" w14:textId="77777777" w:rsidR="001C0CEA" w:rsidRDefault="00000000">
            <w:r>
              <w:rPr>
                <w:sz w:val="19"/>
                <w:szCs w:val="19"/>
              </w:rPr>
              <w:t>Dirección General de Salud Digital e Infraestructuras Tecnológicas (ficha, funciones, unidades)</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FD5FC79" w14:textId="77777777" w:rsidR="001C0CEA" w:rsidRDefault="00000000">
            <w:r>
              <w:rPr>
                <w:sz w:val="19"/>
                <w:szCs w:val="19"/>
              </w:rPr>
              <w:t>Junta de Andalucía – SAS</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F43986E" w14:textId="77777777" w:rsidR="001C0CEA" w:rsidRDefault="00000000">
            <w:r>
              <w:rPr>
                <w:sz w:val="19"/>
                <w:szCs w:val="19"/>
              </w:rPr>
              <w:t>Consultado 09/2026</w:t>
            </w:r>
          </w:p>
        </w:tc>
        <w:tc>
          <w:tcPr>
            <w:tcW w:w="25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F3B9212" w14:textId="77777777" w:rsidR="001C0CEA" w:rsidRDefault="00000000">
            <w:r>
              <w:rPr>
                <w:sz w:val="19"/>
                <w:szCs w:val="19"/>
              </w:rPr>
              <w:t>https://www.juntadeandalucia.es/organismos/sas/estructura/dgsdit.html</w:t>
            </w:r>
          </w:p>
        </w:tc>
      </w:tr>
      <w:tr w:rsidR="001C0CEA" w14:paraId="3192DA7A" w14:textId="77777777">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DE7CF99" w14:textId="77777777" w:rsidR="001C0CEA" w:rsidRDefault="00000000">
            <w:r>
              <w:rPr>
                <w:sz w:val="19"/>
                <w:szCs w:val="19"/>
              </w:rPr>
              <w:t>El Servicio Andaluz de Salud (naturaleza y atribuciones)</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1140450" w14:textId="77777777" w:rsidR="001C0CEA" w:rsidRDefault="00000000">
            <w:r>
              <w:rPr>
                <w:sz w:val="19"/>
                <w:szCs w:val="19"/>
              </w:rPr>
              <w:t>SAS</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7F641D7" w14:textId="77777777" w:rsidR="001C0CEA" w:rsidRDefault="00000000">
            <w:r>
              <w:rPr>
                <w:sz w:val="19"/>
                <w:szCs w:val="19"/>
              </w:rPr>
              <w:t>Consultado 09/2026</w:t>
            </w:r>
          </w:p>
        </w:tc>
        <w:tc>
          <w:tcPr>
            <w:tcW w:w="25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D48813E" w14:textId="77777777" w:rsidR="001C0CEA" w:rsidRDefault="00000000">
            <w:r>
              <w:rPr>
                <w:sz w:val="19"/>
                <w:szCs w:val="19"/>
              </w:rPr>
              <w:t>https://www.sspa.juntadeandalucia.es/servicioandaluzdesalud/el-sas/el-servicio-andaluz-de-salud</w:t>
            </w:r>
          </w:p>
        </w:tc>
      </w:tr>
      <w:tr w:rsidR="001C0CEA" w14:paraId="7A58DFA8" w14:textId="77777777">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9D44193" w14:textId="77777777" w:rsidR="001C0CEA" w:rsidRDefault="00000000">
            <w:r>
              <w:rPr>
                <w:sz w:val="19"/>
                <w:szCs w:val="19"/>
              </w:rPr>
              <w:lastRenderedPageBreak/>
              <w:t>Contratación de los servicios de soporte para la gestión de los CPD centrales del SAS (anexos)</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EE49AA4" w14:textId="77777777" w:rsidR="001C0CEA" w:rsidRDefault="00000000">
            <w:r>
              <w:rPr>
                <w:sz w:val="19"/>
                <w:szCs w:val="19"/>
              </w:rPr>
              <w:t>SAS – Licitaciones TIC</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30D512E" w14:textId="77777777" w:rsidR="001C0CEA" w:rsidRDefault="00000000">
            <w:r>
              <w:rPr>
                <w:sz w:val="19"/>
                <w:szCs w:val="19"/>
              </w:rPr>
              <w:t>Documentación de 2022–2024</w:t>
            </w:r>
          </w:p>
        </w:tc>
        <w:tc>
          <w:tcPr>
            <w:tcW w:w="25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0F0361D" w14:textId="77777777" w:rsidR="001C0CEA" w:rsidRDefault="00000000">
            <w:r>
              <w:rPr>
                <w:sz w:val="19"/>
                <w:szCs w:val="19"/>
              </w:rPr>
              <w:t>https://confluence.sspa.juntadeandalucia.es//pages/viewpage.action?pageId=127307123</w:t>
            </w:r>
          </w:p>
        </w:tc>
      </w:tr>
      <w:tr w:rsidR="001C0CEA" w14:paraId="13F14F47" w14:textId="77777777">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E892A2A" w14:textId="77777777" w:rsidR="001C0CEA" w:rsidRDefault="00000000">
            <w:r>
              <w:rPr>
                <w:sz w:val="19"/>
                <w:szCs w:val="19"/>
              </w:rPr>
              <w:t>La Junta autoriza la prórroga del soporte de los centros de procesos de datos del SAS</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F236A18" w14:textId="77777777" w:rsidR="001C0CEA" w:rsidRDefault="00000000">
            <w:r>
              <w:rPr>
                <w:sz w:val="19"/>
                <w:szCs w:val="19"/>
              </w:rPr>
              <w:t>Portavoz del Gobierno andaluz</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CA9F694" w14:textId="77777777" w:rsidR="001C0CEA" w:rsidRDefault="00000000">
            <w:r>
              <w:rPr>
                <w:sz w:val="19"/>
                <w:szCs w:val="19"/>
              </w:rPr>
              <w:t>Julio 2026</w:t>
            </w:r>
          </w:p>
        </w:tc>
        <w:tc>
          <w:tcPr>
            <w:tcW w:w="25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F658022" w14:textId="77777777" w:rsidR="001C0CEA" w:rsidRDefault="00000000">
            <w:r>
              <w:rPr>
                <w:sz w:val="19"/>
                <w:szCs w:val="19"/>
              </w:rPr>
              <w:t>https://www.juntadeandalucia.es/presidencia/portavoz/salud/217638/JuntadeAndalucia/ConsejodeGobierno</w:t>
            </w:r>
          </w:p>
        </w:tc>
      </w:tr>
      <w:tr w:rsidR="001C0CEA" w14:paraId="67E6DDF7" w14:textId="77777777">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B7B0FBD" w14:textId="77777777" w:rsidR="001C0CEA" w:rsidRDefault="00000000">
            <w:r>
              <w:rPr>
                <w:sz w:val="19"/>
                <w:szCs w:val="19"/>
              </w:rPr>
              <w:t>Luz verde a la nueva estructura de la Consejería de Sanidad, Presidencia y Emergencias</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B17A14D" w14:textId="77777777" w:rsidR="001C0CEA" w:rsidRDefault="00000000">
            <w:r>
              <w:rPr>
                <w:sz w:val="19"/>
                <w:szCs w:val="19"/>
              </w:rPr>
              <w:t>Consejo de Gobierno</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493C011" w14:textId="77777777" w:rsidR="001C0CEA" w:rsidRDefault="00000000">
            <w:r>
              <w:rPr>
                <w:sz w:val="19"/>
                <w:szCs w:val="19"/>
              </w:rPr>
              <w:t>05/11/2025</w:t>
            </w:r>
          </w:p>
        </w:tc>
        <w:tc>
          <w:tcPr>
            <w:tcW w:w="25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33C35BF" w14:textId="77777777" w:rsidR="001C0CEA" w:rsidRDefault="00000000">
            <w:r>
              <w:rPr>
                <w:sz w:val="19"/>
                <w:szCs w:val="19"/>
              </w:rPr>
              <w:t>https://www.juntadeandalucia.es/organismos/consejo/sesion/detalle/623920.html</w:t>
            </w:r>
          </w:p>
        </w:tc>
      </w:tr>
      <w:tr w:rsidR="001C0CEA" w14:paraId="32AF9F13" w14:textId="77777777">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EDE370E" w14:textId="77777777" w:rsidR="001C0CEA" w:rsidRDefault="00000000">
            <w:r>
              <w:rPr>
                <w:sz w:val="19"/>
                <w:szCs w:val="19"/>
              </w:rPr>
              <w:t>Portal ayudaDIGITAL: CGES, STIC, Diraya (noticias)</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DF2E442" w14:textId="77777777" w:rsidR="001C0CEA" w:rsidRDefault="00000000">
            <w:r>
              <w:rPr>
                <w:sz w:val="19"/>
                <w:szCs w:val="19"/>
              </w:rPr>
              <w:t>SAS</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A2B9F73" w14:textId="77777777" w:rsidR="001C0CEA" w:rsidRDefault="00000000">
            <w:r>
              <w:rPr>
                <w:sz w:val="19"/>
                <w:szCs w:val="19"/>
              </w:rPr>
              <w:t>Consultado 09/2026</w:t>
            </w:r>
          </w:p>
        </w:tc>
        <w:tc>
          <w:tcPr>
            <w:tcW w:w="25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690F90F" w14:textId="77777777" w:rsidR="001C0CEA" w:rsidRDefault="00000000">
            <w:r>
              <w:rPr>
                <w:sz w:val="19"/>
                <w:szCs w:val="19"/>
              </w:rPr>
              <w:t>https://www.sspa.juntadeandalucia.es/servicioandaluzdesalud/ayudadigital/etiquetas/stic</w:t>
            </w:r>
          </w:p>
        </w:tc>
      </w:tr>
      <w:tr w:rsidR="001C0CEA" w14:paraId="16C869ED" w14:textId="77777777">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67661AA" w14:textId="77777777" w:rsidR="001C0CEA" w:rsidRDefault="00000000">
            <w:r>
              <w:rPr>
                <w:sz w:val="19"/>
                <w:szCs w:val="19"/>
              </w:rPr>
              <w:t>Humanización y sostenibilidad del soporte TIC al profesional del SAS</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68D6E5B" w14:textId="77777777" w:rsidR="001C0CEA" w:rsidRDefault="00000000">
            <w:r>
              <w:rPr>
                <w:sz w:val="19"/>
                <w:szCs w:val="19"/>
              </w:rPr>
              <w:t>SAS – ayudaDIGITAL</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ACF6A5C" w14:textId="77777777" w:rsidR="001C0CEA" w:rsidRDefault="00000000">
            <w:r>
              <w:rPr>
                <w:sz w:val="19"/>
                <w:szCs w:val="19"/>
              </w:rPr>
              <w:t>2025</w:t>
            </w:r>
          </w:p>
        </w:tc>
        <w:tc>
          <w:tcPr>
            <w:tcW w:w="25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23001F8" w14:textId="77777777" w:rsidR="001C0CEA" w:rsidRDefault="00000000">
            <w:r>
              <w:rPr>
                <w:sz w:val="19"/>
                <w:szCs w:val="19"/>
              </w:rPr>
              <w:t>https://www.sspa.juntadeandalucia.es/servicioandaluzdesalud/ayudadigital/novedades/noticia/humanizacion-y-sostenibilidad-del-soporte-tic-al-profesional-del-sas</w:t>
            </w:r>
          </w:p>
        </w:tc>
      </w:tr>
      <w:tr w:rsidR="001C0CEA" w14:paraId="1D6E931E" w14:textId="77777777">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19472FB" w14:textId="77777777" w:rsidR="001C0CEA" w:rsidRDefault="00000000">
            <w:r>
              <w:rPr>
                <w:sz w:val="19"/>
                <w:szCs w:val="19"/>
              </w:rPr>
              <w:t>Presupuesto 2026 – Memoria Agencia Digital de Andalucía</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70BBE68" w14:textId="77777777" w:rsidR="001C0CEA" w:rsidRDefault="00000000">
            <w:r>
              <w:rPr>
                <w:sz w:val="19"/>
                <w:szCs w:val="19"/>
              </w:rPr>
              <w:t>Junta de Andalucía</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8947099" w14:textId="77777777" w:rsidR="001C0CEA" w:rsidRDefault="00000000">
            <w:r>
              <w:rPr>
                <w:sz w:val="19"/>
                <w:szCs w:val="19"/>
              </w:rPr>
              <w:t>2026</w:t>
            </w:r>
          </w:p>
        </w:tc>
        <w:tc>
          <w:tcPr>
            <w:tcW w:w="25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1B08F18" w14:textId="77777777" w:rsidR="001C0CEA" w:rsidRDefault="00000000">
            <w:r>
              <w:rPr>
                <w:sz w:val="19"/>
                <w:szCs w:val="19"/>
              </w:rPr>
              <w:t>https://www.juntadeandalucia.es/export/presup2026/memoria/memoria2-b-1.pdf</w:t>
            </w:r>
          </w:p>
        </w:tc>
      </w:tr>
      <w:tr w:rsidR="001C0CEA" w14:paraId="7ED6BCDF" w14:textId="77777777">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60EA211" w14:textId="77777777" w:rsidR="001C0CEA" w:rsidRDefault="00000000">
            <w:r>
              <w:rPr>
                <w:sz w:val="19"/>
                <w:szCs w:val="19"/>
              </w:rPr>
              <w:t>Consejería de Inteligencia Artificial, Desarrollo Digital y Administración Pública (competencias)</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A6C3A8B" w14:textId="77777777" w:rsidR="001C0CEA" w:rsidRDefault="00000000">
            <w:r>
              <w:rPr>
                <w:sz w:val="19"/>
                <w:szCs w:val="19"/>
              </w:rPr>
              <w:t>Junta de Andalucía</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50ED491" w14:textId="77777777" w:rsidR="001C0CEA" w:rsidRDefault="00000000">
            <w:r>
              <w:rPr>
                <w:sz w:val="19"/>
                <w:szCs w:val="19"/>
              </w:rPr>
              <w:t>2026</w:t>
            </w:r>
          </w:p>
        </w:tc>
        <w:tc>
          <w:tcPr>
            <w:tcW w:w="25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4FD91FF" w14:textId="77777777" w:rsidR="001C0CEA" w:rsidRDefault="00000000">
            <w:r>
              <w:rPr>
                <w:sz w:val="19"/>
                <w:szCs w:val="19"/>
              </w:rPr>
              <w:t>https://juntadeandalucia.es/organismos/inteligenciaartificialdesarrollodigitalyadministracionpublica.html</w:t>
            </w:r>
          </w:p>
        </w:tc>
      </w:tr>
      <w:tr w:rsidR="001C0CEA" w14:paraId="03A1801C" w14:textId="77777777">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F18C408" w14:textId="77777777" w:rsidR="001C0CEA" w:rsidRDefault="00000000">
            <w:r>
              <w:rPr>
                <w:sz w:val="19"/>
                <w:szCs w:val="19"/>
              </w:rPr>
              <w:t>Arrancan las obras del nuevo CPD de la Junta</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42514B0" w14:textId="77777777" w:rsidR="001C0CEA" w:rsidRDefault="00000000">
            <w:r>
              <w:rPr>
                <w:sz w:val="19"/>
                <w:szCs w:val="19"/>
              </w:rPr>
              <w:t>Consejería de Industria, Energía y Minas</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D977D1A" w14:textId="77777777" w:rsidR="001C0CEA" w:rsidRDefault="00000000">
            <w:r>
              <w:rPr>
                <w:sz w:val="19"/>
                <w:szCs w:val="19"/>
              </w:rPr>
              <w:t>Diciembre 2025</w:t>
            </w:r>
          </w:p>
        </w:tc>
        <w:tc>
          <w:tcPr>
            <w:tcW w:w="25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7A72E22" w14:textId="77777777" w:rsidR="001C0CEA" w:rsidRDefault="00000000">
            <w:r>
              <w:rPr>
                <w:sz w:val="19"/>
                <w:szCs w:val="19"/>
              </w:rPr>
              <w:t>https://www.juntadeandalucia.es/organismos/industriaenergiayminas/servicios/actualidad/noticias/detalle/630427.html</w:t>
            </w:r>
          </w:p>
        </w:tc>
      </w:tr>
      <w:tr w:rsidR="001C0CEA" w14:paraId="6620D36C" w14:textId="77777777">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5BC56A9" w14:textId="77777777" w:rsidR="001C0CEA" w:rsidRDefault="00000000">
            <w:r>
              <w:rPr>
                <w:sz w:val="19"/>
                <w:szCs w:val="19"/>
              </w:rPr>
              <w:t xml:space="preserve">La Junta recibe diez ofertas para construir el CPD en el </w:t>
            </w:r>
            <w:r>
              <w:rPr>
                <w:sz w:val="19"/>
                <w:szCs w:val="19"/>
              </w:rPr>
              <w:lastRenderedPageBreak/>
              <w:t>antiguo Palenque</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5557CD8" w14:textId="77777777" w:rsidR="001C0CEA" w:rsidRDefault="00000000">
            <w:r>
              <w:rPr>
                <w:sz w:val="19"/>
                <w:szCs w:val="19"/>
              </w:rPr>
              <w:lastRenderedPageBreak/>
              <w:t>Portavoz del Gobierno andaluz</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BA33014" w14:textId="77777777" w:rsidR="001C0CEA" w:rsidRDefault="00000000">
            <w:r>
              <w:rPr>
                <w:sz w:val="19"/>
                <w:szCs w:val="19"/>
              </w:rPr>
              <w:t>2024</w:t>
            </w:r>
          </w:p>
        </w:tc>
        <w:tc>
          <w:tcPr>
            <w:tcW w:w="25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E783F49" w14:textId="77777777" w:rsidR="001C0CEA" w:rsidRDefault="00000000">
            <w:r>
              <w:rPr>
                <w:sz w:val="19"/>
                <w:szCs w:val="19"/>
              </w:rPr>
              <w:t>https://www.juntadeandalucia.es/presidencia/portavoz/gobiernoaldia/197563/CentrodeProcesodeDatos/Ofertas/construccion/Sevilla/EstrategiaClouddeAndalucia2030/LeyAndaluciaDigital/ConsejeriadelaPresidencia/Interior/DialogoSocialySimplificacionAdministrativa</w:t>
            </w:r>
          </w:p>
        </w:tc>
      </w:tr>
      <w:tr w:rsidR="001C0CEA" w14:paraId="4B019F04" w14:textId="77777777">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45BB279" w14:textId="77777777" w:rsidR="001C0CEA" w:rsidRDefault="00000000">
            <w:r>
              <w:rPr>
                <w:sz w:val="19"/>
                <w:szCs w:val="19"/>
              </w:rPr>
              <w:t>Nuevo modelo organizativo (TIC) – AGS Jerez, Costa Noroeste y Sierra de Cádiz</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CDA9670" w14:textId="77777777" w:rsidR="001C0CEA" w:rsidRDefault="00000000">
            <w:r>
              <w:rPr>
                <w:sz w:val="19"/>
                <w:szCs w:val="19"/>
              </w:rPr>
              <w:t>SAS (área sanitaria)</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8CA0F4C" w14:textId="77777777" w:rsidR="001C0CEA" w:rsidRDefault="00000000">
            <w:r>
              <w:rPr>
                <w:sz w:val="19"/>
                <w:szCs w:val="19"/>
              </w:rPr>
              <w:t>2021 – histórico</w:t>
            </w:r>
          </w:p>
        </w:tc>
        <w:tc>
          <w:tcPr>
            <w:tcW w:w="25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AB98A76" w14:textId="77777777" w:rsidR="001C0CEA" w:rsidRDefault="00000000">
            <w:r>
              <w:rPr>
                <w:sz w:val="19"/>
                <w:szCs w:val="19"/>
              </w:rPr>
              <w:t>https://agsjerez.es/entrada-blog/nuevo-modelo-organizativo/</w:t>
            </w:r>
          </w:p>
        </w:tc>
      </w:tr>
    </w:tbl>
    <w:p w14:paraId="183E479A" w14:textId="77777777" w:rsidR="001C0CEA" w:rsidRDefault="001C0CEA">
      <w:pPr>
        <w:spacing w:after="120"/>
      </w:pPr>
    </w:p>
    <w:p w14:paraId="284DAF0C" w14:textId="77777777" w:rsidR="001C0CEA" w:rsidRDefault="00000000">
      <w:pPr>
        <w:pStyle w:val="Ttulo2"/>
      </w:pPr>
      <w:bookmarkStart w:id="118" w:name="_Toc241337999"/>
      <w:r>
        <w:t>33.2. Normativa estatal y europea</w:t>
      </w:r>
      <w:bookmarkEnd w:id="118"/>
    </w:p>
    <w:p w14:paraId="47411981" w14:textId="77777777" w:rsidR="001C0CEA" w:rsidRDefault="00000000">
      <w:pPr>
        <w:pStyle w:val="Prrafodelista"/>
        <w:numPr>
          <w:ilvl w:val="0"/>
          <w:numId w:val="2"/>
        </w:numPr>
        <w:spacing w:after="60"/>
      </w:pPr>
      <w:r>
        <w:t>Real Decreto 311/2022, de 3 de mayo, Esquema Nacional de Seguridad (BOE). Vigente.</w:t>
      </w:r>
    </w:p>
    <w:p w14:paraId="277C41E8" w14:textId="77777777" w:rsidR="001C0CEA" w:rsidRDefault="00000000">
      <w:pPr>
        <w:pStyle w:val="Prrafodelista"/>
        <w:numPr>
          <w:ilvl w:val="0"/>
          <w:numId w:val="2"/>
        </w:numPr>
        <w:spacing w:after="60"/>
      </w:pPr>
      <w:r>
        <w:t>Reglamento (UE) 2016/679 (RGPD) y Ley Orgánica 3/2018 (LOPDGDD). Vigentes.</w:t>
      </w:r>
    </w:p>
    <w:p w14:paraId="64F9252A" w14:textId="77777777" w:rsidR="001C0CEA" w:rsidRDefault="00000000">
      <w:pPr>
        <w:pStyle w:val="Prrafodelista"/>
        <w:numPr>
          <w:ilvl w:val="0"/>
          <w:numId w:val="2"/>
        </w:numPr>
        <w:spacing w:after="60"/>
      </w:pPr>
      <w:r>
        <w:t>Directiva (UE) 2022/2555 (NIS2); en España, anteproyecto de Ley de Coordinación y Gobernanza de la Ciberseguridad (aprobado en Consejo de Ministros en enero de 2025, en tramitación).</w:t>
      </w:r>
    </w:p>
    <w:p w14:paraId="4513ABD3" w14:textId="77777777" w:rsidR="001C0CEA" w:rsidRDefault="00000000">
      <w:pPr>
        <w:pStyle w:val="Prrafodelista"/>
        <w:numPr>
          <w:ilvl w:val="0"/>
          <w:numId w:val="2"/>
        </w:numPr>
        <w:spacing w:after="60"/>
      </w:pPr>
      <w:r>
        <w:t>Directiva (UE) 2023/1791, de eficiencia energética (art. 12, centros de datos) y Reglamento Delegado (UE) 2024/1364.</w:t>
      </w:r>
    </w:p>
    <w:p w14:paraId="1EB3A940" w14:textId="77777777" w:rsidR="001C0CEA" w:rsidRDefault="00000000">
      <w:pPr>
        <w:pStyle w:val="Prrafodelista"/>
        <w:numPr>
          <w:ilvl w:val="0"/>
          <w:numId w:val="2"/>
        </w:numPr>
        <w:spacing w:after="60"/>
      </w:pPr>
      <w:r>
        <w:t>Real Decreto 842/2002 (REBT); Real Decreto 513/2017 (RIPCI); Código Técnico de la Edificación DB-SI; Real Decreto 393/2007 (Norma Básica de Autoprotección).</w:t>
      </w:r>
    </w:p>
    <w:p w14:paraId="6D70CFCB" w14:textId="77777777" w:rsidR="001C0CEA" w:rsidRDefault="00000000">
      <w:pPr>
        <w:pStyle w:val="Prrafodelista"/>
        <w:numPr>
          <w:ilvl w:val="0"/>
          <w:numId w:val="2"/>
        </w:numPr>
        <w:spacing w:after="60"/>
      </w:pPr>
      <w:r>
        <w:t>Decreto 1/2011, de 11 de enero, política de seguridad TIC de la Junta de Andalucía.</w:t>
      </w:r>
    </w:p>
    <w:p w14:paraId="1BE08CE5" w14:textId="77777777" w:rsidR="001C0CEA" w:rsidRDefault="00000000">
      <w:pPr>
        <w:pStyle w:val="Prrafodelista"/>
        <w:numPr>
          <w:ilvl w:val="0"/>
          <w:numId w:val="2"/>
        </w:numPr>
        <w:spacing w:after="60"/>
      </w:pPr>
      <w:r>
        <w:t>Decreto 128/2021, de 30 de marzo, Estatutos de la Agencia Digital de Andalucía.</w:t>
      </w:r>
    </w:p>
    <w:p w14:paraId="1089E145" w14:textId="77777777" w:rsidR="001C0CEA" w:rsidRDefault="00000000">
      <w:pPr>
        <w:pStyle w:val="Ttulo2"/>
      </w:pPr>
      <w:bookmarkStart w:id="119" w:name="_Toc241338000"/>
      <w:r>
        <w:t>33.3. Estándares y documentación técnica</w:t>
      </w:r>
      <w:bookmarkEnd w:id="11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14"/>
        <w:gridCol w:w="1278"/>
        <w:gridCol w:w="1028"/>
        <w:gridCol w:w="5206"/>
      </w:tblGrid>
      <w:tr w:rsidR="001C0CEA" w14:paraId="506A9E90" w14:textId="77777777">
        <w:trPr>
          <w:tblHeader/>
        </w:trPr>
        <w:tc>
          <w:tcPr>
            <w:tcW w:w="33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1493D0C3" w14:textId="77777777" w:rsidR="001C0CEA" w:rsidRDefault="00000000">
            <w:r>
              <w:rPr>
                <w:b/>
                <w:bCs/>
                <w:color w:val="FFFFFF"/>
                <w:sz w:val="19"/>
                <w:szCs w:val="19"/>
              </w:rPr>
              <w:t>Título</w:t>
            </w:r>
          </w:p>
        </w:tc>
        <w:tc>
          <w:tcPr>
            <w:tcW w:w="17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05BC8144" w14:textId="77777777" w:rsidR="001C0CEA" w:rsidRDefault="00000000">
            <w:r>
              <w:rPr>
                <w:b/>
                <w:bCs/>
                <w:color w:val="FFFFFF"/>
                <w:sz w:val="19"/>
                <w:szCs w:val="19"/>
              </w:rPr>
              <w:t>Organismo</w:t>
            </w:r>
          </w:p>
        </w:tc>
        <w:tc>
          <w:tcPr>
            <w:tcW w:w="15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2BB7B890" w14:textId="77777777" w:rsidR="001C0CEA" w:rsidRDefault="00000000">
            <w:r>
              <w:rPr>
                <w:b/>
                <w:bCs/>
                <w:color w:val="FFFFFF"/>
                <w:sz w:val="19"/>
                <w:szCs w:val="19"/>
              </w:rPr>
              <w:t>Versión / estado</w:t>
            </w:r>
          </w:p>
        </w:tc>
        <w:tc>
          <w:tcPr>
            <w:tcW w:w="2526"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42304241" w14:textId="77777777" w:rsidR="001C0CEA" w:rsidRDefault="00000000">
            <w:r>
              <w:rPr>
                <w:b/>
                <w:bCs/>
                <w:color w:val="FFFFFF"/>
                <w:sz w:val="19"/>
                <w:szCs w:val="19"/>
              </w:rPr>
              <w:t>Enlace</w:t>
            </w:r>
          </w:p>
        </w:tc>
      </w:tr>
      <w:tr w:rsidR="001C0CEA" w14:paraId="61958A05" w14:textId="77777777">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551EA2F" w14:textId="77777777" w:rsidR="001C0CEA" w:rsidRDefault="00000000">
            <w:r>
              <w:rPr>
                <w:sz w:val="19"/>
                <w:szCs w:val="19"/>
              </w:rPr>
              <w:t>ANSI/TIA-942 – Certifications &amp; Ratings</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291C7D1" w14:textId="77777777" w:rsidR="001C0CEA" w:rsidRDefault="00000000">
            <w:r>
              <w:rPr>
                <w:sz w:val="19"/>
                <w:szCs w:val="19"/>
              </w:rPr>
              <w:t>TIA</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DAB865A" w14:textId="77777777" w:rsidR="001C0CEA" w:rsidRDefault="00000000">
            <w:r>
              <w:rPr>
                <w:sz w:val="19"/>
                <w:szCs w:val="19"/>
              </w:rPr>
              <w:t>Revisión C (mayo 2024)</w:t>
            </w:r>
          </w:p>
        </w:tc>
        <w:tc>
          <w:tcPr>
            <w:tcW w:w="25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84DF3F9" w14:textId="77777777" w:rsidR="001C0CEA" w:rsidRDefault="00000000">
            <w:r>
              <w:rPr>
                <w:sz w:val="19"/>
                <w:szCs w:val="19"/>
              </w:rPr>
              <w:t>https://tiaonline.org/products-and-services/tia942certification/tia-942-certifications-ratings/</w:t>
            </w:r>
          </w:p>
        </w:tc>
      </w:tr>
      <w:tr w:rsidR="001C0CEA" w14:paraId="1C079EBB" w14:textId="77777777">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0DCD7AE" w14:textId="77777777" w:rsidR="001C0CEA" w:rsidRDefault="00000000">
            <w:r>
              <w:rPr>
                <w:sz w:val="19"/>
                <w:szCs w:val="19"/>
              </w:rPr>
              <w:t>ANSI/TIA-942 Standard</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34AFD55" w14:textId="77777777" w:rsidR="001C0CEA" w:rsidRDefault="00000000">
            <w:r>
              <w:rPr>
                <w:sz w:val="19"/>
                <w:szCs w:val="19"/>
              </w:rPr>
              <w:t>TIA</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EE59EE4" w14:textId="77777777" w:rsidR="001C0CEA" w:rsidRDefault="00000000">
            <w:r>
              <w:rPr>
                <w:sz w:val="19"/>
                <w:szCs w:val="19"/>
              </w:rPr>
              <w:t>Vigente</w:t>
            </w:r>
          </w:p>
        </w:tc>
        <w:tc>
          <w:tcPr>
            <w:tcW w:w="25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A0D51CA" w14:textId="77777777" w:rsidR="001C0CEA" w:rsidRDefault="00000000">
            <w:r>
              <w:rPr>
                <w:sz w:val="19"/>
                <w:szCs w:val="19"/>
              </w:rPr>
              <w:t>https://tiaonline.org/products-and-services/tia942certification/ansi-tia-942-standard/</w:t>
            </w:r>
          </w:p>
        </w:tc>
      </w:tr>
      <w:tr w:rsidR="001C0CEA" w14:paraId="7DBB2FA9" w14:textId="77777777">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B61386F" w14:textId="77777777" w:rsidR="001C0CEA" w:rsidRDefault="00000000">
            <w:r>
              <w:rPr>
                <w:sz w:val="19"/>
                <w:szCs w:val="19"/>
              </w:rPr>
              <w:t>TIA-942-C Data Center Standard Brings a Host of Changes</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BBEE5A0" w14:textId="77777777" w:rsidR="001C0CEA" w:rsidRDefault="00000000">
            <w:r>
              <w:rPr>
                <w:sz w:val="19"/>
                <w:szCs w:val="19"/>
              </w:rPr>
              <w:t>Cabling Installation &amp; Maintenance</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57BE2CC" w14:textId="77777777" w:rsidR="001C0CEA" w:rsidRDefault="00000000">
            <w:r>
              <w:rPr>
                <w:sz w:val="19"/>
                <w:szCs w:val="19"/>
              </w:rPr>
              <w:t>Nov. 2024</w:t>
            </w:r>
          </w:p>
        </w:tc>
        <w:tc>
          <w:tcPr>
            <w:tcW w:w="25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CB8845F" w14:textId="77777777" w:rsidR="001C0CEA" w:rsidRDefault="00000000">
            <w:r>
              <w:rPr>
                <w:sz w:val="19"/>
                <w:szCs w:val="19"/>
              </w:rPr>
              <w:t>https://www.cablinginstall.com/standards/article/55245177/tia-942-c-data-center-standard-brings-a-host-of-changes-and-updates</w:t>
            </w:r>
          </w:p>
        </w:tc>
      </w:tr>
      <w:tr w:rsidR="001C0CEA" w14:paraId="6325F14D" w14:textId="77777777">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120700A" w14:textId="77777777" w:rsidR="001C0CEA" w:rsidRDefault="00000000">
            <w:r>
              <w:rPr>
                <w:sz w:val="19"/>
                <w:szCs w:val="19"/>
              </w:rPr>
              <w:t>Tier Standard: Topology / Operational Sustainability</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476FD09" w14:textId="77777777" w:rsidR="001C0CEA" w:rsidRDefault="00000000">
            <w:r>
              <w:rPr>
                <w:sz w:val="19"/>
                <w:szCs w:val="19"/>
              </w:rPr>
              <w:t>Uptime Institute</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3D60E1A" w14:textId="77777777" w:rsidR="001C0CEA" w:rsidRDefault="00000000">
            <w:r>
              <w:rPr>
                <w:sz w:val="19"/>
                <w:szCs w:val="19"/>
              </w:rPr>
              <w:t>Vigente (esquema privado)</w:t>
            </w:r>
          </w:p>
        </w:tc>
        <w:tc>
          <w:tcPr>
            <w:tcW w:w="25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5E7A807" w14:textId="77777777" w:rsidR="001C0CEA" w:rsidRDefault="00000000">
            <w:r>
              <w:rPr>
                <w:sz w:val="19"/>
                <w:szCs w:val="19"/>
              </w:rPr>
              <w:t>uptimeinstitute.com</w:t>
            </w:r>
          </w:p>
        </w:tc>
      </w:tr>
      <w:tr w:rsidR="001C0CEA" w14:paraId="72B9CF3B" w14:textId="77777777">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1A7123B" w14:textId="77777777" w:rsidR="001C0CEA" w:rsidRDefault="00000000">
            <w:r>
              <w:rPr>
                <w:sz w:val="19"/>
                <w:szCs w:val="19"/>
              </w:rPr>
              <w:t>EN 50600 / ISO/IEC 22237 (serie)</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173338E" w14:textId="77777777" w:rsidR="001C0CEA" w:rsidRDefault="00000000">
            <w:r>
              <w:rPr>
                <w:sz w:val="19"/>
                <w:szCs w:val="19"/>
              </w:rPr>
              <w:t>CENELEC / ISO-IEC</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B8DAB6B" w14:textId="77777777" w:rsidR="001C0CEA" w:rsidRDefault="00000000">
            <w:r>
              <w:rPr>
                <w:sz w:val="19"/>
                <w:szCs w:val="19"/>
              </w:rPr>
              <w:t>En vigor</w:t>
            </w:r>
          </w:p>
        </w:tc>
        <w:tc>
          <w:tcPr>
            <w:tcW w:w="25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4F62A1A" w14:textId="77777777" w:rsidR="001C0CEA" w:rsidRDefault="00000000">
            <w:r>
              <w:rPr>
                <w:sz w:val="19"/>
                <w:szCs w:val="19"/>
              </w:rPr>
              <w:t>Catálogos UNE e ISO</w:t>
            </w:r>
          </w:p>
        </w:tc>
      </w:tr>
      <w:tr w:rsidR="001C0CEA" w14:paraId="30E0CC7E" w14:textId="77777777">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D4FF594" w14:textId="77777777" w:rsidR="001C0CEA" w:rsidRDefault="00000000">
            <w:r>
              <w:rPr>
                <w:sz w:val="19"/>
                <w:szCs w:val="19"/>
              </w:rPr>
              <w:t>ISO/IEC 30134-2 (PUE)</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F8D2560" w14:textId="77777777" w:rsidR="001C0CEA" w:rsidRDefault="00000000">
            <w:r>
              <w:rPr>
                <w:sz w:val="19"/>
                <w:szCs w:val="19"/>
              </w:rPr>
              <w:t>ISO/IEC</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4DFC252" w14:textId="77777777" w:rsidR="001C0CEA" w:rsidRDefault="00000000">
            <w:r>
              <w:rPr>
                <w:sz w:val="19"/>
                <w:szCs w:val="19"/>
              </w:rPr>
              <w:t>En vigor</w:t>
            </w:r>
          </w:p>
        </w:tc>
        <w:tc>
          <w:tcPr>
            <w:tcW w:w="25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72E9396" w14:textId="77777777" w:rsidR="001C0CEA" w:rsidRDefault="00000000">
            <w:r>
              <w:rPr>
                <w:sz w:val="19"/>
                <w:szCs w:val="19"/>
              </w:rPr>
              <w:t>Catálogo ISO</w:t>
            </w:r>
          </w:p>
        </w:tc>
      </w:tr>
      <w:tr w:rsidR="001C0CEA" w14:paraId="533BA845" w14:textId="77777777">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B11BFF0" w14:textId="77777777" w:rsidR="001C0CEA" w:rsidRDefault="00000000">
            <w:r>
              <w:rPr>
                <w:sz w:val="19"/>
                <w:szCs w:val="19"/>
              </w:rPr>
              <w:t xml:space="preserve">ISO 22301:2019; ISO/IEC 27001:2022; </w:t>
            </w:r>
            <w:r>
              <w:rPr>
                <w:sz w:val="19"/>
                <w:szCs w:val="19"/>
              </w:rPr>
              <w:lastRenderedPageBreak/>
              <w:t>ISO/IEC 27002:2022; ISO/IEC 20000-1:2018; ISO/IEC 27031</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2FD1C93" w14:textId="77777777" w:rsidR="001C0CEA" w:rsidRDefault="00000000">
            <w:r>
              <w:rPr>
                <w:sz w:val="19"/>
                <w:szCs w:val="19"/>
              </w:rPr>
              <w:lastRenderedPageBreak/>
              <w:t>ISO/IEC</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33E0AB2" w14:textId="77777777" w:rsidR="001C0CEA" w:rsidRDefault="00000000">
            <w:r>
              <w:rPr>
                <w:sz w:val="19"/>
                <w:szCs w:val="19"/>
              </w:rPr>
              <w:t>En vigor</w:t>
            </w:r>
          </w:p>
        </w:tc>
        <w:tc>
          <w:tcPr>
            <w:tcW w:w="25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E2D1997" w14:textId="77777777" w:rsidR="001C0CEA" w:rsidRDefault="00000000">
            <w:r>
              <w:rPr>
                <w:sz w:val="19"/>
                <w:szCs w:val="19"/>
              </w:rPr>
              <w:t>Catálogo ISO</w:t>
            </w:r>
          </w:p>
        </w:tc>
      </w:tr>
      <w:tr w:rsidR="001C0CEA" w14:paraId="4FA9457A" w14:textId="77777777">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2B346FE" w14:textId="77777777" w:rsidR="001C0CEA" w:rsidRDefault="00000000">
            <w:r>
              <w:rPr>
                <w:sz w:val="19"/>
                <w:szCs w:val="19"/>
              </w:rPr>
              <w:t>NIST SP 800-145, The NIST Definition of Cloud Computing</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2B755A4" w14:textId="77777777" w:rsidR="001C0CEA" w:rsidRDefault="00000000">
            <w:r>
              <w:rPr>
                <w:sz w:val="19"/>
                <w:szCs w:val="19"/>
              </w:rPr>
              <w:t>NIST</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E5D4679" w14:textId="77777777" w:rsidR="001C0CEA" w:rsidRDefault="00000000">
            <w:r>
              <w:rPr>
                <w:sz w:val="19"/>
                <w:szCs w:val="19"/>
              </w:rPr>
              <w:t>2011</w:t>
            </w:r>
          </w:p>
        </w:tc>
        <w:tc>
          <w:tcPr>
            <w:tcW w:w="25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B657E41" w14:textId="77777777" w:rsidR="001C0CEA" w:rsidRDefault="00000000">
            <w:r>
              <w:rPr>
                <w:sz w:val="19"/>
                <w:szCs w:val="19"/>
              </w:rPr>
              <w:t>csrc.nist.gov</w:t>
            </w:r>
          </w:p>
        </w:tc>
      </w:tr>
      <w:tr w:rsidR="001C0CEA" w14:paraId="76CD0755" w14:textId="77777777">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BDB2633" w14:textId="77777777" w:rsidR="001C0CEA" w:rsidRDefault="00000000">
            <w:r>
              <w:rPr>
                <w:sz w:val="19"/>
                <w:szCs w:val="19"/>
              </w:rPr>
              <w:t>ASHRAE TC 9.9 Thermal Guidelines for Data Processing Environments</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15533F1" w14:textId="77777777" w:rsidR="001C0CEA" w:rsidRDefault="00000000">
            <w:r>
              <w:rPr>
                <w:sz w:val="19"/>
                <w:szCs w:val="19"/>
              </w:rPr>
              <w:t>ASHRAE</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CB66DFC" w14:textId="77777777" w:rsidR="001C0CEA" w:rsidRDefault="00000000">
            <w:r>
              <w:rPr>
                <w:sz w:val="19"/>
                <w:szCs w:val="19"/>
              </w:rPr>
              <w:t>Ediciones vigentes</w:t>
            </w:r>
          </w:p>
        </w:tc>
        <w:tc>
          <w:tcPr>
            <w:tcW w:w="25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DA61052" w14:textId="77777777" w:rsidR="001C0CEA" w:rsidRDefault="00000000">
            <w:r>
              <w:rPr>
                <w:sz w:val="19"/>
                <w:szCs w:val="19"/>
              </w:rPr>
              <w:t>ashrae.org</w:t>
            </w:r>
          </w:p>
        </w:tc>
      </w:tr>
      <w:tr w:rsidR="001C0CEA" w14:paraId="38CCC9A7" w14:textId="77777777">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29F3726" w14:textId="77777777" w:rsidR="001C0CEA" w:rsidRDefault="00000000">
            <w:r>
              <w:rPr>
                <w:sz w:val="19"/>
                <w:szCs w:val="19"/>
              </w:rPr>
              <w:t>ITIL 4 (prácticas de gestión de servicios)</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1137C9B" w14:textId="77777777" w:rsidR="001C0CEA" w:rsidRDefault="00000000">
            <w:r>
              <w:rPr>
                <w:sz w:val="19"/>
                <w:szCs w:val="19"/>
              </w:rPr>
              <w:t>PeopleCert / AXELOS</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3A00AF2" w14:textId="77777777" w:rsidR="001C0CEA" w:rsidRDefault="00000000">
            <w:r>
              <w:rPr>
                <w:sz w:val="19"/>
                <w:szCs w:val="19"/>
              </w:rPr>
              <w:t>Marco de buenas prácticas</w:t>
            </w:r>
          </w:p>
        </w:tc>
        <w:tc>
          <w:tcPr>
            <w:tcW w:w="25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DD0A814" w14:textId="77777777" w:rsidR="001C0CEA" w:rsidRDefault="00000000">
            <w:r>
              <w:rPr>
                <w:sz w:val="19"/>
                <w:szCs w:val="19"/>
              </w:rPr>
              <w:t>—</w:t>
            </w:r>
          </w:p>
        </w:tc>
      </w:tr>
      <w:tr w:rsidR="001C0CEA" w14:paraId="3EAA6149" w14:textId="77777777">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360E2F6" w14:textId="77777777" w:rsidR="001C0CEA" w:rsidRDefault="00000000">
            <w:r>
              <w:rPr>
                <w:sz w:val="19"/>
                <w:szCs w:val="19"/>
              </w:rPr>
              <w:t>Guías CCN-STIC</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6EFC24B" w14:textId="77777777" w:rsidR="001C0CEA" w:rsidRDefault="00000000">
            <w:r>
              <w:rPr>
                <w:sz w:val="19"/>
                <w:szCs w:val="19"/>
              </w:rPr>
              <w:t>Centro Criptológico Nacional</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6FDA9A9" w14:textId="77777777" w:rsidR="001C0CEA" w:rsidRDefault="00000000">
            <w:r>
              <w:rPr>
                <w:sz w:val="19"/>
                <w:szCs w:val="19"/>
              </w:rPr>
              <w:t>Vigentes</w:t>
            </w:r>
          </w:p>
        </w:tc>
        <w:tc>
          <w:tcPr>
            <w:tcW w:w="25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C62A040" w14:textId="77777777" w:rsidR="001C0CEA" w:rsidRDefault="00000000">
            <w:r>
              <w:rPr>
                <w:sz w:val="19"/>
                <w:szCs w:val="19"/>
              </w:rPr>
              <w:t>ccn-cert.cni.es</w:t>
            </w:r>
          </w:p>
        </w:tc>
      </w:tr>
    </w:tbl>
    <w:p w14:paraId="2963038A" w14:textId="77777777" w:rsidR="001C0CEA" w:rsidRDefault="001C0CEA">
      <w:pPr>
        <w:spacing w:after="120"/>
      </w:pPr>
    </w:p>
    <w:p w14:paraId="568B8CB0" w14:textId="77777777" w:rsidR="001C0CEA" w:rsidRDefault="00000000">
      <w:pPr>
        <w:spacing w:after="120"/>
        <w:jc w:val="both"/>
      </w:pPr>
      <w:r>
        <w:t>Nota: para las normas técnicas (ISO, EN, ASHRAE, Uptime) se indica el organismo y el catálogo, ya que sus textos son de pago y no se reproducen enlaces no verificados.</w:t>
      </w:r>
    </w:p>
    <w:sectPr w:rsidR="001C0CEA">
      <w:headerReference w:type="default" r:id="rId13"/>
      <w:footerReference w:type="default" r:id="rId14"/>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641340A" w14:textId="77777777" w:rsidR="00B11711" w:rsidRDefault="00B11711">
      <w:r>
        <w:separator/>
      </w:r>
    </w:p>
  </w:endnote>
  <w:endnote w:type="continuationSeparator" w:id="0">
    <w:p w14:paraId="72B206BB" w14:textId="77777777" w:rsidR="00B11711" w:rsidRDefault="00B117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9EDCC87" w14:textId="77777777" w:rsidR="001C0CEA" w:rsidRDefault="00000000">
    <w:pPr>
      <w:jc w:val="center"/>
    </w:pPr>
    <w:r>
      <w:rPr>
        <w:color w:val="808080"/>
        <w:sz w:val="18"/>
        <w:szCs w:val="18"/>
      </w:rPr>
      <w:t xml:space="preserve">Página </w:t>
    </w:r>
    <w:r>
      <w:rPr>
        <w:color w:val="808080"/>
        <w:sz w:val="18"/>
        <w:szCs w:val="18"/>
      </w:rPr>
      <w:fldChar w:fldCharType="begin"/>
    </w:r>
    <w:r>
      <w:rPr>
        <w:color w:val="808080"/>
        <w:sz w:val="18"/>
        <w:szCs w:val="18"/>
      </w:rPr>
      <w:instrText>PAGE</w:instrText>
    </w:r>
    <w:r>
      <w:rPr>
        <w:color w:val="808080"/>
        <w:sz w:val="18"/>
        <w:szCs w:val="18"/>
      </w:rPr>
      <w:fldChar w:fldCharType="separate"/>
    </w:r>
    <w:r w:rsidR="004476A0">
      <w:rPr>
        <w:noProof/>
        <w:color w:val="808080"/>
        <w:sz w:val="18"/>
        <w:szCs w:val="18"/>
      </w:rPr>
      <w:t>1</w:t>
    </w:r>
    <w:r>
      <w:rPr>
        <w:color w:val="808080"/>
        <w:sz w:val="18"/>
        <w:szCs w:val="18"/>
      </w:rPr>
      <w:fldChar w:fldCharType="end"/>
    </w:r>
    <w:r>
      <w:rPr>
        <w:color w:val="808080"/>
        <w:sz w:val="18"/>
        <w:szCs w:val="18"/>
      </w:rPr>
      <w:t xml:space="preserve"> de </w:t>
    </w:r>
    <w:r>
      <w:rPr>
        <w:color w:val="808080"/>
        <w:sz w:val="18"/>
        <w:szCs w:val="18"/>
      </w:rPr>
      <w:fldChar w:fldCharType="begin"/>
    </w:r>
    <w:r>
      <w:rPr>
        <w:color w:val="808080"/>
        <w:sz w:val="18"/>
        <w:szCs w:val="18"/>
      </w:rPr>
      <w:instrText>NUMPAGES</w:instrText>
    </w:r>
    <w:r>
      <w:rPr>
        <w:color w:val="808080"/>
        <w:sz w:val="18"/>
        <w:szCs w:val="18"/>
      </w:rPr>
      <w:fldChar w:fldCharType="separate"/>
    </w:r>
    <w:r w:rsidR="004476A0">
      <w:rPr>
        <w:noProof/>
        <w:color w:val="808080"/>
        <w:sz w:val="18"/>
        <w:szCs w:val="18"/>
      </w:rPr>
      <w:t>2</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B28E920" w14:textId="77777777" w:rsidR="00B11711" w:rsidRDefault="00B11711">
      <w:r>
        <w:separator/>
      </w:r>
    </w:p>
  </w:footnote>
  <w:footnote w:type="continuationSeparator" w:id="0">
    <w:p w14:paraId="6B2CBFCA" w14:textId="77777777" w:rsidR="00B11711" w:rsidRDefault="00B1171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452F025" w14:textId="77777777" w:rsidR="001C0CEA" w:rsidRDefault="00000000">
    <w:pPr>
      <w:jc w:val="right"/>
    </w:pPr>
    <w:r>
      <w:rPr>
        <w:color w:val="808080"/>
        <w:sz w:val="16"/>
        <w:szCs w:val="16"/>
      </w:rPr>
      <w:t>Tema 56 · CPD, producción y organización CPD del SAS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5DB0834"/>
    <w:multiLevelType w:val="hybridMultilevel"/>
    <w:tmpl w:val="A80EBDAE"/>
    <w:lvl w:ilvl="0" w:tplc="45483102">
      <w:start w:val="1"/>
      <w:numFmt w:val="decimal"/>
      <w:lvlText w:val="%1."/>
      <w:lvlJc w:val="left"/>
      <w:pPr>
        <w:ind w:left="540" w:hanging="360"/>
      </w:pPr>
    </w:lvl>
    <w:lvl w:ilvl="1" w:tplc="729A0B2A">
      <w:numFmt w:val="decimal"/>
      <w:lvlText w:val=""/>
      <w:lvlJc w:val="left"/>
    </w:lvl>
    <w:lvl w:ilvl="2" w:tplc="B024FB80">
      <w:numFmt w:val="decimal"/>
      <w:lvlText w:val=""/>
      <w:lvlJc w:val="left"/>
    </w:lvl>
    <w:lvl w:ilvl="3" w:tplc="E222D892">
      <w:numFmt w:val="decimal"/>
      <w:lvlText w:val=""/>
      <w:lvlJc w:val="left"/>
    </w:lvl>
    <w:lvl w:ilvl="4" w:tplc="EFDA3514">
      <w:numFmt w:val="decimal"/>
      <w:lvlText w:val=""/>
      <w:lvlJc w:val="left"/>
    </w:lvl>
    <w:lvl w:ilvl="5" w:tplc="CC4AD258">
      <w:numFmt w:val="decimal"/>
      <w:lvlText w:val=""/>
      <w:lvlJc w:val="left"/>
    </w:lvl>
    <w:lvl w:ilvl="6" w:tplc="0FACAE0E">
      <w:numFmt w:val="decimal"/>
      <w:lvlText w:val=""/>
      <w:lvlJc w:val="left"/>
    </w:lvl>
    <w:lvl w:ilvl="7" w:tplc="F4A2B46A">
      <w:numFmt w:val="decimal"/>
      <w:lvlText w:val=""/>
      <w:lvlJc w:val="left"/>
    </w:lvl>
    <w:lvl w:ilvl="8" w:tplc="C734B74C">
      <w:numFmt w:val="decimal"/>
      <w:lvlText w:val=""/>
      <w:lvlJc w:val="left"/>
    </w:lvl>
  </w:abstractNum>
  <w:abstractNum w:abstractNumId="1" w15:restartNumberingAfterBreak="0">
    <w:nsid w:val="2B9478B9"/>
    <w:multiLevelType w:val="hybridMultilevel"/>
    <w:tmpl w:val="3BA48754"/>
    <w:lvl w:ilvl="0" w:tplc="143A3706">
      <w:start w:val="1"/>
      <w:numFmt w:val="bullet"/>
      <w:lvlText w:val="•"/>
      <w:lvlJc w:val="left"/>
      <w:pPr>
        <w:ind w:left="540" w:hanging="270"/>
      </w:pPr>
    </w:lvl>
    <w:lvl w:ilvl="1" w:tplc="734ED08E">
      <w:numFmt w:val="decimal"/>
      <w:lvlText w:val=""/>
      <w:lvlJc w:val="left"/>
    </w:lvl>
    <w:lvl w:ilvl="2" w:tplc="69AA3084">
      <w:numFmt w:val="decimal"/>
      <w:lvlText w:val=""/>
      <w:lvlJc w:val="left"/>
    </w:lvl>
    <w:lvl w:ilvl="3" w:tplc="BD4EEBB8">
      <w:numFmt w:val="decimal"/>
      <w:lvlText w:val=""/>
      <w:lvlJc w:val="left"/>
    </w:lvl>
    <w:lvl w:ilvl="4" w:tplc="94866BE2">
      <w:numFmt w:val="decimal"/>
      <w:lvlText w:val=""/>
      <w:lvlJc w:val="left"/>
    </w:lvl>
    <w:lvl w:ilvl="5" w:tplc="2D98855A">
      <w:numFmt w:val="decimal"/>
      <w:lvlText w:val=""/>
      <w:lvlJc w:val="left"/>
    </w:lvl>
    <w:lvl w:ilvl="6" w:tplc="577A6542">
      <w:numFmt w:val="decimal"/>
      <w:lvlText w:val=""/>
      <w:lvlJc w:val="left"/>
    </w:lvl>
    <w:lvl w:ilvl="7" w:tplc="22FEE54E">
      <w:numFmt w:val="decimal"/>
      <w:lvlText w:val=""/>
      <w:lvlJc w:val="left"/>
    </w:lvl>
    <w:lvl w:ilvl="8" w:tplc="8F42439A">
      <w:numFmt w:val="decimal"/>
      <w:lvlText w:val=""/>
      <w:lvlJc w:val="left"/>
    </w:lvl>
  </w:abstractNum>
  <w:abstractNum w:abstractNumId="2" w15:restartNumberingAfterBreak="0">
    <w:nsid w:val="3796436A"/>
    <w:multiLevelType w:val="hybridMultilevel"/>
    <w:tmpl w:val="E228AA20"/>
    <w:lvl w:ilvl="0" w:tplc="1EDAFB9E">
      <w:start w:val="1"/>
      <w:numFmt w:val="decimal"/>
      <w:lvlText w:val="%1."/>
      <w:lvlJc w:val="left"/>
      <w:pPr>
        <w:ind w:left="540" w:hanging="360"/>
      </w:pPr>
    </w:lvl>
    <w:lvl w:ilvl="1" w:tplc="6CC08208">
      <w:numFmt w:val="decimal"/>
      <w:lvlText w:val=""/>
      <w:lvlJc w:val="left"/>
    </w:lvl>
    <w:lvl w:ilvl="2" w:tplc="DC46EC2C">
      <w:numFmt w:val="decimal"/>
      <w:lvlText w:val=""/>
      <w:lvlJc w:val="left"/>
    </w:lvl>
    <w:lvl w:ilvl="3" w:tplc="D458EAD6">
      <w:numFmt w:val="decimal"/>
      <w:lvlText w:val=""/>
      <w:lvlJc w:val="left"/>
    </w:lvl>
    <w:lvl w:ilvl="4" w:tplc="B3C88C0E">
      <w:numFmt w:val="decimal"/>
      <w:lvlText w:val=""/>
      <w:lvlJc w:val="left"/>
    </w:lvl>
    <w:lvl w:ilvl="5" w:tplc="55620590">
      <w:numFmt w:val="decimal"/>
      <w:lvlText w:val=""/>
      <w:lvlJc w:val="left"/>
    </w:lvl>
    <w:lvl w:ilvl="6" w:tplc="AC861CAC">
      <w:numFmt w:val="decimal"/>
      <w:lvlText w:val=""/>
      <w:lvlJc w:val="left"/>
    </w:lvl>
    <w:lvl w:ilvl="7" w:tplc="589A9110">
      <w:numFmt w:val="decimal"/>
      <w:lvlText w:val=""/>
      <w:lvlJc w:val="left"/>
    </w:lvl>
    <w:lvl w:ilvl="8" w:tplc="9EB03C9C">
      <w:numFmt w:val="decimal"/>
      <w:lvlText w:val=""/>
      <w:lvlJc w:val="left"/>
    </w:lvl>
  </w:abstractNum>
  <w:abstractNum w:abstractNumId="3" w15:restartNumberingAfterBreak="0">
    <w:nsid w:val="47AB375A"/>
    <w:multiLevelType w:val="hybridMultilevel"/>
    <w:tmpl w:val="8CAE7C6C"/>
    <w:lvl w:ilvl="0" w:tplc="BAC22666">
      <w:start w:val="1"/>
      <w:numFmt w:val="decimal"/>
      <w:lvlText w:val="%1."/>
      <w:lvlJc w:val="left"/>
      <w:pPr>
        <w:ind w:left="540" w:hanging="360"/>
      </w:pPr>
    </w:lvl>
    <w:lvl w:ilvl="1" w:tplc="9A1EDE62">
      <w:numFmt w:val="decimal"/>
      <w:lvlText w:val=""/>
      <w:lvlJc w:val="left"/>
    </w:lvl>
    <w:lvl w:ilvl="2" w:tplc="F246F1E2">
      <w:numFmt w:val="decimal"/>
      <w:lvlText w:val=""/>
      <w:lvlJc w:val="left"/>
    </w:lvl>
    <w:lvl w:ilvl="3" w:tplc="1DB86468">
      <w:numFmt w:val="decimal"/>
      <w:lvlText w:val=""/>
      <w:lvlJc w:val="left"/>
    </w:lvl>
    <w:lvl w:ilvl="4" w:tplc="5C104014">
      <w:numFmt w:val="decimal"/>
      <w:lvlText w:val=""/>
      <w:lvlJc w:val="left"/>
    </w:lvl>
    <w:lvl w:ilvl="5" w:tplc="A5E258E8">
      <w:numFmt w:val="decimal"/>
      <w:lvlText w:val=""/>
      <w:lvlJc w:val="left"/>
    </w:lvl>
    <w:lvl w:ilvl="6" w:tplc="261680E0">
      <w:numFmt w:val="decimal"/>
      <w:lvlText w:val=""/>
      <w:lvlJc w:val="left"/>
    </w:lvl>
    <w:lvl w:ilvl="7" w:tplc="9474AA36">
      <w:numFmt w:val="decimal"/>
      <w:lvlText w:val=""/>
      <w:lvlJc w:val="left"/>
    </w:lvl>
    <w:lvl w:ilvl="8" w:tplc="82F2E114">
      <w:numFmt w:val="decimal"/>
      <w:lvlText w:val=""/>
      <w:lvlJc w:val="left"/>
    </w:lvl>
  </w:abstractNum>
  <w:abstractNum w:abstractNumId="4" w15:restartNumberingAfterBreak="0">
    <w:nsid w:val="54A92546"/>
    <w:multiLevelType w:val="hybridMultilevel"/>
    <w:tmpl w:val="2DBE5D38"/>
    <w:lvl w:ilvl="0" w:tplc="CBE6CA68">
      <w:start w:val="1"/>
      <w:numFmt w:val="bullet"/>
      <w:lvlText w:val="●"/>
      <w:lvlJc w:val="left"/>
      <w:pPr>
        <w:ind w:left="720" w:hanging="360"/>
      </w:pPr>
    </w:lvl>
    <w:lvl w:ilvl="1" w:tplc="80140774">
      <w:start w:val="1"/>
      <w:numFmt w:val="bullet"/>
      <w:lvlText w:val="○"/>
      <w:lvlJc w:val="left"/>
      <w:pPr>
        <w:ind w:left="1440" w:hanging="360"/>
      </w:pPr>
    </w:lvl>
    <w:lvl w:ilvl="2" w:tplc="4558B56E">
      <w:start w:val="1"/>
      <w:numFmt w:val="bullet"/>
      <w:lvlText w:val="■"/>
      <w:lvlJc w:val="left"/>
      <w:pPr>
        <w:ind w:left="2160" w:hanging="360"/>
      </w:pPr>
    </w:lvl>
    <w:lvl w:ilvl="3" w:tplc="B574A404">
      <w:start w:val="1"/>
      <w:numFmt w:val="bullet"/>
      <w:lvlText w:val="●"/>
      <w:lvlJc w:val="left"/>
      <w:pPr>
        <w:ind w:left="2880" w:hanging="360"/>
      </w:pPr>
    </w:lvl>
    <w:lvl w:ilvl="4" w:tplc="A0BCE12A">
      <w:start w:val="1"/>
      <w:numFmt w:val="bullet"/>
      <w:lvlText w:val="○"/>
      <w:lvlJc w:val="left"/>
      <w:pPr>
        <w:ind w:left="3600" w:hanging="360"/>
      </w:pPr>
    </w:lvl>
    <w:lvl w:ilvl="5" w:tplc="A4E6A03E">
      <w:start w:val="1"/>
      <w:numFmt w:val="bullet"/>
      <w:lvlText w:val="■"/>
      <w:lvlJc w:val="left"/>
      <w:pPr>
        <w:ind w:left="4320" w:hanging="360"/>
      </w:pPr>
    </w:lvl>
    <w:lvl w:ilvl="6" w:tplc="D422DEBE">
      <w:start w:val="1"/>
      <w:numFmt w:val="bullet"/>
      <w:lvlText w:val="●"/>
      <w:lvlJc w:val="left"/>
      <w:pPr>
        <w:ind w:left="5040" w:hanging="360"/>
      </w:pPr>
    </w:lvl>
    <w:lvl w:ilvl="7" w:tplc="CF78AAB6">
      <w:start w:val="1"/>
      <w:numFmt w:val="bullet"/>
      <w:lvlText w:val="●"/>
      <w:lvlJc w:val="left"/>
      <w:pPr>
        <w:ind w:left="5760" w:hanging="360"/>
      </w:pPr>
    </w:lvl>
    <w:lvl w:ilvl="8" w:tplc="A3F22096">
      <w:start w:val="1"/>
      <w:numFmt w:val="bullet"/>
      <w:lvlText w:val="●"/>
      <w:lvlJc w:val="left"/>
      <w:pPr>
        <w:ind w:left="6480" w:hanging="360"/>
      </w:pPr>
    </w:lvl>
  </w:abstractNum>
  <w:num w:numId="1" w16cid:durableId="931160916">
    <w:abstractNumId w:val="4"/>
    <w:lvlOverride w:ilvl="0">
      <w:startOverride w:val="1"/>
    </w:lvlOverride>
  </w:num>
  <w:num w:numId="2" w16cid:durableId="622881016">
    <w:abstractNumId w:val="1"/>
    <w:lvlOverride w:ilvl="0">
      <w:startOverride w:val="1"/>
    </w:lvlOverride>
  </w:num>
  <w:num w:numId="3" w16cid:durableId="907766102">
    <w:abstractNumId w:val="2"/>
    <w:lvlOverride w:ilvl="0">
      <w:startOverride w:val="1"/>
    </w:lvlOverride>
  </w:num>
  <w:num w:numId="4" w16cid:durableId="1125077999">
    <w:abstractNumId w:val="3"/>
    <w:lvlOverride w:ilvl="0">
      <w:startOverride w:val="1"/>
    </w:lvlOverride>
  </w:num>
  <w:num w:numId="5" w16cid:durableId="14031547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0CEA"/>
    <w:rsid w:val="001C0CEA"/>
    <w:rsid w:val="00411173"/>
    <w:rsid w:val="004476A0"/>
    <w:rsid w:val="006D6BF6"/>
    <w:rsid w:val="00B11711"/>
    <w:rsid w:val="00DA4AE7"/>
    <w:rsid w:val="00FA3BA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AACDB5"/>
  <w15:docId w15:val="{AD0BC770-0535-4DCD-8942-790BC50D92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pBdr>
        <w:bottom w:val="single" w:sz="8" w:space="4" w:color="2E75B6"/>
      </w:pBdr>
      <w:spacing w:before="240" w:after="200"/>
      <w:outlineLvl w:val="0"/>
    </w:pPr>
    <w:rPr>
      <w:b/>
      <w:bCs/>
      <w:color w:val="1F3864"/>
      <w:sz w:val="32"/>
      <w:szCs w:val="32"/>
    </w:rPr>
  </w:style>
  <w:style w:type="paragraph" w:styleId="Ttulo2">
    <w:name w:val="heading 2"/>
    <w:uiPriority w:val="9"/>
    <w:unhideWhenUsed/>
    <w:qFormat/>
    <w:pPr>
      <w:spacing w:before="240" w:after="120"/>
      <w:outlineLvl w:val="1"/>
    </w:pPr>
    <w:rPr>
      <w:b/>
      <w:bCs/>
      <w:color w:val="2E75B6"/>
      <w:sz w:val="26"/>
      <w:szCs w:val="26"/>
    </w:rPr>
  </w:style>
  <w:style w:type="paragraph" w:styleId="Ttulo3">
    <w:name w:val="heading 3"/>
    <w:uiPriority w:val="9"/>
    <w:unhideWhenUsed/>
    <w:qFormat/>
    <w:pPr>
      <w:spacing w:before="180" w:after="100"/>
      <w:outlineLvl w:val="2"/>
    </w:pPr>
    <w:rPr>
      <w:b/>
      <w:bCs/>
      <w:color w:val="404040"/>
      <w:sz w:val="23"/>
      <w:szCs w:val="23"/>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4476A0"/>
    <w:pPr>
      <w:spacing w:after="100"/>
    </w:pPr>
  </w:style>
  <w:style w:type="paragraph" w:styleId="TDC2">
    <w:name w:val="toc 2"/>
    <w:basedOn w:val="Normal"/>
    <w:next w:val="Normal"/>
    <w:autoRedefine/>
    <w:uiPriority w:val="39"/>
    <w:unhideWhenUsed/>
    <w:rsid w:val="004476A0"/>
    <w:pPr>
      <w:spacing w:after="100"/>
      <w:ind w:left="220"/>
    </w:pPr>
  </w:style>
  <w:style w:type="paragraph" w:styleId="TDC3">
    <w:name w:val="toc 3"/>
    <w:basedOn w:val="Normal"/>
    <w:next w:val="Normal"/>
    <w:autoRedefine/>
    <w:uiPriority w:val="39"/>
    <w:unhideWhenUsed/>
    <w:rsid w:val="004476A0"/>
    <w:pPr>
      <w:spacing w:after="100" w:line="259" w:lineRule="auto"/>
      <w:ind w:left="440"/>
    </w:pPr>
    <w:rPr>
      <w:rFonts w:asciiTheme="minorHAnsi" w:eastAsiaTheme="minorEastAsia" w:hAnsiTheme="minorHAnsi" w:cstheme="minorBidi"/>
      <w:kern w:val="2"/>
      <w14:ligatures w14:val="standardContextual"/>
    </w:rPr>
  </w:style>
  <w:style w:type="paragraph" w:styleId="TDC4">
    <w:name w:val="toc 4"/>
    <w:basedOn w:val="Normal"/>
    <w:next w:val="Normal"/>
    <w:autoRedefine/>
    <w:uiPriority w:val="39"/>
    <w:unhideWhenUsed/>
    <w:rsid w:val="004476A0"/>
    <w:pPr>
      <w:spacing w:after="100" w:line="259" w:lineRule="auto"/>
      <w:ind w:left="660"/>
    </w:pPr>
    <w:rPr>
      <w:rFonts w:asciiTheme="minorHAnsi" w:eastAsiaTheme="minorEastAsia" w:hAnsiTheme="minorHAnsi" w:cstheme="minorBidi"/>
      <w:kern w:val="2"/>
      <w14:ligatures w14:val="standardContextual"/>
    </w:rPr>
  </w:style>
  <w:style w:type="paragraph" w:styleId="TDC5">
    <w:name w:val="toc 5"/>
    <w:basedOn w:val="Normal"/>
    <w:next w:val="Normal"/>
    <w:autoRedefine/>
    <w:uiPriority w:val="39"/>
    <w:unhideWhenUsed/>
    <w:rsid w:val="004476A0"/>
    <w:pPr>
      <w:spacing w:after="100" w:line="259" w:lineRule="auto"/>
      <w:ind w:left="880"/>
    </w:pPr>
    <w:rPr>
      <w:rFonts w:asciiTheme="minorHAnsi" w:eastAsiaTheme="minorEastAsia" w:hAnsiTheme="minorHAnsi" w:cstheme="minorBidi"/>
      <w:kern w:val="2"/>
      <w14:ligatures w14:val="standardContextual"/>
    </w:rPr>
  </w:style>
  <w:style w:type="paragraph" w:styleId="TDC6">
    <w:name w:val="toc 6"/>
    <w:basedOn w:val="Normal"/>
    <w:next w:val="Normal"/>
    <w:autoRedefine/>
    <w:uiPriority w:val="39"/>
    <w:unhideWhenUsed/>
    <w:rsid w:val="004476A0"/>
    <w:pPr>
      <w:spacing w:after="100" w:line="259" w:lineRule="auto"/>
      <w:ind w:left="1100"/>
    </w:pPr>
    <w:rPr>
      <w:rFonts w:asciiTheme="minorHAnsi" w:eastAsiaTheme="minorEastAsia" w:hAnsiTheme="minorHAnsi" w:cstheme="minorBidi"/>
      <w:kern w:val="2"/>
      <w14:ligatures w14:val="standardContextual"/>
    </w:rPr>
  </w:style>
  <w:style w:type="paragraph" w:styleId="TDC7">
    <w:name w:val="toc 7"/>
    <w:basedOn w:val="Normal"/>
    <w:next w:val="Normal"/>
    <w:autoRedefine/>
    <w:uiPriority w:val="39"/>
    <w:unhideWhenUsed/>
    <w:rsid w:val="004476A0"/>
    <w:pPr>
      <w:spacing w:after="100" w:line="259" w:lineRule="auto"/>
      <w:ind w:left="1320"/>
    </w:pPr>
    <w:rPr>
      <w:rFonts w:asciiTheme="minorHAnsi" w:eastAsiaTheme="minorEastAsia" w:hAnsiTheme="minorHAnsi" w:cstheme="minorBidi"/>
      <w:kern w:val="2"/>
      <w14:ligatures w14:val="standardContextual"/>
    </w:rPr>
  </w:style>
  <w:style w:type="paragraph" w:styleId="TDC8">
    <w:name w:val="toc 8"/>
    <w:basedOn w:val="Normal"/>
    <w:next w:val="Normal"/>
    <w:autoRedefine/>
    <w:uiPriority w:val="39"/>
    <w:unhideWhenUsed/>
    <w:rsid w:val="004476A0"/>
    <w:pPr>
      <w:spacing w:after="100" w:line="259" w:lineRule="auto"/>
      <w:ind w:left="1540"/>
    </w:pPr>
    <w:rPr>
      <w:rFonts w:asciiTheme="minorHAnsi" w:eastAsiaTheme="minorEastAsia" w:hAnsiTheme="minorHAnsi" w:cstheme="minorBidi"/>
      <w:kern w:val="2"/>
      <w14:ligatures w14:val="standardContextual"/>
    </w:rPr>
  </w:style>
  <w:style w:type="paragraph" w:styleId="TDC9">
    <w:name w:val="toc 9"/>
    <w:basedOn w:val="Normal"/>
    <w:next w:val="Normal"/>
    <w:autoRedefine/>
    <w:uiPriority w:val="39"/>
    <w:unhideWhenUsed/>
    <w:rsid w:val="004476A0"/>
    <w:pPr>
      <w:spacing w:after="100" w:line="259" w:lineRule="auto"/>
      <w:ind w:left="1760"/>
    </w:pPr>
    <w:rPr>
      <w:rFonts w:asciiTheme="minorHAnsi" w:eastAsiaTheme="minorEastAsia" w:hAnsiTheme="minorHAnsi" w:cstheme="minorBidi"/>
      <w:kern w:val="2"/>
      <w14:ligatures w14:val="standardContextual"/>
    </w:rPr>
  </w:style>
  <w:style w:type="character" w:styleId="Mencinsinresolver">
    <w:name w:val="Unresolved Mention"/>
    <w:basedOn w:val="Fuentedeprrafopredeter"/>
    <w:uiPriority w:val="99"/>
    <w:semiHidden/>
    <w:unhideWhenUsed/>
    <w:rsid w:val="004476A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19766</Words>
  <Characters>108716</Characters>
  <Application>Microsoft Office Word</Application>
  <DocSecurity>0</DocSecurity>
  <Lines>905</Lines>
  <Paragraphs>256</Paragraphs>
  <ScaleCrop>false</ScaleCrop>
  <Company/>
  <LinksUpToDate>false</LinksUpToDate>
  <CharactersWithSpaces>128226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Tema 56 – CPD, producción y sistemas, organización CPD SAS</dc:title>
  <dc:creator>Material de estudio</dc:creator>
  <cp:lastModifiedBy>Piñero Tejada, Pedro Vale</cp:lastModifiedBy>
  <cp:revision>7</cp:revision>
  <cp:lastPrinted>2026-09-26T16:00:00Z</cp:lastPrinted>
  <dcterms:created xsi:type="dcterms:W3CDTF">2026-09-26T15:53:00Z</dcterms:created>
  <dcterms:modified xsi:type="dcterms:W3CDTF">2026-09-26T16:00:00Z</dcterms:modified>
</cp:coreProperties>
</file>