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2E75B6"/>
          <w:sz w:val="26"/>
          <w:szCs w:val="26"/>
        </w:rPr>
        <w:t xml:space="preserve">SERVICIO ANDALUZ DE SALUD</w:t>
      </w:r>
    </w:p>
    <w:p>
      <w:pPr>
        <w:spacing w:after="600"/>
        <w:jc w:val="center"/>
      </w:pPr>
      <w:r>
        <w:rPr>
          <w:color w:val="595959"/>
          <w:sz w:val="22"/>
          <w:szCs w:val="22"/>
        </w:rPr>
        <w:t xml:space="preserve">Técnico/a de Función Administrativa · Opción Sistemas de Información</w:t>
      </w:r>
    </w:p>
    <w:p>
      <w:pPr>
        <w:pBdr>
          <w:top w:val="single" w:color="1F3864" w:sz="12" w:space="12"/>
        </w:pBdr>
        <w:jc w:val="center"/>
      </w:pPr>
      <w:r>
        <w:rPr>
          <w:b/>
          <w:bCs/>
          <w:color w:val="1F3864"/>
          <w:sz w:val="64"/>
          <w:szCs w:val="64"/>
        </w:rPr>
        <w:t xml:space="preserve">TEMA 81</w:t>
      </w:r>
    </w:p>
    <w:p>
      <w:pPr>
        <w:spacing w:after="200" w:before="200"/>
        <w:jc w:val="center"/>
      </w:pPr>
      <w:r>
        <w:rPr>
          <w:color w:val="1F3864"/>
          <w:sz w:val="28"/>
          <w:szCs w:val="28"/>
        </w:rPr>
        <w:t xml:space="preserve">La protección jurídica de los programas de ordenador. Concepto de licencia de uso de software. La protección jurídica de las bases de datos. Legislación acerca del uso de Internet. El delito informático. Técnicas forenses.</w:t>
      </w:r>
    </w:p>
    <w:p>
      <w:pPr>
        <w:pBdr>
          <w:bottom w:val="single" w:color="1F3864" w:sz="12" w:space="12"/>
        </w:pBdr>
        <w:spacing w:after="800"/>
        <w:jc w:val="center"/>
      </w:pPr>
    </w:p>
    <w:p>
      <w:pPr>
        <w:jc w:val="center"/>
      </w:pPr>
      <w:r>
        <w:rPr>
          <w:i/>
          <w:iCs/>
          <w:sz w:val="22"/>
          <w:szCs w:val="22"/>
        </w:rPr>
        <w:t xml:space="preserve">Manual de estudio orientado al tipo test · Con análisis del banco de preguntas</w:t>
      </w:r>
    </w:p>
    <w:p>
      <w:pPr>
        <w:spacing w:before="1600"/>
        <w:jc w:val="center"/>
      </w:pPr>
      <w:r>
        <w:rPr>
          <w:b/>
          <w:bCs/>
          <w:sz w:val="22"/>
          <w:szCs w:val="22"/>
        </w:rPr>
        <w:t xml:space="preserve">Normativa vigente a 27 de septiembre de 2026</w:t>
      </w:r>
    </w:p>
    <w:p>
      <w:pPr>
        <w:jc w:val="center"/>
      </w:pPr>
      <w:r>
        <w:rPr>
          <w:sz w:val="22"/>
          <w:szCs w:val="22"/>
        </w:rPr>
        <w:t xml:space="preserve">OPE 2027</w:t>
      </w:r>
    </w:p>
    <w:p>
      <w:pPr>
        <w:pStyle w:val="Title"/>
        <w:pageBreakBefore/>
      </w:pPr>
      <w:r>
        <w:t xml:space="preserve">Índice</w:t>
      </w:r>
    </w:p>
    <w:p>
      <w:pPr>
        <w:tabs>
          <w:tab w:val="right" w:pos="9638" w:leader="dot"/>
        </w:tabs>
        <w:spacing w:after="30"/>
      </w:pPr>
      <w:r>
        <w:rPr>
          <w:sz w:val="19"/>
          <w:szCs w:val="19"/>
        </w:rPr>
        <w:t xml:space="preserve">1. Introducción	3</w:t>
      </w:r>
    </w:p>
    <w:p>
      <w:pPr>
        <w:tabs>
          <w:tab w:val="right" w:pos="9638" w:leader="dot"/>
        </w:tabs>
        <w:spacing w:after="30"/>
      </w:pPr>
      <w:r>
        <w:rPr>
          <w:sz w:val="19"/>
          <w:szCs w:val="19"/>
        </w:rPr>
        <w:t xml:space="preserve">2. Protección jurídica de los programas de ordenador	4</w:t>
      </w:r>
    </w:p>
    <w:p>
      <w:pPr>
        <w:tabs>
          <w:tab w:val="right" w:pos="9638" w:leader="dot"/>
        </w:tabs>
        <w:spacing w:after="30"/>
      </w:pPr>
      <w:r>
        <w:rPr>
          <w:sz w:val="19"/>
          <w:szCs w:val="19"/>
        </w:rPr>
        <w:t xml:space="preserve">3. La Ley de Propiedad Intelectual (RDL 1/1996)	6</w:t>
      </w:r>
    </w:p>
    <w:p>
      <w:pPr>
        <w:tabs>
          <w:tab w:val="right" w:pos="9638" w:leader="dot"/>
        </w:tabs>
        <w:spacing w:after="30"/>
      </w:pPr>
      <w:r>
        <w:rPr>
          <w:sz w:val="19"/>
          <w:szCs w:val="19"/>
        </w:rPr>
        <w:t xml:space="preserve">4. Autoría y titularidad del software	7</w:t>
      </w:r>
    </w:p>
    <w:p>
      <w:pPr>
        <w:tabs>
          <w:tab w:val="right" w:pos="9638" w:leader="dot"/>
        </w:tabs>
        <w:spacing w:after="30"/>
      </w:pPr>
      <w:r>
        <w:rPr>
          <w:sz w:val="19"/>
          <w:szCs w:val="19"/>
        </w:rPr>
        <w:t xml:space="preserve">5. Derechos sobre el software	8</w:t>
      </w:r>
    </w:p>
    <w:p>
      <w:pPr>
        <w:tabs>
          <w:tab w:val="right" w:pos="9638" w:leader="dot"/>
        </w:tabs>
        <w:spacing w:after="30"/>
      </w:pPr>
      <w:r>
        <w:rPr>
          <w:sz w:val="19"/>
          <w:szCs w:val="19"/>
        </w:rPr>
        <w:t xml:space="preserve">6. La licencia de uso de software	9</w:t>
      </w:r>
    </w:p>
    <w:p>
      <w:pPr>
        <w:tabs>
          <w:tab w:val="right" w:pos="9638" w:leader="dot"/>
        </w:tabs>
        <w:spacing w:after="30"/>
      </w:pPr>
      <w:r>
        <w:rPr>
          <w:sz w:val="19"/>
          <w:szCs w:val="19"/>
        </w:rPr>
        <w:t xml:space="preserve">7. Tipos de licencias de software	11</w:t>
      </w:r>
    </w:p>
    <w:p>
      <w:pPr>
        <w:tabs>
          <w:tab w:val="right" w:pos="9638" w:leader="dot"/>
        </w:tabs>
        <w:spacing w:after="30"/>
      </w:pPr>
      <w:r>
        <w:rPr>
          <w:sz w:val="19"/>
          <w:szCs w:val="19"/>
        </w:rPr>
        <w:t xml:space="preserve">8. Licencias de software libre y open source	12</w:t>
      </w:r>
    </w:p>
    <w:p>
      <w:pPr>
        <w:tabs>
          <w:tab w:val="right" w:pos="9638" w:leader="dot"/>
        </w:tabs>
        <w:spacing w:after="30"/>
      </w:pPr>
      <w:r>
        <w:rPr>
          <w:sz w:val="19"/>
          <w:szCs w:val="19"/>
        </w:rPr>
        <w:t xml:space="preserve">9. Ingeniería inversa y descompilación	14</w:t>
      </w:r>
    </w:p>
    <w:p>
      <w:pPr>
        <w:tabs>
          <w:tab w:val="right" w:pos="9638" w:leader="dot"/>
        </w:tabs>
        <w:spacing w:after="30"/>
      </w:pPr>
      <w:r>
        <w:rPr>
          <w:sz w:val="19"/>
          <w:szCs w:val="19"/>
        </w:rPr>
        <w:t xml:space="preserve">10. Protección jurídica de las bases de datos	14</w:t>
      </w:r>
    </w:p>
    <w:p>
      <w:pPr>
        <w:tabs>
          <w:tab w:val="right" w:pos="9638" w:leader="dot"/>
        </w:tabs>
        <w:spacing w:after="30"/>
      </w:pPr>
      <w:r>
        <w:rPr>
          <w:sz w:val="19"/>
          <w:szCs w:val="19"/>
        </w:rPr>
        <w:t xml:space="preserve">11. Bases de datos y protección de datos personales	16</w:t>
      </w:r>
    </w:p>
    <w:p>
      <w:pPr>
        <w:tabs>
          <w:tab w:val="right" w:pos="9638" w:leader="dot"/>
        </w:tabs>
        <w:spacing w:after="30"/>
      </w:pPr>
      <w:r>
        <w:rPr>
          <w:sz w:val="19"/>
          <w:szCs w:val="19"/>
        </w:rPr>
        <w:t xml:space="preserve">12. Legislación sobre el uso de Internet	17</w:t>
      </w:r>
    </w:p>
    <w:p>
      <w:pPr>
        <w:tabs>
          <w:tab w:val="right" w:pos="9638" w:leader="dot"/>
        </w:tabs>
        <w:spacing w:after="30"/>
      </w:pPr>
      <w:r>
        <w:rPr>
          <w:sz w:val="19"/>
          <w:szCs w:val="19"/>
        </w:rPr>
        <w:t xml:space="preserve">13. La LSSI (Ley 34/2002)	18</w:t>
      </w:r>
    </w:p>
    <w:p>
      <w:pPr>
        <w:tabs>
          <w:tab w:val="right" w:pos="9638" w:leader="dot"/>
        </w:tabs>
        <w:spacing w:after="30"/>
      </w:pPr>
      <w:r>
        <w:rPr>
          <w:sz w:val="19"/>
          <w:szCs w:val="19"/>
        </w:rPr>
        <w:t xml:space="preserve">14. Comercio electrónico y contratación electrónica	20</w:t>
      </w:r>
    </w:p>
    <w:p>
      <w:pPr>
        <w:tabs>
          <w:tab w:val="right" w:pos="9638" w:leader="dot"/>
        </w:tabs>
        <w:spacing w:after="30"/>
      </w:pPr>
      <w:r>
        <w:rPr>
          <w:sz w:val="19"/>
          <w:szCs w:val="19"/>
        </w:rPr>
        <w:t xml:space="preserve">15. Cookies y tecnologías de seguimiento	20</w:t>
      </w:r>
    </w:p>
    <w:p>
      <w:pPr>
        <w:tabs>
          <w:tab w:val="right" w:pos="9638" w:leader="dot"/>
        </w:tabs>
        <w:spacing w:after="30"/>
      </w:pPr>
      <w:r>
        <w:rPr>
          <w:sz w:val="19"/>
          <w:szCs w:val="19"/>
        </w:rPr>
        <w:t xml:space="preserve">16. Protección de datos en Internet	21</w:t>
      </w:r>
    </w:p>
    <w:p>
      <w:pPr>
        <w:tabs>
          <w:tab w:val="right" w:pos="9638" w:leader="dot"/>
        </w:tabs>
        <w:spacing w:after="30"/>
      </w:pPr>
      <w:r>
        <w:rPr>
          <w:sz w:val="19"/>
          <w:szCs w:val="19"/>
        </w:rPr>
        <w:t xml:space="preserve">17. Firma electrónica y servicios de confianza	22</w:t>
      </w:r>
    </w:p>
    <w:p>
      <w:pPr>
        <w:tabs>
          <w:tab w:val="right" w:pos="9638" w:leader="dot"/>
        </w:tabs>
        <w:spacing w:after="30"/>
      </w:pPr>
      <w:r>
        <w:rPr>
          <w:sz w:val="19"/>
          <w:szCs w:val="19"/>
        </w:rPr>
        <w:t xml:space="preserve">18. El delito informático	23</w:t>
      </w:r>
    </w:p>
    <w:p>
      <w:pPr>
        <w:tabs>
          <w:tab w:val="right" w:pos="9638" w:leader="dot"/>
        </w:tabs>
        <w:spacing w:after="30"/>
      </w:pPr>
      <w:r>
        <w:rPr>
          <w:sz w:val="19"/>
          <w:szCs w:val="19"/>
        </w:rPr>
        <w:t xml:space="preserve">19. El Código Penal y los delitos informáticos	23</w:t>
      </w:r>
    </w:p>
    <w:p>
      <w:pPr>
        <w:tabs>
          <w:tab w:val="right" w:pos="9638" w:leader="dot"/>
        </w:tabs>
        <w:spacing w:after="30"/>
      </w:pPr>
      <w:r>
        <w:rPr>
          <w:sz w:val="19"/>
          <w:szCs w:val="19"/>
        </w:rPr>
        <w:t xml:space="preserve">20. Delitos contra la intimidad	25</w:t>
      </w:r>
    </w:p>
    <w:p>
      <w:pPr>
        <w:tabs>
          <w:tab w:val="right" w:pos="9638" w:leader="dot"/>
        </w:tabs>
        <w:spacing w:after="30"/>
      </w:pPr>
      <w:r>
        <w:rPr>
          <w:sz w:val="19"/>
          <w:szCs w:val="19"/>
        </w:rPr>
        <w:t xml:space="preserve">21. Daños informáticos	26</w:t>
      </w:r>
    </w:p>
    <w:p>
      <w:pPr>
        <w:tabs>
          <w:tab w:val="right" w:pos="9638" w:leader="dot"/>
        </w:tabs>
        <w:spacing w:after="30"/>
      </w:pPr>
      <w:r>
        <w:rPr>
          <w:sz w:val="19"/>
          <w:szCs w:val="19"/>
        </w:rPr>
        <w:t xml:space="preserve">22. Fraude y estafa informática	26</w:t>
      </w:r>
    </w:p>
    <w:p>
      <w:pPr>
        <w:tabs>
          <w:tab w:val="right" w:pos="9638" w:leader="dot"/>
        </w:tabs>
        <w:spacing w:after="30"/>
      </w:pPr>
      <w:r>
        <w:rPr>
          <w:sz w:val="19"/>
          <w:szCs w:val="19"/>
        </w:rPr>
        <w:t xml:space="preserve">23. Propiedad intelectual, piratería y delito	27</w:t>
      </w:r>
    </w:p>
    <w:p>
      <w:pPr>
        <w:tabs>
          <w:tab w:val="right" w:pos="9638" w:leader="dot"/>
        </w:tabs>
        <w:spacing w:after="30"/>
      </w:pPr>
      <w:r>
        <w:rPr>
          <w:sz w:val="19"/>
          <w:szCs w:val="19"/>
        </w:rPr>
        <w:t xml:space="preserve">24. El Convenio de Budapest sobre la Ciberdelincuencia	28</w:t>
      </w:r>
    </w:p>
    <w:p>
      <w:pPr>
        <w:tabs>
          <w:tab w:val="right" w:pos="9638" w:leader="dot"/>
        </w:tabs>
        <w:spacing w:after="30"/>
      </w:pPr>
      <w:r>
        <w:rPr>
          <w:sz w:val="19"/>
          <w:szCs w:val="19"/>
        </w:rPr>
        <w:t xml:space="preserve">25. Prueba digital	29</w:t>
      </w:r>
    </w:p>
    <w:p>
      <w:pPr>
        <w:tabs>
          <w:tab w:val="right" w:pos="9638" w:leader="dot"/>
        </w:tabs>
        <w:spacing w:after="30"/>
      </w:pPr>
      <w:r>
        <w:rPr>
          <w:sz w:val="19"/>
          <w:szCs w:val="19"/>
        </w:rPr>
        <w:t xml:space="preserve">26. Cadena de custodia	30</w:t>
      </w:r>
    </w:p>
    <w:p>
      <w:pPr>
        <w:tabs>
          <w:tab w:val="right" w:pos="9638" w:leader="dot"/>
        </w:tabs>
        <w:spacing w:after="30"/>
      </w:pPr>
      <w:r>
        <w:rPr>
          <w:sz w:val="19"/>
          <w:szCs w:val="19"/>
        </w:rPr>
        <w:t xml:space="preserve">27. Informática forense	30</w:t>
      </w:r>
    </w:p>
    <w:p>
      <w:pPr>
        <w:tabs>
          <w:tab w:val="right" w:pos="9638" w:leader="dot"/>
        </w:tabs>
        <w:spacing w:after="30"/>
      </w:pPr>
      <w:r>
        <w:rPr>
          <w:sz w:val="19"/>
          <w:szCs w:val="19"/>
        </w:rPr>
        <w:t xml:space="preserve">28. Fases del análisis forense	31</w:t>
      </w:r>
    </w:p>
    <w:p>
      <w:pPr>
        <w:tabs>
          <w:tab w:val="right" w:pos="9638" w:leader="dot"/>
        </w:tabs>
        <w:spacing w:after="30"/>
      </w:pPr>
      <w:r>
        <w:rPr>
          <w:sz w:val="19"/>
          <w:szCs w:val="19"/>
        </w:rPr>
        <w:t xml:space="preserve">29. Adquisición forense	32</w:t>
      </w:r>
    </w:p>
    <w:p>
      <w:pPr>
        <w:tabs>
          <w:tab w:val="right" w:pos="9638" w:leader="dot"/>
        </w:tabs>
        <w:spacing w:after="30"/>
      </w:pPr>
      <w:r>
        <w:rPr>
          <w:sz w:val="19"/>
          <w:szCs w:val="19"/>
        </w:rPr>
        <w:t xml:space="preserve">30. Funciones hash e integridad	33</w:t>
      </w:r>
    </w:p>
    <w:p>
      <w:pPr>
        <w:tabs>
          <w:tab w:val="right" w:pos="9638" w:leader="dot"/>
        </w:tabs>
        <w:spacing w:after="30"/>
      </w:pPr>
      <w:r>
        <w:rPr>
          <w:sz w:val="19"/>
          <w:szCs w:val="19"/>
        </w:rPr>
        <w:t xml:space="preserve">31. Forensia de sistemas	34</w:t>
      </w:r>
    </w:p>
    <w:p>
      <w:pPr>
        <w:tabs>
          <w:tab w:val="right" w:pos="9638" w:leader="dot"/>
        </w:tabs>
        <w:spacing w:after="30"/>
      </w:pPr>
      <w:r>
        <w:rPr>
          <w:sz w:val="19"/>
          <w:szCs w:val="19"/>
        </w:rPr>
        <w:t xml:space="preserve">32. Forensia de redes	35</w:t>
      </w:r>
    </w:p>
    <w:p>
      <w:pPr>
        <w:tabs>
          <w:tab w:val="right" w:pos="9638" w:leader="dot"/>
        </w:tabs>
        <w:spacing w:after="30"/>
      </w:pPr>
      <w:r>
        <w:rPr>
          <w:sz w:val="19"/>
          <w:szCs w:val="19"/>
        </w:rPr>
        <w:t xml:space="preserve">33. Forensia de dispositivos móviles	35</w:t>
      </w:r>
    </w:p>
    <w:p>
      <w:pPr>
        <w:tabs>
          <w:tab w:val="right" w:pos="9638" w:leader="dot"/>
        </w:tabs>
        <w:spacing w:after="30"/>
      </w:pPr>
      <w:r>
        <w:rPr>
          <w:sz w:val="19"/>
          <w:szCs w:val="19"/>
        </w:rPr>
        <w:t xml:space="preserve">34. Forensia en la nube	36</w:t>
      </w:r>
    </w:p>
    <w:p>
      <w:pPr>
        <w:tabs>
          <w:tab w:val="right" w:pos="9638" w:leader="dot"/>
        </w:tabs>
        <w:spacing w:after="30"/>
      </w:pPr>
      <w:r>
        <w:rPr>
          <w:sz w:val="19"/>
          <w:szCs w:val="19"/>
        </w:rPr>
        <w:t xml:space="preserve">35. Forensia del correo electrónico	36</w:t>
      </w:r>
    </w:p>
    <w:p>
      <w:pPr>
        <w:tabs>
          <w:tab w:val="right" w:pos="9638" w:leader="dot"/>
        </w:tabs>
        <w:spacing w:after="30"/>
      </w:pPr>
      <w:r>
        <w:rPr>
          <w:sz w:val="19"/>
          <w:szCs w:val="19"/>
        </w:rPr>
        <w:t xml:space="preserve">36. Forensia web y de navegadores	37</w:t>
      </w:r>
    </w:p>
    <w:p>
      <w:pPr>
        <w:tabs>
          <w:tab w:val="right" w:pos="9638" w:leader="dot"/>
        </w:tabs>
        <w:spacing w:after="30"/>
      </w:pPr>
      <w:r>
        <w:rPr>
          <w:sz w:val="19"/>
          <w:szCs w:val="19"/>
        </w:rPr>
        <w:t xml:space="preserve">37. Estándares y metodologías forenses	37</w:t>
      </w:r>
    </w:p>
    <w:p>
      <w:pPr>
        <w:tabs>
          <w:tab w:val="right" w:pos="9638" w:leader="dot"/>
        </w:tabs>
        <w:spacing w:after="30"/>
      </w:pPr>
      <w:r>
        <w:rPr>
          <w:sz w:val="19"/>
          <w:szCs w:val="19"/>
        </w:rPr>
        <w:t xml:space="preserve">38. Herramientas forenses	38</w:t>
      </w:r>
    </w:p>
    <w:p>
      <w:pPr>
        <w:tabs>
          <w:tab w:val="right" w:pos="9638" w:leader="dot"/>
        </w:tabs>
        <w:spacing w:after="30"/>
      </w:pPr>
      <w:r>
        <w:rPr>
          <w:sz w:val="19"/>
          <w:szCs w:val="19"/>
        </w:rPr>
        <w:t xml:space="preserve">39. Línea temporal (timeline) forense	38</w:t>
      </w:r>
    </w:p>
    <w:p>
      <w:pPr>
        <w:tabs>
          <w:tab w:val="right" w:pos="9638" w:leader="dot"/>
        </w:tabs>
        <w:spacing w:after="30"/>
      </w:pPr>
      <w:r>
        <w:rPr>
          <w:sz w:val="19"/>
          <w:szCs w:val="19"/>
        </w:rPr>
        <w:t xml:space="preserve">40. El malware desde la perspectiva forense	38</w:t>
      </w:r>
    </w:p>
    <w:p>
      <w:pPr>
        <w:tabs>
          <w:tab w:val="right" w:pos="9638" w:leader="dot"/>
        </w:tabs>
        <w:spacing w:after="30"/>
      </w:pPr>
      <w:r>
        <w:rPr>
          <w:sz w:val="19"/>
          <w:szCs w:val="19"/>
        </w:rPr>
        <w:t xml:space="preserve">41. El informe forense	39</w:t>
      </w:r>
    </w:p>
    <w:p>
      <w:pPr>
        <w:tabs>
          <w:tab w:val="right" w:pos="9638" w:leader="dot"/>
        </w:tabs>
        <w:spacing w:after="30"/>
      </w:pPr>
      <w:r>
        <w:rPr>
          <w:sz w:val="19"/>
          <w:szCs w:val="19"/>
        </w:rPr>
        <w:t xml:space="preserve">42. Informática forense en la Administración Pública	39</w:t>
      </w:r>
    </w:p>
    <w:p>
      <w:pPr>
        <w:tabs>
          <w:tab w:val="right" w:pos="9638" w:leader="dot"/>
        </w:tabs>
        <w:spacing w:after="30"/>
      </w:pPr>
      <w:r>
        <w:rPr>
          <w:sz w:val="19"/>
          <w:szCs w:val="19"/>
        </w:rPr>
        <w:t xml:space="preserve">43. Contexto sanitario y SAS	40</w:t>
      </w:r>
    </w:p>
    <w:p>
      <w:pPr>
        <w:tabs>
          <w:tab w:val="right" w:pos="9638" w:leader="dot"/>
        </w:tabs>
        <w:spacing w:after="30"/>
      </w:pPr>
      <w:r>
        <w:rPr>
          <w:sz w:val="19"/>
          <w:szCs w:val="19"/>
        </w:rPr>
        <w:t xml:space="preserve">44. Tablas comparativas para el tipo test	42</w:t>
      </w:r>
    </w:p>
    <w:p>
      <w:pPr>
        <w:tabs>
          <w:tab w:val="right" w:pos="9638" w:leader="dot"/>
        </w:tabs>
        <w:spacing w:after="30"/>
      </w:pPr>
      <w:r>
        <w:rPr>
          <w:sz w:val="19"/>
          <w:szCs w:val="19"/>
        </w:rPr>
        <w:t xml:space="preserve">45. Claves para el examen	43</w:t>
      </w:r>
    </w:p>
    <w:p>
      <w:pPr>
        <w:tabs>
          <w:tab w:val="right" w:pos="9638" w:leader="dot"/>
        </w:tabs>
        <w:spacing w:after="30"/>
      </w:pPr>
      <w:r>
        <w:rPr>
          <w:sz w:val="19"/>
          <w:szCs w:val="19"/>
        </w:rPr>
        <w:t xml:space="preserve">46. Análisis de las preguntas de exámenes anteriores	45</w:t>
      </w:r>
    </w:p>
    <w:p>
      <w:pPr>
        <w:tabs>
          <w:tab w:val="right" w:pos="9638" w:leader="dot"/>
        </w:tabs>
        <w:spacing w:after="30"/>
      </w:pPr>
      <w:r>
        <w:rPr>
          <w:sz w:val="19"/>
          <w:szCs w:val="19"/>
        </w:rPr>
        <w:t xml:space="preserve">47. Matriz de cobertura	49</w:t>
      </w:r>
    </w:p>
    <w:p>
      <w:pPr>
        <w:tabs>
          <w:tab w:val="right" w:pos="9638" w:leader="dot"/>
        </w:tabs>
        <w:spacing w:after="30"/>
      </w:pPr>
      <w:r>
        <w:rPr>
          <w:sz w:val="19"/>
          <w:szCs w:val="19"/>
        </w:rPr>
        <w:t xml:space="preserve">48. Resumen de alto rendimiento (repaso de última hora)	50</w:t>
      </w:r>
    </w:p>
    <w:p>
      <w:pPr>
        <w:tabs>
          <w:tab w:val="right" w:pos="9638" w:leader="dot"/>
        </w:tabs>
        <w:spacing w:after="30"/>
      </w:pPr>
      <w:r>
        <w:rPr>
          <w:sz w:val="19"/>
          <w:szCs w:val="19"/>
        </w:rPr>
        <w:t xml:space="preserve">49. Bibliografía y fuentes	51</w:t>
      </w:r>
    </w:p>
    <w:p>
      <w:pPr>
        <w:tabs>
          <w:tab w:val="right" w:pos="9638" w:leader="dot"/>
        </w:tabs>
        <w:spacing w:after="30"/>
      </w:pPr>
      <w:r>
        <w:rPr>
          <w:sz w:val="19"/>
          <w:szCs w:val="19"/>
        </w:rPr>
        <w:t xml:space="preserve">50. Informe final de calidad	52</w:t>
      </w:r>
    </w:p>
    <w:p>
      <w:pPr>
        <w:pStyle w:val="Heading1"/>
        <w:keepNext/>
        <w:pageBreakBefore/>
        <w:spacing w:after="200" w:before="360"/>
      </w:pPr>
      <w:r>
        <w:t xml:space="preserve">1. Introducción</w:t>
      </w:r>
    </w:p>
    <w:p>
      <w:pPr>
        <w:spacing w:after="120"/>
        <w:jc w:val="both"/>
      </w:pPr>
      <w:r>
        <w:t xml:space="preserve">El Tema 81 del programa de </w:t>
      </w:r>
      <w:r>
        <w:rPr>
          <w:b/>
          <w:bCs/>
        </w:rPr>
        <w:t xml:space="preserve">Técnico/a de Función Administrativa – opción Sistemas de Información</w:t>
      </w:r>
      <w:r>
        <w:t xml:space="preserve"> del Servicio Andaluz de Salud reúne seis bloques que en la práctica pertenecen a disciplinas distintas: la </w:t>
      </w:r>
      <w:r>
        <w:rPr>
          <w:b/>
          <w:bCs/>
        </w:rPr>
        <w:t xml:space="preserve">propiedad intelectual del software</w:t>
      </w:r>
      <w:r>
        <w:t xml:space="preserve">, el </w:t>
      </w:r>
      <w:r>
        <w:rPr>
          <w:b/>
          <w:bCs/>
        </w:rPr>
        <w:t xml:space="preserve">contrato de licencia</w:t>
      </w:r>
      <w:r>
        <w:t xml:space="preserve">, la </w:t>
      </w:r>
      <w:r>
        <w:rPr>
          <w:b/>
          <w:bCs/>
        </w:rPr>
        <w:t xml:space="preserve">protección de las bases de datos</w:t>
      </w:r>
      <w:r>
        <w:t xml:space="preserve">, el </w:t>
      </w:r>
      <w:r>
        <w:rPr>
          <w:b/>
          <w:bCs/>
        </w:rPr>
        <w:t xml:space="preserve">marco normativo de Internet</w:t>
      </w:r>
      <w:r>
        <w:t xml:space="preserve">, el </w:t>
      </w:r>
      <w:r>
        <w:rPr>
          <w:b/>
          <w:bCs/>
        </w:rPr>
        <w:t xml:space="preserve">Derecho penal informático</w:t>
      </w:r>
      <w:r>
        <w:t xml:space="preserve"> y la </w:t>
      </w:r>
      <w:r>
        <w:rPr>
          <w:b/>
          <w:bCs/>
        </w:rPr>
        <w:t xml:space="preserve">informática forense</w:t>
      </w:r>
      <w:r>
        <w:t xml:space="preserve">. El hilo conductor es sencillo: los sistemas de información generan activos jurídicamente protegidos (programas, bases de datos, datos personales), se explotan a través de redes sometidas a regulación (Internet, comercio electrónico, servicios de confianza), pueden ser objeto o instrumento de delitos y, cuando algo ocurre, hay que reconstruir los hechos con garantías (forensia y prueba digital).</w:t>
      </w:r>
    </w:p>
    <w:p>
      <w:pPr>
        <w:spacing w:after="120"/>
        <w:jc w:val="both"/>
      </w:pPr>
      <w:r>
        <w:t xml:space="preserve">Este documento está redactado a fecha </w:t>
      </w:r>
      <w:r>
        <w:rPr>
          <w:b/>
          <w:bCs/>
        </w:rPr>
        <w:t xml:space="preserve">27 de septiembre de 2026</w:t>
      </w:r>
      <w:r>
        <w:t xml:space="preserve"> y trabaja con el Derecho vigente en esa fecha. Cuando una pregunta de examen se apoya en normativa histórica o dudosa se advierte expresamente. Se distinguen en todo momento </w:t>
      </w:r>
      <w:r>
        <w:rPr>
          <w:b/>
          <w:bCs/>
        </w:rPr>
        <w:t xml:space="preserve">ley</w:t>
      </w:r>
      <w:r>
        <w:t xml:space="preserve">, </w:t>
      </w:r>
      <w:r>
        <w:rPr>
          <w:b/>
          <w:bCs/>
        </w:rPr>
        <w:t xml:space="preserve">jurisprudencia</w:t>
      </w:r>
      <w:r>
        <w:t xml:space="preserve">, </w:t>
      </w:r>
      <w:r>
        <w:rPr>
          <w:b/>
          <w:bCs/>
        </w:rPr>
        <w:t xml:space="preserve">doctrina</w:t>
      </w:r>
      <w:r>
        <w:t xml:space="preserve"> y </w:t>
      </w:r>
      <w:r>
        <w:rPr>
          <w:b/>
          <w:bCs/>
        </w:rPr>
        <w:t xml:space="preserve">estándares técnicos</w:t>
      </w:r>
      <w:r>
        <w:t xml:space="preserve">, porque en el test suelen mezclarse como distractores.</w:t>
      </w:r>
    </w:p>
    <w:p>
      <w:pPr>
        <w:spacing w:after="80"/>
        <w:jc w:val="center"/>
      </w:pPr>
      <w:r>
        <w:rPr>
          <w:b/>
          <w:bCs/>
          <w:color w:val="1F3864"/>
          <w:sz w:val="20"/>
          <w:szCs w:val="20"/>
        </w:rPr>
        <w:t xml:space="preserve">Mapa conceptual del tema</w:t>
      </w:r>
    </w:p>
    <w:tbl>
      <w:tblPr>
        <w:tblW w:type="dxa" w:w="9996"/>
        <w:jc w:val="center"/>
        <w:tblBorders>
          <w:top w:val="single" w:color="auto" w:sz="4"/>
          <w:left w:val="single" w:color="auto" w:sz="4"/>
          <w:bottom w:val="single" w:color="auto" w:sz="4"/>
          <w:right w:val="single" w:color="auto" w:sz="4"/>
          <w:insideH w:val="single" w:color="auto" w:sz="4"/>
          <w:insideV w:val="single" w:color="auto" w:sz="4"/>
        </w:tblBorders>
      </w:tblPr>
      <w:tblGrid>
        <w:gridCol w:w="2972"/>
        <w:gridCol w:w="360"/>
        <w:gridCol w:w="2972"/>
        <w:gridCol w:w="360"/>
        <w:gridCol w:w="2972"/>
        <w:gridCol w:w="360"/>
      </w:tblGrid>
      <w:tr>
        <w:tc>
          <w:tcPr>
            <w:tcW w:type="dxa" w:w="2972"/>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Software / BD (objeto protegido)</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972"/>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Derechos (LPI, sui generis, patente)</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972"/>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Licencia (título de uso)</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r>
    </w:tbl>
    <w:p>
      <w:pPr>
        <w:spacing w:after="60"/>
      </w:pP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Pr>
      <w:tblGrid>
        <w:gridCol w:w="2972"/>
        <w:gridCol w:w="360"/>
        <w:gridCol w:w="2972"/>
        <w:gridCol w:w="360"/>
        <w:gridCol w:w="2972"/>
      </w:tblGrid>
      <w:tr>
        <w:tc>
          <w:tcPr>
            <w:tcW w:type="dxa" w:w="2972"/>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Uso autorizado en Internet (LSSI, RGPD, eIDAS)</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972"/>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Uso ilícito → delito (CP)</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972"/>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Reconstrucción → forensia y prueba</w:t>
            </w:r>
          </w:p>
        </w:tc>
      </w:tr>
    </w:tbl>
    <w:p>
      <w:pPr>
        <w:spacing w:after="60"/>
      </w:pPr>
    </w:p>
    <w:p>
      <w:pPr>
        <w:pStyle w:val="Heading2"/>
        <w:keepNext/>
      </w:pPr>
      <w:r>
        <w:t xml:space="preserve">1.1 Análisis previo del banco de preguntas (CSV)</w:t>
      </w:r>
    </w:p>
    <w:p>
      <w:pPr>
        <w:spacing w:after="120"/>
        <w:jc w:val="both"/>
      </w:pPr>
      <w:r>
        <w:t xml:space="preserve">El CSV facilitado contiene </w:t>
      </w:r>
      <w:r>
        <w:rPr>
          <w:b/>
          <w:bCs/>
        </w:rPr>
        <w:t xml:space="preserve">7 preguntas</w:t>
      </w:r>
      <w:r>
        <w:t xml:space="preserve"> (IDs 190, 435, 585, 918, 1212, 1242 y 1311). No hay preguntas repetidas ni prácticamente idénticas, aunque </w:t>
      </w:r>
      <w:r>
        <w:rPr>
          <w:b/>
          <w:bCs/>
        </w:rPr>
        <w:t xml:space="preserve">1212, 1242 y 1311 giran sobre el mismo eje</w:t>
      </w:r>
      <w:r>
        <w:t xml:space="preserve">: la relación entre </w:t>
      </w:r>
      <w:r>
        <w:rPr>
          <w:b/>
          <w:bCs/>
        </w:rPr>
        <w:t xml:space="preserve">derecho de autor y patente</w:t>
      </w:r>
      <w:r>
        <w:t xml:space="preserve"> en el software. Distribución por bloques: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48"/>
        <w:gridCol w:w="2224"/>
        <w:gridCol w:w="2966"/>
      </w:tblGrid>
      <w:tr>
        <w:trPr>
          <w:tblHeader/>
        </w:trPr>
        <w:tc>
          <w:tcPr>
            <w:tcW w:type="dxa" w:w="444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Bloque del tema</w:t>
            </w:r>
          </w:p>
        </w:tc>
        <w:tc>
          <w:tcPr>
            <w:tcW w:type="dxa" w:w="222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Preguntas</w:t>
            </w:r>
          </w:p>
        </w:tc>
        <w:tc>
          <w:tcPr>
            <w:tcW w:type="dxa" w:w="296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Peso en el CSV</w:t>
            </w:r>
          </w:p>
        </w:tc>
      </w:tr>
      <w:tr>
        <w:trPr>
          <w:cantSplit/>
        </w:trPr>
        <w:tc>
          <w:tcPr>
            <w:tcW w:type="dxa" w:w="44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Protección jurídica del software (PI vs. patente)</w:t>
            </w:r>
          </w:p>
        </w:tc>
        <w:tc>
          <w:tcPr>
            <w:tcW w:type="dxa" w:w="22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1212, 1242, 1311</w:t>
            </w:r>
          </w:p>
        </w:tc>
        <w:tc>
          <w:tcPr>
            <w:tcW w:type="dxa" w:w="29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3/7 (43 %)</w:t>
            </w:r>
          </w:p>
        </w:tc>
      </w:tr>
      <w:tr>
        <w:trPr>
          <w:cantSplit/>
        </w:trPr>
        <w:tc>
          <w:tcPr>
            <w:tcW w:type="dxa" w:w="444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Licencias de uso</w:t>
            </w:r>
          </w:p>
        </w:tc>
        <w:tc>
          <w:tcPr>
            <w:tcW w:type="dxa" w:w="222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190</w:t>
            </w:r>
          </w:p>
        </w:tc>
        <w:tc>
          <w:tcPr>
            <w:tcW w:type="dxa" w:w="29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1/7 (14 %)</w:t>
            </w:r>
          </w:p>
        </w:tc>
      </w:tr>
      <w:tr>
        <w:trPr>
          <w:cantSplit/>
        </w:trPr>
        <w:tc>
          <w:tcPr>
            <w:tcW w:type="dxa" w:w="44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Bases de datos (derecho sui generis)</w:t>
            </w:r>
          </w:p>
        </w:tc>
        <w:tc>
          <w:tcPr>
            <w:tcW w:type="dxa" w:w="22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435</w:t>
            </w:r>
          </w:p>
        </w:tc>
        <w:tc>
          <w:tcPr>
            <w:tcW w:type="dxa" w:w="29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1/7 (14 %)</w:t>
            </w:r>
          </w:p>
        </w:tc>
      </w:tr>
      <w:tr>
        <w:trPr>
          <w:cantSplit/>
        </w:trPr>
        <w:tc>
          <w:tcPr>
            <w:tcW w:type="dxa" w:w="444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Informática forense</w:t>
            </w:r>
          </w:p>
        </w:tc>
        <w:tc>
          <w:tcPr>
            <w:tcW w:type="dxa" w:w="222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585, 918</w:t>
            </w:r>
          </w:p>
        </w:tc>
        <w:tc>
          <w:tcPr>
            <w:tcW w:type="dxa" w:w="29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2/7 (29 %)</w:t>
            </w:r>
          </w:p>
        </w:tc>
      </w:tr>
      <w:tr>
        <w:trPr>
          <w:cantSplit/>
        </w:trPr>
        <w:tc>
          <w:tcPr>
            <w:tcW w:type="dxa" w:w="44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Legislación de Internet / delito informático</w:t>
            </w:r>
          </w:p>
        </w:tc>
        <w:tc>
          <w:tcPr>
            <w:tcW w:type="dxa" w:w="22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w:t>
            </w:r>
          </w:p>
        </w:tc>
        <w:tc>
          <w:tcPr>
            <w:tcW w:type="dxa" w:w="29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0/7 (no preguntado en este banco, pero exigible por el programa)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spacing w:after="60"/>
              <w:jc w:val="both"/>
            </w:pPr>
            <w:r>
              <w:rPr>
                <w:b/>
                <w:bCs/>
                <w:sz w:val="19"/>
                <w:szCs w:val="19"/>
              </w:rPr>
              <w:t xml:space="preserve">Hallazgos del análisis del CSV que debes conocer antes de estudiar:</w:t>
            </w:r>
          </w:p>
          <w:p>
            <w:pPr>
              <w:pStyle w:val="ListParagraph"/>
              <w:numPr>
                <w:ilvl w:val="0"/>
                <w:numId w:val="2"/>
              </w:numPr>
              <w:spacing w:after="40"/>
            </w:pPr>
            <w:r>
              <w:rPr>
                <w:b/>
                <w:bCs/>
                <w:sz w:val="19"/>
                <w:szCs w:val="19"/>
              </w:rPr>
              <w:t xml:space="preserve">ID 435</w:t>
            </w:r>
            <w:r>
              <w:rPr>
                <w:sz w:val="19"/>
                <w:szCs w:val="19"/>
              </w:rPr>
              <w:t xml:space="preserve">: la clave del CSV marca «No se referencia al derecho sui géneris», pero el texto vigente de la LPI dedica expresamente su </w:t>
            </w:r>
            <w:r>
              <w:rPr>
                <w:b/>
                <w:bCs/>
                <w:sz w:val="19"/>
                <w:szCs w:val="19"/>
              </w:rPr>
              <w:t xml:space="preserve">Título VIII del Libro II (arts. 133-137)</w:t>
            </w:r>
            <w:r>
              <w:rPr>
                <w:sz w:val="19"/>
                <w:szCs w:val="19"/>
              </w:rPr>
              <w:t xml:space="preserve"> al «Derecho </w:t>
            </w:r>
            <w:r>
              <w:rPr>
                <w:i/>
                <w:iCs/>
                <w:sz w:val="19"/>
                <w:szCs w:val="19"/>
              </w:rPr>
              <w:t xml:space="preserve">sui generis</w:t>
            </w:r>
            <w:r>
              <w:rPr>
                <w:sz w:val="19"/>
                <w:szCs w:val="19"/>
              </w:rPr>
              <w:t xml:space="preserve"> sobre las bases de datos». La respuesta jurídicamente correcta es </w:t>
            </w:r>
            <w:r>
              <w:rPr>
                <w:b/>
                <w:bCs/>
                <w:sz w:val="19"/>
                <w:szCs w:val="19"/>
              </w:rPr>
              <w:t xml:space="preserve">«Base de datos»</w:t>
            </w:r>
            <w:r>
              <w:rPr>
                <w:sz w:val="19"/>
                <w:szCs w:val="19"/>
              </w:rPr>
              <w:t xml:space="preserve">. Se analiza en el apartado 46.</w:t>
            </w:r>
          </w:p>
          <w:p>
            <w:pPr>
              <w:pStyle w:val="ListParagraph"/>
              <w:numPr>
                <w:ilvl w:val="0"/>
                <w:numId w:val="2"/>
              </w:numPr>
              <w:spacing w:after="40"/>
            </w:pPr>
            <w:r>
              <w:rPr>
                <w:b/>
                <w:bCs/>
                <w:sz w:val="19"/>
                <w:szCs w:val="19"/>
              </w:rPr>
              <w:t xml:space="preserve">ID 1311</w:t>
            </w:r>
            <w:r>
              <w:rPr>
                <w:sz w:val="19"/>
                <w:szCs w:val="19"/>
              </w:rPr>
              <w:t xml:space="preserve">: pregunta de caso práctico que invoca la </w:t>
            </w:r>
            <w:r>
              <w:rPr>
                <w:b/>
                <w:bCs/>
                <w:sz w:val="19"/>
                <w:szCs w:val="19"/>
              </w:rPr>
              <w:t xml:space="preserve">ley de patentes</w:t>
            </w:r>
            <w:r>
              <w:rPr>
                <w:sz w:val="19"/>
                <w:szCs w:val="19"/>
              </w:rPr>
              <w:t xml:space="preserve"> pero cuya respuesta correcta se basa en la </w:t>
            </w:r>
            <w:r>
              <w:rPr>
                <w:b/>
                <w:bCs/>
                <w:sz w:val="19"/>
                <w:szCs w:val="19"/>
              </w:rPr>
              <w:t xml:space="preserve">propiedad intelectual</w:t>
            </w:r>
            <w:r>
              <w:rPr>
                <w:sz w:val="19"/>
                <w:szCs w:val="19"/>
              </w:rPr>
              <w:t xml:space="preserve"> (registro y titularidad de derechos de explotación). Enunciado técnicamente impreciso.</w:t>
            </w:r>
          </w:p>
          <w:p>
            <w:pPr>
              <w:pStyle w:val="ListParagraph"/>
              <w:numPr>
                <w:ilvl w:val="0"/>
                <w:numId w:val="2"/>
              </w:numPr>
              <w:spacing w:after="40"/>
            </w:pPr>
            <w:r>
              <w:rPr>
                <w:b/>
                <w:bCs/>
                <w:sz w:val="19"/>
                <w:szCs w:val="19"/>
              </w:rPr>
              <w:t xml:space="preserve">ID 918</w:t>
            </w:r>
            <w:r>
              <w:rPr>
                <w:sz w:val="19"/>
                <w:szCs w:val="19"/>
              </w:rPr>
              <w:t xml:space="preserve">: OVAL es realmente un lenguaje de evaluación de vulnerabilidades y configuración (MITRE/CIS) más que «de informática forense»; es la única opción que es un lenguaje real.</w:t>
            </w:r>
          </w:p>
        </w:tc>
      </w:tr>
    </w:tbl>
    <w:p>
      <w:pPr>
        <w:spacing w:after="120"/>
      </w:pPr>
    </w:p>
    <w:p>
      <w:pPr>
        <w:pStyle w:val="Heading1"/>
        <w:keepNext/>
        <w:spacing w:after="200" w:before="360"/>
      </w:pPr>
      <w:r>
        <w:t xml:space="preserve">2. Protección jurídica de los programas de ordenador</w:t>
      </w:r>
    </w:p>
    <w:p>
      <w:pPr>
        <w:pStyle w:val="Heading2"/>
        <w:keepNext/>
      </w:pPr>
      <w:r>
        <w:t xml:space="preserve">2.1 El software como objeto de propiedad intelectual</w:t>
      </w:r>
    </w:p>
    <w:p>
      <w:pPr>
        <w:spacing w:after="120"/>
        <w:jc w:val="both"/>
      </w:pPr>
      <w:r>
        <w:t xml:space="preserve">En España y en la Unión Europea el programa de ordenador se protege </w:t>
      </w:r>
      <w:r>
        <w:rPr>
          <w:b/>
          <w:bCs/>
        </w:rPr>
        <w:t xml:space="preserve">como obra literaria mediante el derecho de autor</w:t>
      </w:r>
      <w:r>
        <w:t xml:space="preserve">. Así lo impone la </w:t>
      </w:r>
      <w:r>
        <w:rPr>
          <w:b/>
          <w:bCs/>
        </w:rPr>
        <w:t xml:space="preserve">Directiva 2009/24/CE</w:t>
      </w:r>
      <w:r>
        <w:t xml:space="preserve"> (versión codificada de la Directiva 91/250/CEE) y lo recoge el </w:t>
      </w:r>
      <w:r>
        <w:rPr>
          <w:b/>
          <w:bCs/>
        </w:rPr>
        <w:t xml:space="preserve">Real Decreto Legislativo 1/1996, de 12 de abril, texto refundido de la Ley de Propiedad Intelectual (LPI)</w:t>
      </w:r>
      <w:r>
        <w:t xml:space="preserve">, que incluye los programas de ordenador entre las obras protegidas (art. 10.1.i) y les dedica un régimen especial en el </w:t>
      </w:r>
      <w:r>
        <w:rPr>
          <w:b/>
          <w:bCs/>
        </w:rPr>
        <w:t xml:space="preserve">Título VII del Libro I (arts. 95 a 104)</w:t>
      </w:r>
      <w:r>
        <w:t xml:space="preserve">. El ADPIC/TRIPS (art. 10) y el Tratado OMPI sobre Derecho de Autor de 1996 (art. 4) siguen el mismo criterio a nivel internacional.</w:t>
      </w:r>
    </w:p>
    <w:p>
      <w:pPr>
        <w:spacing w:after="120"/>
        <w:jc w:val="both"/>
      </w:pPr>
      <w:r>
        <w:t xml:space="preserve">La protección nace </w:t>
      </w:r>
      <w:r>
        <w:rPr>
          <w:b/>
          <w:bCs/>
        </w:rPr>
        <w:t xml:space="preserve">por el solo hecho de la creación</w:t>
      </w:r>
      <w:r>
        <w:t xml:space="preserve"> (art. 1 LPI): no exige registro, depósito ni símbolo ©. La inscripción en el Registro de la Propiedad Intelectual (art. 101 y 145 LPI) es </w:t>
      </w:r>
      <w:r>
        <w:rPr>
          <w:b/>
          <w:bCs/>
        </w:rPr>
        <w:t xml:space="preserve">voluntaria y declarativa</w:t>
      </w:r>
      <w:r>
        <w:t xml:space="preserve">, útil como medio de prueba, pero no constitutiva.</w:t>
      </w:r>
    </w:p>
    <w:p>
      <w:pPr>
        <w:pStyle w:val="Heading2"/>
        <w:keepNext/>
      </w:pPr>
      <w:r>
        <w:t xml:space="preserve">2.2 Concepto legal (art. 96.1 LPI)</w:t>
      </w:r>
    </w:p>
    <w:p>
      <w:pPr>
        <w:spacing w:after="120"/>
        <w:jc w:val="both"/>
      </w:pPr>
      <w:r>
        <w:t xml:space="preserve">A efectos de la LPI se entiende por programa de ordenador </w:t>
      </w:r>
      <w:r>
        <w:rPr>
          <w:b/>
          <w:bCs/>
        </w:rPr>
        <w:t xml:space="preserve">«toda secuencia de instrucciones o indicaciones destinadas a ser utilizadas, directa o indirectamente, en un sistema informático para realizar una función o una tarea o para obtener un resultado determinado, cualquiera que fuere su forma de expresión y fijación»</w:t>
      </w:r>
      <w:r>
        <w:t xml:space="preserve">. La misma protección alcanza a la </w:t>
      </w:r>
      <w:r>
        <w:rPr>
          <w:b/>
          <w:bCs/>
        </w:rPr>
        <w:t xml:space="preserve">documentación preparatoria</w:t>
      </w:r>
      <w:r>
        <w:t xml:space="preserve">, y la </w:t>
      </w:r>
      <w:r>
        <w:rPr>
          <w:b/>
          <w:bCs/>
        </w:rPr>
        <w:t xml:space="preserve">documentación técnica y los manuales de uso</w:t>
      </w:r>
      <w:r>
        <w:t xml:space="preserve"> gozan de la misma protección que el programa.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7"/>
        <w:gridCol w:w="1670"/>
        <w:gridCol w:w="5141"/>
      </w:tblGrid>
      <w:tr>
        <w:trPr>
          <w:tblHeader/>
        </w:trPr>
        <w:tc>
          <w:tcPr>
            <w:tcW w:type="dxa" w:w="282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Elemento</w:t>
            </w:r>
          </w:p>
        </w:tc>
        <w:tc>
          <w:tcPr>
            <w:tcW w:type="dxa" w:w="167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¿Protegido por el Título VII LPI?</w:t>
            </w:r>
          </w:p>
        </w:tc>
        <w:tc>
          <w:tcPr>
            <w:tcW w:type="dxa" w:w="5141"/>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Comentario</w:t>
            </w:r>
          </w:p>
        </w:tc>
      </w:tr>
      <w:tr>
        <w:trPr>
          <w:cantSplit/>
        </w:trPr>
        <w:tc>
          <w:tcPr>
            <w:tcW w:type="dxa" w:w="28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Código fuente</w:t>
            </w:r>
          </w:p>
        </w:tc>
        <w:tc>
          <w:tcPr>
            <w:tcW w:type="dxa" w:w="16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Sí</w:t>
            </w:r>
          </w:p>
        </w:tc>
        <w:tc>
          <w:tcPr>
            <w:tcW w:type="dxa" w:w="514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Expresión del programa en lenguaje legible por humanos. El art. 97.4 lo menciona expresamente («programa fuente»).</w:t>
            </w:r>
          </w:p>
        </w:tc>
      </w:tr>
      <w:tr>
        <w:trPr>
          <w:cantSplit/>
        </w:trPr>
        <w:tc>
          <w:tcPr>
            <w:tcW w:type="dxa" w:w="28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Código objeto / ejecutable</w:t>
            </w:r>
          </w:p>
        </w:tc>
        <w:tc>
          <w:tcPr>
            <w:tcW w:type="dxa" w:w="16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Sí</w:t>
            </w:r>
          </w:p>
        </w:tc>
        <w:tc>
          <w:tcPr>
            <w:tcW w:type="dxa" w:w="514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«Programa objeto». Cualquier forma de expresión está protegida (art. 96.3).</w:t>
            </w:r>
          </w:p>
        </w:tc>
      </w:tr>
      <w:tr>
        <w:trPr>
          <w:cantSplit/>
        </w:trPr>
        <w:tc>
          <w:tcPr>
            <w:tcW w:type="dxa" w:w="28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Documentación preparatoria</w:t>
            </w:r>
          </w:p>
        </w:tc>
        <w:tc>
          <w:tcPr>
            <w:tcW w:type="dxa" w:w="16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Sí</w:t>
            </w:r>
          </w:p>
        </w:tc>
        <w:tc>
          <w:tcPr>
            <w:tcW w:type="dxa" w:w="514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Diagramas, análisis, diseño previo que permite llegar al programa.</w:t>
            </w:r>
          </w:p>
        </w:tc>
      </w:tr>
      <w:tr>
        <w:trPr>
          <w:cantSplit/>
        </w:trPr>
        <w:tc>
          <w:tcPr>
            <w:tcW w:type="dxa" w:w="28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Documentación técnica y manuales</w:t>
            </w:r>
          </w:p>
        </w:tc>
        <w:tc>
          <w:tcPr>
            <w:tcW w:type="dxa" w:w="16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Sí</w:t>
            </w:r>
          </w:p>
        </w:tc>
        <w:tc>
          <w:tcPr>
            <w:tcW w:type="dxa" w:w="514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Misma protección que el programa (art. 96.1, párr. 2).</w:t>
            </w:r>
          </w:p>
        </w:tc>
      </w:tr>
      <w:tr>
        <w:trPr>
          <w:cantSplit/>
        </w:trPr>
        <w:tc>
          <w:tcPr>
            <w:tcW w:type="dxa" w:w="28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Versiones sucesivas y programas derivados</w:t>
            </w:r>
          </w:p>
        </w:tc>
        <w:tc>
          <w:tcPr>
            <w:tcW w:type="dxa" w:w="16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Sí</w:t>
            </w:r>
          </w:p>
        </w:tc>
        <w:tc>
          <w:tcPr>
            <w:tcW w:type="dxa" w:w="514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Salvo los creados con el fin de ocasionar efectos nocivos a un sistema informático (art. 96.3).</w:t>
            </w:r>
          </w:p>
        </w:tc>
      </w:tr>
      <w:tr>
        <w:trPr>
          <w:cantSplit/>
        </w:trPr>
        <w:tc>
          <w:tcPr>
            <w:tcW w:type="dxa" w:w="28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Ideas y principios (incluidos los de las interfaces)</w:t>
            </w:r>
          </w:p>
        </w:tc>
        <w:tc>
          <w:tcPr>
            <w:tcW w:type="dxa" w:w="16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w:t>
            </w:r>
          </w:p>
        </w:tc>
        <w:tc>
          <w:tcPr>
            <w:tcW w:type="dxa" w:w="514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Art. 96.4 LPI y art. 1.2 Directiva 2009/24/CE.</w:t>
            </w:r>
          </w:p>
        </w:tc>
      </w:tr>
      <w:tr>
        <w:trPr>
          <w:cantSplit/>
        </w:trPr>
        <w:tc>
          <w:tcPr>
            <w:tcW w:type="dxa" w:w="28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Algoritmos «como tales», lógica, funcionalidades</w:t>
            </w:r>
          </w:p>
        </w:tc>
        <w:tc>
          <w:tcPr>
            <w:tcW w:type="dxa" w:w="16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w:t>
            </w:r>
          </w:p>
        </w:tc>
        <w:tc>
          <w:tcPr>
            <w:tcW w:type="dxa" w:w="514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Solo se protege su expresión concreta. TJUE </w:t>
            </w:r>
            <w:r>
              <w:rPr>
                <w:i/>
                <w:iCs/>
                <w:sz w:val="18"/>
                <w:szCs w:val="18"/>
              </w:rPr>
              <w:t xml:space="preserve">SAS Institute</w:t>
            </w:r>
            <w:r>
              <w:rPr>
                <w:sz w:val="18"/>
                <w:szCs w:val="18"/>
              </w:rPr>
              <w:t xml:space="preserve"> (C-406/10, 2012): ni la funcionalidad, ni el lenguaje de programación ni el formato de ficheros de datos son «forma de expresión».</w:t>
            </w:r>
          </w:p>
        </w:tc>
      </w:tr>
      <w:tr>
        <w:trPr>
          <w:cantSplit/>
        </w:trPr>
        <w:tc>
          <w:tcPr>
            <w:tcW w:type="dxa" w:w="28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Interfaz gráfica de usuario</w:t>
            </w:r>
          </w:p>
        </w:tc>
        <w:tc>
          <w:tcPr>
            <w:tcW w:type="dxa" w:w="16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 como programa</w:t>
            </w:r>
          </w:p>
        </w:tc>
        <w:tc>
          <w:tcPr>
            <w:tcW w:type="dxa" w:w="514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Puede protegerse como obra (si es original) al margen del régimen de software: TJUE </w:t>
            </w:r>
            <w:r>
              <w:rPr>
                <w:i/>
                <w:iCs/>
                <w:sz w:val="18"/>
                <w:szCs w:val="18"/>
              </w:rPr>
              <w:t xml:space="preserve">BSA</w:t>
            </w:r>
            <w:r>
              <w:rPr>
                <w:sz w:val="18"/>
                <w:szCs w:val="18"/>
              </w:rPr>
              <w:t xml:space="preserve"> (C-393/09, 2010).</w:t>
            </w:r>
          </w:p>
        </w:tc>
      </w:tr>
    </w:tbl>
    <w:p>
      <w:pPr>
        <w:spacing w:after="120"/>
      </w:pPr>
    </w:p>
    <w:p>
      <w:pPr>
        <w:pStyle w:val="Heading2"/>
        <w:keepNext/>
      </w:pPr>
      <w:r>
        <w:t xml:space="preserve">2.3 Requisito de originalidad (art. 96.2 LPI)</w:t>
      </w:r>
    </w:p>
    <w:p>
      <w:pPr>
        <w:spacing w:after="120"/>
        <w:jc w:val="both"/>
      </w:pPr>
      <w:r>
        <w:t xml:space="preserve">El programa solo se protege </w:t>
      </w:r>
      <w:r>
        <w:rPr>
          <w:b/>
          <w:bCs/>
        </w:rPr>
        <w:t xml:space="preserve">«si fuese original, en el sentido de ser una creación intelectual propia de su autor»</w:t>
      </w:r>
      <w:r>
        <w:t xml:space="preserve">. No se aplican otros criterios (mérito, estética, calidad técnica). Es un umbral bajo, pero excluye lo que viene impuesto por la función o es trivial.</w:t>
      </w:r>
    </w:p>
    <w:p>
      <w:pPr>
        <w:pStyle w:val="Heading2"/>
        <w:keepNext/>
      </w:pPr>
      <w:r>
        <w:t xml:space="preserve">2.4 Qué NO protege el derecho de autor</w:t>
      </w:r>
    </w:p>
    <w:p>
      <w:pPr>
        <w:pStyle w:val="ListParagraph"/>
        <w:numPr>
          <w:ilvl w:val="0"/>
          <w:numId w:val="2"/>
        </w:numPr>
        <w:spacing w:after="60"/>
      </w:pPr>
      <w:r>
        <w:t xml:space="preserve">Las </w:t>
      </w:r>
      <w:r>
        <w:rPr>
          <w:b/>
          <w:bCs/>
        </w:rPr>
        <w:t xml:space="preserve">ideas</w:t>
      </w:r>
      <w:r>
        <w:t xml:space="preserve"> y </w:t>
      </w:r>
      <w:r>
        <w:rPr>
          <w:b/>
          <w:bCs/>
        </w:rPr>
        <w:t xml:space="preserve">principios</w:t>
      </w:r>
      <w:r>
        <w:t xml:space="preserve"> subyacentes, incluidos los que fundamentan las interfaces (art. 96.4).</w:t>
      </w:r>
    </w:p>
    <w:p>
      <w:pPr>
        <w:pStyle w:val="ListParagraph"/>
        <w:numPr>
          <w:ilvl w:val="0"/>
          <w:numId w:val="2"/>
        </w:numPr>
        <w:spacing w:after="60"/>
      </w:pPr>
      <w:r>
        <w:t xml:space="preserve">Los </w:t>
      </w:r>
      <w:r>
        <w:rPr>
          <w:b/>
          <w:bCs/>
        </w:rPr>
        <w:t xml:space="preserve">algoritmos</w:t>
      </w:r>
      <w:r>
        <w:t xml:space="preserve"> y </w:t>
      </w:r>
      <w:r>
        <w:rPr>
          <w:b/>
          <w:bCs/>
        </w:rPr>
        <w:t xml:space="preserve">métodos</w:t>
      </w:r>
      <w:r>
        <w:t xml:space="preserve"> considerados en abstracto; su concreta implementación en código sí.</w:t>
      </w:r>
    </w:p>
    <w:p>
      <w:pPr>
        <w:pStyle w:val="ListParagraph"/>
        <w:numPr>
          <w:ilvl w:val="0"/>
          <w:numId w:val="2"/>
        </w:numPr>
        <w:spacing w:after="60"/>
      </w:pPr>
      <w:r>
        <w:t xml:space="preserve">Las </w:t>
      </w:r>
      <w:r>
        <w:rPr>
          <w:b/>
          <w:bCs/>
        </w:rPr>
        <w:t xml:space="preserve">funcionalidades</w:t>
      </w:r>
      <w:r>
        <w:t xml:space="preserve"> (dos programas con igual funcionalidad pero código independiente no se infringen).</w:t>
      </w:r>
    </w:p>
    <w:p>
      <w:pPr>
        <w:pStyle w:val="ListParagraph"/>
        <w:numPr>
          <w:ilvl w:val="0"/>
          <w:numId w:val="2"/>
        </w:numPr>
        <w:spacing w:after="60"/>
      </w:pPr>
      <w:r>
        <w:t xml:space="preserve">Los </w:t>
      </w:r>
      <w:r>
        <w:rPr>
          <w:b/>
          <w:bCs/>
        </w:rPr>
        <w:t xml:space="preserve">lenguajes de programación</w:t>
      </w:r>
      <w:r>
        <w:t xml:space="preserve"> y </w:t>
      </w:r>
      <w:r>
        <w:rPr>
          <w:b/>
          <w:bCs/>
        </w:rPr>
        <w:t xml:space="preserve">formatos de ficheros</w:t>
      </w:r>
      <w:r>
        <w:t xml:space="preserve"> en sí mismos (TJUE </w:t>
      </w:r>
      <w:r>
        <w:rPr>
          <w:i/>
          <w:iCs/>
        </w:rPr>
        <w:t xml:space="preserve">SAS Institute</w:t>
      </w:r>
      <w:r>
        <w:t xml:space="preserve">).</w:t>
      </w:r>
    </w:p>
    <w:p>
      <w:pPr>
        <w:pStyle w:val="ListParagraph"/>
        <w:numPr>
          <w:ilvl w:val="0"/>
          <w:numId w:val="2"/>
        </w:numPr>
        <w:spacing w:after="60"/>
      </w:pPr>
      <w:r>
        <w:t xml:space="preserve">Los </w:t>
      </w:r>
      <w:r>
        <w:rPr>
          <w:b/>
          <w:bCs/>
        </w:rPr>
        <w:t xml:space="preserve">conceptos</w:t>
      </w:r>
      <w:r>
        <w:t xml:space="preserve"> y «soluciones técnicas»: estos, si son invenciones, entran en el ámbito de la </w:t>
      </w:r>
      <w:r>
        <w:rPr>
          <w:b/>
          <w:bCs/>
        </w:rPr>
        <w:t xml:space="preserve">propiedad industrial (patente)</w:t>
      </w:r>
      <w:r>
        <w:t xml:space="preserve">.</w:t>
      </w:r>
    </w:p>
    <w:p>
      <w:pPr>
        <w:pStyle w:val="Heading2"/>
        <w:keepNext/>
      </w:pPr>
      <w:r>
        <w:t xml:space="preserve">2.5 Derecho de autor frente a propiedad industrial (patente)</w:t>
      </w:r>
    </w:p>
    <w:p>
      <w:pPr>
        <w:spacing w:after="120"/>
        <w:jc w:val="both"/>
      </w:pPr>
      <w:r>
        <w:t xml:space="preserve">La </w:t>
      </w:r>
      <w:r>
        <w:rPr>
          <w:b/>
          <w:bCs/>
        </w:rPr>
        <w:t xml:space="preserve">Ley 24/2015, de 24 de julio, de Patentes</w:t>
      </w:r>
      <w:r>
        <w:t xml:space="preserve"> (vigente desde el 1 de abril de 2017; reglamento: </w:t>
      </w:r>
      <w:r>
        <w:rPr>
          <w:b/>
          <w:bCs/>
        </w:rPr>
        <w:t xml:space="preserve">RD 316/2017</w:t>
      </w:r>
      <w:r>
        <w:t xml:space="preserve">) establece en su </w:t>
      </w:r>
      <w:r>
        <w:rPr>
          <w:b/>
          <w:bCs/>
        </w:rPr>
        <w:t xml:space="preserve">art. 4.4</w:t>
      </w:r>
      <w:r>
        <w:t xml:space="preserve"> que </w:t>
      </w:r>
      <w:r>
        <w:rPr>
          <w:b/>
          <w:bCs/>
        </w:rPr>
        <w:t xml:space="preserve">no se consideran invenciones</w:t>
      </w:r>
      <w:r>
        <w:t xml:space="preserve">, entre otros, «los programas de ordenadores», y en el </w:t>
      </w:r>
      <w:r>
        <w:rPr>
          <w:b/>
          <w:bCs/>
        </w:rPr>
        <w:t xml:space="preserve">art. 4.5</w:t>
      </w:r>
      <w:r>
        <w:t xml:space="preserve"> que esa exclusión opera </w:t>
      </w:r>
      <w:r>
        <w:rPr>
          <w:b/>
          <w:bCs/>
        </w:rPr>
        <w:t xml:space="preserve">solo en la medida en que el objeto se refiera a ellos «considerados como tales»</w:t>
      </w:r>
      <w:r>
        <w:t xml:space="preserve">. Es el mismo esquema del </w:t>
      </w:r>
      <w:r>
        <w:rPr>
          <w:b/>
          <w:bCs/>
        </w:rPr>
        <w:t xml:space="preserve">art. 52.2.c) y 52.3 del Convenio sobre la Patente Europea</w:t>
      </w:r>
      <w:r>
        <w:t xml:space="preserve">.</w:t>
      </w:r>
    </w:p>
    <w:p>
      <w:pPr>
        <w:spacing w:after="120"/>
        <w:jc w:val="both"/>
      </w:pPr>
      <w:r>
        <w:t xml:space="preserve">Consecuencia práctica: es patentable una </w:t>
      </w:r>
      <w:r>
        <w:rPr>
          <w:b/>
          <w:bCs/>
        </w:rPr>
        <w:t xml:space="preserve">invención implementada en ordenador</w:t>
      </w:r>
      <w:r>
        <w:t xml:space="preserve"> que aporte una </w:t>
      </w:r>
      <w:r>
        <w:rPr>
          <w:b/>
          <w:bCs/>
        </w:rPr>
        <w:t xml:space="preserve">contribución técnica</w:t>
      </w:r>
      <w:r>
        <w:t xml:space="preserve"> (efecto técnico adicional más allá de la interacción normal programa-hardware) y cumpla novedad, actividad inventiva y aplicación industrial (art. 4.1). Ejemplos típicos: software de control de un dispositivo electromédico, un procedimiento que mejora el funcionamiento del propio ordenador, un sistema de procesamiento de señales. No es patentable un programa de gestión administrativa por el mero hecho de estar automatizado.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Aspecto</w:t>
            </w:r>
          </w:p>
        </w:tc>
        <w:tc>
          <w:tcPr>
            <w:tcW w:type="dxa" w:w="385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Derecho de autor (LPI)</w:t>
            </w:r>
          </w:p>
        </w:tc>
        <w:tc>
          <w:tcPr>
            <w:tcW w:type="dxa" w:w="385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Patente (Ley 24/2015)</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Qué protege</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La expresión concreta (código, documentación)</w:t>
            </w:r>
          </w:p>
        </w:tc>
        <w:tc>
          <w:tcPr>
            <w:tcW w:type="dxa" w:w="38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La solución técnica (invención) implementada en ordenador</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Requisito</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Originalidad</w:t>
            </w:r>
          </w:p>
        </w:tc>
        <w:tc>
          <w:tcPr>
            <w:tcW w:type="dxa" w:w="385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Novedad, actividad inventiva, aplicación industrial y carácter técnico</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Nacimiento</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Por la mera creación, sin formalidades</w:t>
            </w:r>
          </w:p>
        </w:tc>
        <w:tc>
          <w:tcPr>
            <w:tcW w:type="dxa" w:w="38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Solicitud y concesión por la OEPM (o la EPO)</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Duración</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Vida del autor + 70 años (persona física); 70 años (persona jurídica)</w:t>
            </w:r>
          </w:p>
        </w:tc>
        <w:tc>
          <w:tcPr>
            <w:tcW w:type="dxa" w:w="385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20 años improrrogables desde la solicitud</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Protege frente a</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Copia/transformación de la expresión</w:t>
            </w:r>
          </w:p>
        </w:tc>
        <w:tc>
          <w:tcPr>
            <w:tcW w:type="dxa" w:w="38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Explotación de la invención aunque se haya desarrollado de forma independiente</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Software «como tal»</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Sí protegido</w:t>
            </w:r>
          </w:p>
        </w:tc>
        <w:tc>
          <w:tcPr>
            <w:tcW w:type="dxa" w:w="385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Excluido (art. 4.4-4.5)</w:t>
            </w:r>
          </w:p>
        </w:tc>
      </w:tr>
    </w:tbl>
    <w:p>
      <w:pPr>
        <w:spacing w:after="120"/>
      </w:pPr>
    </w:p>
    <w:p>
      <w:pPr>
        <w:spacing w:after="120"/>
        <w:jc w:val="both"/>
      </w:pPr>
      <w:r>
        <w:t xml:space="preserve">La LPI declara que el régimen del software se entiende </w:t>
      </w:r>
      <w:r>
        <w:rPr>
          <w:b/>
          <w:bCs/>
        </w:rPr>
        <w:t xml:space="preserve">sin perjuicio</w:t>
      </w:r>
      <w:r>
        <w:t xml:space="preserve"> de otras disposiciones como las relativas a </w:t>
      </w:r>
      <w:r>
        <w:rPr>
          <w:b/>
          <w:bCs/>
        </w:rPr>
        <w:t xml:space="preserve">patentes, marcas, competencia desleal, secretos comerciales</w:t>
      </w:r>
      <w:r>
        <w:t xml:space="preserve">, protección de semiconductores o Derecho de obligaciones (</w:t>
      </w:r>
      <w:r>
        <w:rPr>
          <w:b/>
          <w:bCs/>
        </w:rPr>
        <w:t xml:space="preserve">art. 104 LPI</w:t>
      </w:r>
      <w:r>
        <w:t xml:space="preserve">). Por tanto, un mismo software puede tener simultáneamente: derecho de autor sobre el código, patente sobre una invención técnica que implementa, </w:t>
      </w:r>
      <w:r>
        <w:rPr>
          <w:b/>
          <w:bCs/>
        </w:rPr>
        <w:t xml:space="preserve">marca</w:t>
      </w:r>
      <w:r>
        <w:t xml:space="preserve"> sobre su nombre (Ley 17/2001, de Marcas) y </w:t>
      </w:r>
      <w:r>
        <w:rPr>
          <w:b/>
          <w:bCs/>
        </w:rPr>
        <w:t xml:space="preserve">secreto empresarial</w:t>
      </w:r>
      <w:r>
        <w:t xml:space="preserve"> sobre el código fuente no divulgado (Ley 1/2019, de Secretos Empresariales).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DEEAF6" w:color="auto" w:val="clear"/>
            <w:tcMar>
              <w:top w:type="dxa" w:w="100"/>
              <w:left w:type="dxa" w:w="160"/>
              <w:bottom w:type="dxa" w:w="100"/>
              <w:right w:type="dxa" w:w="140"/>
            </w:tcMar>
          </w:tcPr>
          <w:p>
            <w:pPr>
              <w:spacing w:after="80"/>
            </w:pPr>
            <w:r>
              <w:rPr>
                <w:b/>
                <w:bCs/>
                <w:color w:val="2E75B6"/>
                <w:sz w:val="20"/>
                <w:szCs w:val="20"/>
              </w:rPr>
              <w:t xml:space="preserve">CLAVE PARA EL EXAMEN</w:t>
            </w:r>
          </w:p>
          <w:p>
            <w:pPr>
              <w:pStyle w:val="ListParagraph"/>
              <w:numPr>
                <w:ilvl w:val="0"/>
                <w:numId w:val="2"/>
              </w:numPr>
              <w:spacing w:after="40"/>
            </w:pPr>
            <w:r>
              <w:rPr>
                <w:sz w:val="19"/>
                <w:szCs w:val="19"/>
              </w:rPr>
              <w:t xml:space="preserve">Software = </w:t>
            </w:r>
            <w:r>
              <w:rPr>
                <w:b/>
                <w:bCs/>
                <w:sz w:val="19"/>
                <w:szCs w:val="19"/>
              </w:rPr>
              <w:t xml:space="preserve">obra literaria</w:t>
            </w:r>
            <w:r>
              <w:rPr>
                <w:sz w:val="19"/>
                <w:szCs w:val="19"/>
              </w:rPr>
              <w:t xml:space="preserve"> protegida por </w:t>
            </w:r>
            <w:r>
              <w:rPr>
                <w:b/>
                <w:bCs/>
                <w:sz w:val="19"/>
                <w:szCs w:val="19"/>
              </w:rPr>
              <w:t xml:space="preserve">derecho de autor</w:t>
            </w:r>
            <w:r>
              <w:rPr>
                <w:sz w:val="19"/>
                <w:szCs w:val="19"/>
              </w:rPr>
              <w:t xml:space="preserve"> (LPI Título VII, arts. 95-104; Directiva 2009/24/CE).</w:t>
            </w:r>
          </w:p>
          <w:p>
            <w:pPr>
              <w:pStyle w:val="ListParagraph"/>
              <w:numPr>
                <w:ilvl w:val="0"/>
                <w:numId w:val="2"/>
              </w:numPr>
              <w:spacing w:after="40"/>
            </w:pPr>
            <w:r>
              <w:rPr>
                <w:sz w:val="19"/>
                <w:szCs w:val="19"/>
              </w:rPr>
              <w:t xml:space="preserve">Nace </w:t>
            </w:r>
            <w:r>
              <w:rPr>
                <w:b/>
                <w:bCs/>
                <w:sz w:val="19"/>
                <w:szCs w:val="19"/>
              </w:rPr>
              <w:t xml:space="preserve">con la creación</w:t>
            </w:r>
            <w:r>
              <w:rPr>
                <w:sz w:val="19"/>
                <w:szCs w:val="19"/>
              </w:rPr>
              <w:t xml:space="preserve">; el registro es </w:t>
            </w:r>
            <w:r>
              <w:rPr>
                <w:b/>
                <w:bCs/>
                <w:sz w:val="19"/>
                <w:szCs w:val="19"/>
              </w:rPr>
              <w:t xml:space="preserve">voluntario y declarativo</w:t>
            </w:r>
            <w:r>
              <w:rPr>
                <w:sz w:val="19"/>
                <w:szCs w:val="19"/>
              </w:rPr>
              <w:t xml:space="preserve">.</w:t>
            </w:r>
          </w:p>
          <w:p>
            <w:pPr>
              <w:pStyle w:val="ListParagraph"/>
              <w:numPr>
                <w:ilvl w:val="0"/>
                <w:numId w:val="2"/>
              </w:numPr>
              <w:spacing w:after="40"/>
            </w:pPr>
            <w:r>
              <w:rPr>
                <w:sz w:val="19"/>
                <w:szCs w:val="19"/>
              </w:rPr>
              <w:t xml:space="preserve">Se protege la </w:t>
            </w:r>
            <w:r>
              <w:rPr>
                <w:b/>
                <w:bCs/>
                <w:sz w:val="19"/>
                <w:szCs w:val="19"/>
              </w:rPr>
              <w:t xml:space="preserve">expresión</w:t>
            </w:r>
            <w:r>
              <w:rPr>
                <w:sz w:val="19"/>
                <w:szCs w:val="19"/>
              </w:rPr>
              <w:t xml:space="preserve">, no ideas, principios, algoritmos como tales ni funcionalidades.</w:t>
            </w:r>
          </w:p>
          <w:p>
            <w:pPr>
              <w:pStyle w:val="ListParagraph"/>
              <w:numPr>
                <w:ilvl w:val="0"/>
                <w:numId w:val="2"/>
              </w:numPr>
              <w:spacing w:after="40"/>
            </w:pPr>
            <w:r>
              <w:rPr>
                <w:sz w:val="19"/>
                <w:szCs w:val="19"/>
              </w:rPr>
              <w:t xml:space="preserve">Patente: el software «</w:t>
            </w:r>
            <w:r>
              <w:rPr>
                <w:b/>
                <w:bCs/>
                <w:sz w:val="19"/>
                <w:szCs w:val="19"/>
              </w:rPr>
              <w:t xml:space="preserve">como tal</w:t>
            </w:r>
            <w:r>
              <w:rPr>
                <w:sz w:val="19"/>
                <w:szCs w:val="19"/>
              </w:rPr>
              <w:t xml:space="preserve">» no es invención (art. 4.4-4.5 Ley 24/2015), pero sí una invención con </w:t>
            </w:r>
            <w:r>
              <w:rPr>
                <w:b/>
                <w:bCs/>
                <w:sz w:val="19"/>
                <w:szCs w:val="19"/>
              </w:rPr>
              <w:t xml:space="preserve">contribución técnica</w:t>
            </w:r>
            <w:r>
              <w:rPr>
                <w:sz w:val="19"/>
                <w:szCs w:val="19"/>
              </w:rPr>
              <w:t xml:space="preserve"> implementada en ordenador.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pStyle w:val="ListParagraph"/>
              <w:numPr>
                <w:ilvl w:val="0"/>
                <w:numId w:val="2"/>
              </w:numPr>
              <w:spacing w:after="40"/>
            </w:pPr>
            <w:r>
              <w:rPr>
                <w:sz w:val="19"/>
                <w:szCs w:val="19"/>
              </w:rPr>
              <w:t xml:space="preserve">«El software se protege mediante patente» → FALSO como regla general. Es derecho de autor; la patente es excepcional.</w:t>
            </w:r>
          </w:p>
          <w:p>
            <w:pPr>
              <w:pStyle w:val="ListParagraph"/>
              <w:numPr>
                <w:ilvl w:val="0"/>
                <w:numId w:val="2"/>
              </w:numPr>
              <w:spacing w:after="40"/>
            </w:pPr>
            <w:r>
              <w:rPr>
                <w:sz w:val="19"/>
                <w:szCs w:val="19"/>
              </w:rPr>
              <w:t xml:space="preserve">«En ningún caso se puede patentar software» → FALSO (invenciones implementadas en ordenador con carácter técnico).</w:t>
            </w:r>
          </w:p>
          <w:p>
            <w:pPr>
              <w:pStyle w:val="ListParagraph"/>
              <w:numPr>
                <w:ilvl w:val="0"/>
                <w:numId w:val="2"/>
              </w:numPr>
              <w:spacing w:after="40"/>
            </w:pPr>
            <w:r>
              <w:rPr>
                <w:sz w:val="19"/>
                <w:szCs w:val="19"/>
              </w:rPr>
              <w:t xml:space="preserve">«Siempre que tenga originalidad se puede patentar» → FALSO: la originalidad es el requisito del </w:t>
            </w:r>
            <w:r>
              <w:rPr>
                <w:b/>
                <w:bCs/>
                <w:sz w:val="19"/>
                <w:szCs w:val="19"/>
              </w:rPr>
              <w:t xml:space="preserve">derecho de autor</w:t>
            </w:r>
            <w:r>
              <w:rPr>
                <w:sz w:val="19"/>
                <w:szCs w:val="19"/>
              </w:rPr>
              <w:t xml:space="preserve">, no de la patente.</w:t>
            </w:r>
          </w:p>
          <w:p>
            <w:pPr>
              <w:pStyle w:val="ListParagraph"/>
              <w:numPr>
                <w:ilvl w:val="0"/>
                <w:numId w:val="2"/>
              </w:numPr>
              <w:spacing w:after="40"/>
            </w:pPr>
            <w:r>
              <w:rPr>
                <w:sz w:val="19"/>
                <w:szCs w:val="19"/>
              </w:rPr>
              <w:t xml:space="preserve">Confundir </w:t>
            </w:r>
            <w:r>
              <w:rPr>
                <w:i/>
                <w:iCs/>
                <w:sz w:val="19"/>
                <w:szCs w:val="19"/>
              </w:rPr>
              <w:t xml:space="preserve">copyright</w:t>
            </w:r>
            <w:r>
              <w:rPr>
                <w:sz w:val="19"/>
                <w:szCs w:val="19"/>
              </w:rPr>
              <w:t xml:space="preserve"> (derecho de autor) con </w:t>
            </w:r>
            <w:r>
              <w:rPr>
                <w:b/>
                <w:bCs/>
                <w:sz w:val="19"/>
                <w:szCs w:val="19"/>
              </w:rPr>
              <w:t xml:space="preserve">patente</w:t>
            </w:r>
            <w:r>
              <w:rPr>
                <w:sz w:val="19"/>
                <w:szCs w:val="19"/>
              </w:rPr>
              <w:t xml:space="preserve"> o con </w:t>
            </w:r>
            <w:r>
              <w:rPr>
                <w:b/>
                <w:bCs/>
                <w:sz w:val="19"/>
                <w:szCs w:val="19"/>
              </w:rPr>
              <w:t xml:space="preserve">marca</w:t>
            </w:r>
            <w:r>
              <w:rPr>
                <w:sz w:val="19"/>
                <w:szCs w:val="19"/>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75623" w:sz="4"/>
              <w:left w:val="single" w:color="375623" w:sz="24"/>
              <w:bottom w:val="single" w:color="375623" w:sz="4"/>
              <w:right w:val="single" w:color="375623" w:sz="4"/>
            </w:tcBorders>
            <w:shd w:fill="E2EFDA" w:color="auto" w:val="clear"/>
            <w:tcMar>
              <w:top w:type="dxa" w:w="100"/>
              <w:left w:type="dxa" w:w="160"/>
              <w:bottom w:type="dxa" w:w="100"/>
              <w:right w:type="dxa" w:w="140"/>
            </w:tcMar>
          </w:tcPr>
          <w:p>
            <w:pPr>
              <w:spacing w:after="80"/>
            </w:pPr>
            <w:r>
              <w:rPr>
                <w:b/>
                <w:bCs/>
                <w:color w:val="375623"/>
                <w:sz w:val="20"/>
                <w:szCs w:val="20"/>
              </w:rPr>
              <w:t xml:space="preserve">PREGUNTA TÍPICA</w:t>
            </w:r>
          </w:p>
          <w:p>
            <w:pPr>
              <w:spacing w:after="60"/>
              <w:jc w:val="both"/>
            </w:pPr>
            <w:r>
              <w:rPr>
                <w:sz w:val="19"/>
                <w:szCs w:val="19"/>
              </w:rPr>
              <w:t xml:space="preserve">¿En qué casos podría patentarse un software? → Cuando supone una </w:t>
            </w:r>
            <w:r>
              <w:rPr>
                <w:b/>
                <w:bCs/>
                <w:sz w:val="19"/>
                <w:szCs w:val="19"/>
              </w:rPr>
              <w:t xml:space="preserve">contribución técnica</w:t>
            </w:r>
            <w:r>
              <w:rPr>
                <w:sz w:val="19"/>
                <w:szCs w:val="19"/>
              </w:rPr>
              <w:t xml:space="preserve"> novedosa e inventiva, integrada en un sistema/máquina (no el programa aislado «como tal»). Preguntas 1212 y 1242 del CSV.</w:t>
            </w:r>
          </w:p>
        </w:tc>
      </w:tr>
    </w:tbl>
    <w:p>
      <w:pPr>
        <w:spacing w:after="120"/>
      </w:pPr>
    </w:p>
    <w:p>
      <w:pPr>
        <w:pStyle w:val="Heading1"/>
        <w:keepNext/>
        <w:spacing w:after="200" w:before="360"/>
      </w:pPr>
      <w:r>
        <w:t xml:space="preserve">3. La Ley de Propiedad Intelectual (RDL 1/1996)</w:t>
      </w:r>
    </w:p>
    <w:p>
      <w:pPr>
        <w:pStyle w:val="Heading2"/>
        <w:keepNext/>
      </w:pPr>
      <w:r>
        <w:t xml:space="preserve">3.1 Estructura y vigencia</w:t>
      </w:r>
    </w:p>
    <w:p>
      <w:pPr>
        <w:spacing w:after="120"/>
        <w:jc w:val="both"/>
      </w:pPr>
      <w:r>
        <w:t xml:space="preserve">El </w:t>
      </w:r>
      <w:r>
        <w:rPr>
          <w:b/>
          <w:bCs/>
        </w:rPr>
        <w:t xml:space="preserve">texto refundido de la LPI</w:t>
      </w:r>
      <w:r>
        <w:t xml:space="preserve"> fue aprobado por el </w:t>
      </w:r>
      <w:r>
        <w:rPr>
          <w:b/>
          <w:bCs/>
        </w:rPr>
        <w:t xml:space="preserve">Real Decreto Legislativo 1/1996, de 12 de abril</w:t>
      </w:r>
      <w:r>
        <w:t xml:space="preserve">, y sigue </w:t>
      </w:r>
      <w:r>
        <w:rPr>
          <w:b/>
          <w:bCs/>
        </w:rPr>
        <w:t xml:space="preserve">vigente</w:t>
      </w:r>
      <w:r>
        <w:t xml:space="preserve">, con numerosas modificaciones. Las más relevantes para este 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Norma modificadora</w:t>
            </w:r>
          </w:p>
        </w:tc>
        <w:tc>
          <w:tcPr>
            <w:tcW w:type="dxa" w:w="688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Contenido relevante</w:t>
            </w:r>
          </w:p>
        </w:tc>
      </w:tr>
      <w:tr>
        <w:trPr>
          <w:cantSplit/>
        </w:trPr>
        <w:tc>
          <w:tcPr>
            <w:tcW w:type="dxa" w:w="275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Ley 5/1998, de 6 de marzo</w:t>
            </w:r>
          </w:p>
        </w:tc>
        <w:tc>
          <w:tcPr>
            <w:tcW w:type="dxa" w:w="68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Transpone la Directiva 96/9/CE: protección de las </w:t>
            </w:r>
            <w:r>
              <w:rPr>
                <w:sz w:val="18"/>
                <w:szCs w:val="18"/>
              </w:rPr>
              <w:t xml:space="preserve">bases de datos</w:t>
            </w:r>
            <w:r>
              <w:rPr>
                <w:sz w:val="18"/>
                <w:szCs w:val="18"/>
              </w:rPr>
              <w:t xml:space="preserve"> por derecho de autor (art. 12) y crea el </w:t>
            </w:r>
            <w:r>
              <w:rPr>
                <w:sz w:val="18"/>
                <w:szCs w:val="18"/>
              </w:rPr>
              <w:t xml:space="preserve">derecho sui generis</w:t>
            </w:r>
            <w:r>
              <w:rPr>
                <w:sz w:val="18"/>
                <w:szCs w:val="18"/>
              </w:rPr>
              <w:t xml:space="preserve"> (Título VIII del Libro II, arts. 133-137).</w:t>
            </w:r>
          </w:p>
        </w:tc>
      </w:tr>
      <w:tr>
        <w:trPr>
          <w:cantSplit/>
        </w:trPr>
        <w:tc>
          <w:tcPr>
            <w:tcW w:type="dxa" w:w="275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Ley 23/2006, de 7 de julio</w:t>
            </w:r>
          </w:p>
        </w:tc>
        <w:tc>
          <w:tcPr>
            <w:tcW w:type="dxa" w:w="688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Transpone la Directiva 2001/29/CE (sociedad de la información): </w:t>
            </w:r>
            <w:r>
              <w:rPr>
                <w:sz w:val="18"/>
                <w:szCs w:val="18"/>
              </w:rPr>
              <w:t xml:space="preserve">medidas tecnológicas de protección</w:t>
            </w:r>
            <w:r>
              <w:rPr>
                <w:sz w:val="18"/>
                <w:szCs w:val="18"/>
              </w:rPr>
              <w:t xml:space="preserve"> e información para la gestión de derechos (arts. 160-162).</w:t>
            </w:r>
          </w:p>
        </w:tc>
      </w:tr>
      <w:tr>
        <w:trPr>
          <w:cantSplit/>
        </w:trPr>
        <w:tc>
          <w:tcPr>
            <w:tcW w:type="dxa" w:w="275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Ley 21/2014, de 4 de noviembre</w:t>
            </w:r>
          </w:p>
        </w:tc>
        <w:tc>
          <w:tcPr>
            <w:tcW w:type="dxa" w:w="68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Refuerzo de la persecución de vulneraciones en línea (Sección Segunda de la Comisión de Propiedad Intelectual).</w:t>
            </w:r>
          </w:p>
        </w:tc>
      </w:tr>
      <w:tr>
        <w:trPr>
          <w:cantSplit/>
        </w:trPr>
        <w:tc>
          <w:tcPr>
            <w:tcW w:type="dxa" w:w="275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RDL 2/2018, de 13 de abril</w:t>
            </w:r>
          </w:p>
        </w:tc>
        <w:tc>
          <w:tcPr>
            <w:tcW w:type="dxa" w:w="688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Transposiciones (gestión colectiva, Marrakech) y ajustes de plazos.</w:t>
            </w:r>
          </w:p>
        </w:tc>
      </w:tr>
      <w:tr>
        <w:trPr>
          <w:cantSplit/>
        </w:trPr>
        <w:tc>
          <w:tcPr>
            <w:tcW w:type="dxa" w:w="275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RDL 24/2021, de 2 de noviembre</w:t>
            </w:r>
          </w:p>
        </w:tc>
        <w:tc>
          <w:tcPr>
            <w:tcW w:type="dxa" w:w="68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Transpone la Directiva (UE) 2019/790 (mercado único digital): excepciones de </w:t>
            </w:r>
            <w:r>
              <w:rPr>
                <w:sz w:val="18"/>
                <w:szCs w:val="18"/>
              </w:rPr>
              <w:t xml:space="preserve">minería de textos y datos</w:t>
            </w:r>
            <w:r>
              <w:rPr>
                <w:sz w:val="18"/>
                <w:szCs w:val="18"/>
              </w:rPr>
              <w:t xml:space="preserve">, usos digitales docentes, prestadores de servicios para compartir contenidos.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4"/>
              <w:left w:val="single" w:color="BF8F00" w:sz="24"/>
              <w:bottom w:val="single" w:color="BF8F00" w:sz="4"/>
              <w:right w:val="single" w:color="BF8F00" w:sz="4"/>
            </w:tcBorders>
            <w:shd w:fill="FFF2CC" w:color="auto" w:val="clear"/>
            <w:tcMar>
              <w:top w:type="dxa" w:w="100"/>
              <w:left w:type="dxa" w:w="160"/>
              <w:bottom w:type="dxa" w:w="100"/>
              <w:right w:type="dxa" w:w="140"/>
            </w:tcMar>
          </w:tcPr>
          <w:p>
            <w:pPr>
              <w:spacing w:after="80"/>
            </w:pPr>
            <w:r>
              <w:rPr>
                <w:b/>
                <w:bCs/>
                <w:color w:val="BF8F00"/>
                <w:sz w:val="20"/>
                <w:szCs w:val="20"/>
              </w:rPr>
              <w:t xml:space="preserve">NOTA</w:t>
            </w:r>
          </w:p>
          <w:p>
            <w:pPr>
              <w:spacing w:after="60"/>
              <w:jc w:val="both"/>
            </w:pPr>
            <w:r>
              <w:rPr>
                <w:sz w:val="19"/>
                <w:szCs w:val="19"/>
              </w:rPr>
              <w:t xml:space="preserve">La LPI se modifica con frecuencia. Consulta siempre el </w:t>
            </w:r>
            <w:r>
              <w:rPr>
                <w:b/>
                <w:bCs/>
                <w:sz w:val="19"/>
                <w:szCs w:val="19"/>
              </w:rPr>
              <w:t xml:space="preserve">texto consolidado del BOE</w:t>
            </w:r>
            <w:r>
              <w:rPr>
                <w:sz w:val="19"/>
                <w:szCs w:val="19"/>
              </w:rPr>
              <w:t xml:space="preserve"> (https://www.boe.es/eli/es/rdlg/1996/04/12/1) antes del examen para comprobar si hay cambios posteriores a la fecha de este documento.</w:t>
            </w:r>
          </w:p>
        </w:tc>
      </w:tr>
    </w:tbl>
    <w:p>
      <w:pPr>
        <w:spacing w:after="120"/>
      </w:pPr>
    </w:p>
    <w:p>
      <w:pPr>
        <w:pStyle w:val="Heading2"/>
        <w:keepNext/>
      </w:pPr>
      <w:r>
        <w:t xml:space="preserve">3.2 Artículos esenciales del Título VII (programas de ordenador)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8262"/>
      </w:tblGrid>
      <w:tr>
        <w:trPr>
          <w:tblHeader/>
        </w:trPr>
        <w:tc>
          <w:tcPr>
            <w:tcW w:type="dxa" w:w="137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Artículo</w:t>
            </w:r>
          </w:p>
        </w:tc>
        <w:tc>
          <w:tcPr>
            <w:tcW w:type="dxa" w:w="8262"/>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Rúbrica / contenido esencial</w:t>
            </w:r>
          </w:p>
        </w:tc>
      </w:tr>
      <w:tr>
        <w:trPr>
          <w:cantSplit/>
        </w:trPr>
        <w:tc>
          <w:tcPr>
            <w:tcW w:type="dxa" w:w="1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Art. 95</w:t>
            </w:r>
          </w:p>
        </w:tc>
        <w:tc>
          <w:tcPr>
            <w:tcW w:type="dxa" w:w="82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Régimen jurídico: se rige por los preceptos del Título VII y, en lo no previsto, por las disposiciones generales de la LPI.</w:t>
            </w:r>
          </w:p>
        </w:tc>
      </w:tr>
      <w:tr>
        <w:trPr>
          <w:cantSplit/>
        </w:trPr>
        <w:tc>
          <w:tcPr>
            <w:tcW w:type="dxa" w:w="137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Art. 96</w:t>
            </w:r>
          </w:p>
        </w:tc>
        <w:tc>
          <w:tcPr>
            <w:tcW w:type="dxa" w:w="82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Objeto de protección: concepto de programa, documentación, originalidad, versiones y derivados, exclusión de ideas y principios.</w:t>
            </w:r>
          </w:p>
        </w:tc>
      </w:tr>
      <w:tr>
        <w:trPr>
          <w:cantSplit/>
        </w:trPr>
        <w:tc>
          <w:tcPr>
            <w:tcW w:type="dxa" w:w="1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Art. 97</w:t>
            </w:r>
          </w:p>
        </w:tc>
        <w:tc>
          <w:tcPr>
            <w:tcW w:type="dxa" w:w="82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Titularidad de los derechos: autor persona natural o jurídica; obra colectiva; obra en colaboración; </w:t>
            </w:r>
            <w:r>
              <w:rPr>
                <w:sz w:val="18"/>
                <w:szCs w:val="18"/>
              </w:rPr>
              <w:t xml:space="preserve">programa creado por trabajador asalariado</w:t>
            </w:r>
            <w:r>
              <w:rPr>
                <w:sz w:val="18"/>
                <w:szCs w:val="18"/>
              </w:rPr>
              <w:t xml:space="preserve"> (97.4).</w:t>
            </w:r>
          </w:p>
        </w:tc>
      </w:tr>
      <w:tr>
        <w:trPr>
          <w:cantSplit/>
        </w:trPr>
        <w:tc>
          <w:tcPr>
            <w:tcW w:type="dxa" w:w="137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Art. 98</w:t>
            </w:r>
          </w:p>
        </w:tc>
        <w:tc>
          <w:tcPr>
            <w:tcW w:type="dxa" w:w="82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Duración: persona natural → la general (vida + 70 años); persona jurídica → </w:t>
            </w:r>
            <w:r>
              <w:rPr>
                <w:sz w:val="18"/>
                <w:szCs w:val="18"/>
              </w:rPr>
              <w:t xml:space="preserve">70 años</w:t>
            </w:r>
            <w:r>
              <w:rPr>
                <w:sz w:val="18"/>
                <w:szCs w:val="18"/>
              </w:rPr>
              <w:t xml:space="preserve"> desde el 1 de enero siguiente a la divulgación lícita o a la creación.</w:t>
            </w:r>
          </w:p>
        </w:tc>
      </w:tr>
      <w:tr>
        <w:trPr>
          <w:cantSplit/>
        </w:trPr>
        <w:tc>
          <w:tcPr>
            <w:tcW w:type="dxa" w:w="1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Art. 99</w:t>
            </w:r>
          </w:p>
        </w:tc>
        <w:tc>
          <w:tcPr>
            <w:tcW w:type="dxa" w:w="82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Contenido de los derechos de explotación: </w:t>
            </w:r>
            <w:r>
              <w:rPr>
                <w:sz w:val="18"/>
                <w:szCs w:val="18"/>
              </w:rPr>
              <w:t xml:space="preserve">reproducción</w:t>
            </w:r>
            <w:r>
              <w:rPr>
                <w:sz w:val="18"/>
                <w:szCs w:val="18"/>
              </w:rPr>
              <w:t xml:space="preserve">, </w:t>
            </w:r>
            <w:r>
              <w:rPr>
                <w:sz w:val="18"/>
                <w:szCs w:val="18"/>
              </w:rPr>
              <w:t xml:space="preserve">transformación</w:t>
            </w:r>
            <w:r>
              <w:rPr>
                <w:sz w:val="18"/>
                <w:szCs w:val="18"/>
              </w:rPr>
              <w:t xml:space="preserve"> y </w:t>
            </w:r>
            <w:r>
              <w:rPr>
                <w:sz w:val="18"/>
                <w:szCs w:val="18"/>
              </w:rPr>
              <w:t xml:space="preserve">distribución</w:t>
            </w:r>
            <w:r>
              <w:rPr>
                <w:sz w:val="18"/>
                <w:szCs w:val="18"/>
              </w:rPr>
              <w:t xml:space="preserve"> (incluido el alquiler). Agotamiento tras la primera venta en la UE, salvo alquiler.</w:t>
            </w:r>
          </w:p>
        </w:tc>
      </w:tr>
      <w:tr>
        <w:trPr>
          <w:cantSplit/>
        </w:trPr>
        <w:tc>
          <w:tcPr>
            <w:tcW w:type="dxa" w:w="137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Art. 100</w:t>
            </w:r>
          </w:p>
        </w:tc>
        <w:tc>
          <w:tcPr>
            <w:tcW w:type="dxa" w:w="82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Límites: actos necesarios para el uso legítimo (incl. corrección de errores), </w:t>
            </w:r>
            <w:r>
              <w:rPr>
                <w:sz w:val="18"/>
                <w:szCs w:val="18"/>
              </w:rPr>
              <w:t xml:space="preserve">copia de seguridad</w:t>
            </w:r>
            <w:r>
              <w:rPr>
                <w:sz w:val="18"/>
                <w:szCs w:val="18"/>
              </w:rPr>
              <w:t xml:space="preserve">, observación/estudio del funcionamiento, </w:t>
            </w:r>
            <w:r>
              <w:rPr>
                <w:sz w:val="18"/>
                <w:szCs w:val="18"/>
              </w:rPr>
              <w:t xml:space="preserve">descompilación</w:t>
            </w:r>
            <w:r>
              <w:rPr>
                <w:sz w:val="18"/>
                <w:szCs w:val="18"/>
              </w:rPr>
              <w:t xml:space="preserve"> para interoperabilidad.</w:t>
            </w:r>
          </w:p>
        </w:tc>
      </w:tr>
      <w:tr>
        <w:trPr>
          <w:cantSplit/>
        </w:trPr>
        <w:tc>
          <w:tcPr>
            <w:tcW w:type="dxa" w:w="1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Art. 101</w:t>
            </w:r>
          </w:p>
        </w:tc>
        <w:tc>
          <w:tcPr>
            <w:tcW w:type="dxa" w:w="82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Protección registral: los derechos pueden inscribirse en el Registro General de la Propiedad Intelectual.</w:t>
            </w:r>
          </w:p>
        </w:tc>
      </w:tr>
      <w:tr>
        <w:trPr>
          <w:cantSplit/>
        </w:trPr>
        <w:tc>
          <w:tcPr>
            <w:tcW w:type="dxa" w:w="137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Art. 102</w:t>
            </w:r>
          </w:p>
        </w:tc>
        <w:tc>
          <w:tcPr>
            <w:tcW w:type="dxa" w:w="82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Infracción de los derechos: poner en circulación o tener con fines comerciales copias ilegítimas, y medios para suprimir o neutralizar protecciones técnicas.</w:t>
            </w:r>
          </w:p>
        </w:tc>
      </w:tr>
      <w:tr>
        <w:trPr>
          <w:cantSplit/>
        </w:trPr>
        <w:tc>
          <w:tcPr>
            <w:tcW w:type="dxa" w:w="13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Art. 103</w:t>
            </w:r>
          </w:p>
        </w:tc>
        <w:tc>
          <w:tcPr>
            <w:tcW w:type="dxa" w:w="82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Medidas de protección: remisión a las acciones del Título I del Libro III (cese, indemnización, medidas cautelares).</w:t>
            </w:r>
          </w:p>
        </w:tc>
      </w:tr>
      <w:tr>
        <w:trPr>
          <w:cantSplit/>
        </w:trPr>
        <w:tc>
          <w:tcPr>
            <w:tcW w:type="dxa" w:w="137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Art. 104</w:t>
            </w:r>
          </w:p>
        </w:tc>
        <w:tc>
          <w:tcPr>
            <w:tcW w:type="dxa" w:w="826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Salvaguardia de otras disposiciones (patentes, marcas, competencia desleal, secretos, semiconductores, obligaciones).</w:t>
            </w:r>
          </w:p>
        </w:tc>
      </w:tr>
    </w:tbl>
    <w:p>
      <w:pPr>
        <w:spacing w:after="120"/>
      </w:pPr>
    </w:p>
    <w:p>
      <w:pPr>
        <w:pStyle w:val="Heading2"/>
        <w:keepNext/>
      </w:pPr>
      <w:r>
        <w:t xml:space="preserve">3.3 Duración de los derechos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Supuesto</w:t>
            </w:r>
          </w:p>
        </w:tc>
        <w:tc>
          <w:tcPr>
            <w:tcW w:type="dxa" w:w="688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Duración</w:t>
            </w:r>
          </w:p>
        </w:tc>
      </w:tr>
      <w:tr>
        <w:trPr>
          <w:cantSplit/>
        </w:trPr>
        <w:tc>
          <w:tcPr>
            <w:tcW w:type="dxa" w:w="275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Autor persona natural</w:t>
            </w:r>
          </w:p>
        </w:tc>
        <w:tc>
          <w:tcPr>
            <w:tcW w:type="dxa" w:w="68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Vida del autor + </w:t>
            </w:r>
            <w:r>
              <w:rPr>
                <w:sz w:val="18"/>
                <w:szCs w:val="18"/>
              </w:rPr>
              <w:t xml:space="preserve">70 años</w:t>
            </w:r>
            <w:r>
              <w:rPr>
                <w:sz w:val="18"/>
                <w:szCs w:val="18"/>
              </w:rPr>
              <w:t xml:space="preserve"> tras su muerte (art. 98.1 en relación con art. 26 LPI).</w:t>
            </w:r>
          </w:p>
        </w:tc>
      </w:tr>
      <w:tr>
        <w:trPr>
          <w:cantSplit/>
        </w:trPr>
        <w:tc>
          <w:tcPr>
            <w:tcW w:type="dxa" w:w="275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Autor persona jurídica</w:t>
            </w:r>
          </w:p>
        </w:tc>
        <w:tc>
          <w:tcPr>
            <w:tcW w:type="dxa" w:w="688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70 años</w:t>
            </w:r>
            <w:r>
              <w:rPr>
                <w:sz w:val="18"/>
                <w:szCs w:val="18"/>
              </w:rPr>
              <w:t xml:space="preserve"> desde el 1 de enero del año siguiente a la divulgación lícita o, si no se divulgó, a la creación (art. 98.2).</w:t>
            </w:r>
          </w:p>
        </w:tc>
      </w:tr>
      <w:tr>
        <w:trPr>
          <w:cantSplit/>
        </w:trPr>
        <w:tc>
          <w:tcPr>
            <w:tcW w:type="dxa" w:w="275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Derecho sui generis sobre BD (comparación)</w:t>
            </w:r>
          </w:p>
        </w:tc>
        <w:tc>
          <w:tcPr>
            <w:tcW w:type="dxa" w:w="688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15 años</w:t>
            </w:r>
            <w:r>
              <w:rPr>
                <w:sz w:val="18"/>
                <w:szCs w:val="18"/>
              </w:rPr>
              <w:t xml:space="preserve"> desde el 1 de enero siguiente a la terminación (art. 136).</w:t>
            </w:r>
          </w:p>
        </w:tc>
      </w:tr>
      <w:tr>
        <w:trPr>
          <w:cantSplit/>
        </w:trPr>
        <w:tc>
          <w:tcPr>
            <w:tcW w:type="dxa" w:w="275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Patente (comparación)</w:t>
            </w:r>
          </w:p>
        </w:tc>
        <w:tc>
          <w:tcPr>
            <w:tcW w:type="dxa" w:w="688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20 años</w:t>
            </w:r>
            <w:r>
              <w:rPr>
                <w:sz w:val="18"/>
                <w:szCs w:val="18"/>
              </w:rPr>
              <w:t xml:space="preserve"> desde la presentación de la solicitud (Ley 24/2015).</w:t>
            </w:r>
          </w:p>
        </w:tc>
      </w:tr>
    </w:tbl>
    <w:p>
      <w:pPr>
        <w:spacing w:after="120"/>
      </w:pPr>
    </w:p>
    <w:p>
      <w:pPr>
        <w:pStyle w:val="Heading2"/>
        <w:keepNext/>
      </w:pPr>
      <w:r>
        <w:t xml:space="preserve">3.4 Transmisión de derechos</w:t>
      </w:r>
    </w:p>
    <w:p>
      <w:pPr>
        <w:spacing w:after="120"/>
        <w:jc w:val="both"/>
      </w:pPr>
      <w:r>
        <w:t xml:space="preserve">Los derechos de explotación son transmisibles </w:t>
      </w:r>
      <w:r>
        <w:rPr>
          <w:b/>
          <w:bCs/>
        </w:rPr>
        <w:t xml:space="preserve">inter vivos</w:t>
      </w:r>
      <w:r>
        <w:t xml:space="preserve"> (art. 43 LPI): la cesión queda limitada a los derechos, modalidades, tiempo y ámbito territorial pactados; en defecto de pacto, cinco años y el país donde se realice la cesión. La cesión puede ser </w:t>
      </w:r>
      <w:r>
        <w:rPr>
          <w:b/>
          <w:bCs/>
        </w:rPr>
        <w:t xml:space="preserve">exclusiva</w:t>
      </w:r>
      <w:r>
        <w:t xml:space="preserve"> (art. 48: el cesionario puede explotar con exclusión de otros, incluido el cedente, y otorgar autorizaciones no exclusivas) o </w:t>
      </w:r>
      <w:r>
        <w:rPr>
          <w:b/>
          <w:bCs/>
        </w:rPr>
        <w:t xml:space="preserve">no exclusiva</w:t>
      </w:r>
      <w:r>
        <w:t xml:space="preserve"> (art. 50). Específicamente para programas, el art. 99 in fine establece que </w:t>
      </w:r>
      <w:r>
        <w:rPr>
          <w:b/>
          <w:bCs/>
        </w:rPr>
        <w:t xml:space="preserve">la cesión del derecho de uso se entiende no exclusiva e intransferible</w:t>
      </w:r>
      <w:r>
        <w:t xml:space="preserve">, presumiéndose para satisfacer únicamente las necesidades del usuario, salvo prueba en contrario.</w:t>
      </w:r>
    </w:p>
    <w:p>
      <w:pPr>
        <w:pStyle w:val="Heading2"/>
        <w:keepNext/>
      </w:pPr>
      <w:r>
        <w:t xml:space="preserve">3.5 Infracciones y medidas</w:t>
      </w:r>
    </w:p>
    <w:p>
      <w:pPr>
        <w:spacing w:after="120"/>
        <w:jc w:val="both"/>
      </w:pPr>
      <w:r>
        <w:t xml:space="preserve">Además de las conductas del art. 102, la LPI regula acciones civiles (art. 138: cese, indemnización de daños y perjuicios con criterios del art. 140, medidas cautelares del art. 141), la protección de </w:t>
      </w:r>
      <w:r>
        <w:rPr>
          <w:b/>
          <w:bCs/>
        </w:rPr>
        <w:t xml:space="preserve">medidas tecnológicas</w:t>
      </w:r>
      <w:r>
        <w:t xml:space="preserve"> (art. 160) y de la </w:t>
      </w:r>
      <w:r>
        <w:rPr>
          <w:b/>
          <w:bCs/>
        </w:rPr>
        <w:t xml:space="preserve">información para la gestión de derechos</w:t>
      </w:r>
      <w:r>
        <w:t xml:space="preserve"> (art. 162), y el procedimiento administrativo ante la </w:t>
      </w:r>
      <w:r>
        <w:rPr>
          <w:b/>
          <w:bCs/>
        </w:rPr>
        <w:t xml:space="preserve">Sección Segunda de la Comisión de Propiedad Intelectual</w:t>
      </w:r>
      <w:r>
        <w:t xml:space="preserve"> para retirar contenidos infractores de servicios de la sociedad de la información (art. 195). La vía penal está en los arts. 270-272 del Código Penal (apartado 23).</w:t>
      </w:r>
    </w:p>
    <w:p>
      <w:pPr>
        <w:pStyle w:val="Heading1"/>
        <w:keepNext/>
        <w:spacing w:after="200" w:before="360"/>
      </w:pPr>
      <w:r>
        <w:t xml:space="preserve">4. Autoría y titularidad del software</w:t>
      </w:r>
    </w:p>
    <w:p>
      <w:pPr>
        <w:pStyle w:val="Heading2"/>
        <w:keepNext/>
      </w:pPr>
      <w:r>
        <w:t xml:space="preserve">4.1 Autor y titular</w:t>
      </w:r>
    </w:p>
    <w:p>
      <w:pPr>
        <w:spacing w:after="120"/>
        <w:jc w:val="both"/>
      </w:pPr>
      <w:r>
        <w:rPr>
          <w:b/>
          <w:bCs/>
        </w:rPr>
        <w:t xml:space="preserve">Autor</w:t>
      </w:r>
      <w:r>
        <w:t xml:space="preserve"> es quien crea. </w:t>
      </w:r>
      <w:r>
        <w:rPr>
          <w:b/>
          <w:bCs/>
        </w:rPr>
        <w:t xml:space="preserve">Titular</w:t>
      </w:r>
      <w:r>
        <w:t xml:space="preserve"> es quien ostenta los derechos (puede ser el autor u otra persona por ley o por contrato). El </w:t>
      </w:r>
      <w:r>
        <w:rPr>
          <w:b/>
          <w:bCs/>
        </w:rPr>
        <w:t xml:space="preserve">art. 97.1 LPI</w:t>
      </w:r>
      <w:r>
        <w:t xml:space="preserve"> considera autor del programa a </w:t>
      </w:r>
      <w:r>
        <w:rPr>
          <w:b/>
          <w:bCs/>
        </w:rPr>
        <w:t xml:space="preserve">la persona o grupo de personas naturales que lo hayan creado</w:t>
      </w:r>
      <w:r>
        <w:t xml:space="preserve">, o a la </w:t>
      </w:r>
      <w:r>
        <w:rPr>
          <w:b/>
          <w:bCs/>
        </w:rPr>
        <w:t xml:space="preserve">persona jurídica</w:t>
      </w:r>
      <w:r>
        <w:t xml:space="preserve"> que la Ley contemple como titular en los casos expresamente previstos.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096"/>
        <w:gridCol w:w="3615"/>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Supuesto</w:t>
            </w:r>
          </w:p>
        </w:tc>
        <w:tc>
          <w:tcPr>
            <w:tcW w:type="dxa" w:w="409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Regla (art. 97 LPI)</w:t>
            </w:r>
          </w:p>
        </w:tc>
        <w:tc>
          <w:tcPr>
            <w:tcW w:type="dxa" w:w="361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Ejemplo</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Obra individual</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El autor persona natural es titular de todos los derechos.</w:t>
            </w:r>
          </w:p>
        </w:tc>
        <w:tc>
          <w:tcPr>
            <w:tcW w:type="dxa" w:w="36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Un programador freelance que desarrolla una app por iniciativa propia.</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Obra colectiva (97.2)</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Salvo pacto, se considera autor la </w:t>
            </w:r>
            <w:r>
              <w:rPr>
                <w:sz w:val="18"/>
                <w:szCs w:val="18"/>
              </w:rPr>
              <w:t xml:space="preserve">persona natural o jurídica que la edite y divulgue bajo su nombre</w:t>
            </w:r>
            <w:r>
              <w:rPr>
                <w:sz w:val="18"/>
                <w:szCs w:val="18"/>
              </w:rPr>
              <w:t xml:space="preserve">.</w:t>
            </w:r>
          </w:p>
        </w:tc>
        <w:tc>
          <w:tcPr>
            <w:tcW w:type="dxa" w:w="36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Una empresa coordina a 40 desarrolladores cuyas aportaciones se funden en un producto único.</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Obra en colaboración (97.3)</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Los derechos corresponden a todos los coautores </w:t>
            </w:r>
            <w:r>
              <w:rPr>
                <w:sz w:val="18"/>
                <w:szCs w:val="18"/>
              </w:rPr>
              <w:t xml:space="preserve">en la proporción que determinen</w:t>
            </w:r>
            <w:r>
              <w:rPr>
                <w:sz w:val="18"/>
                <w:szCs w:val="18"/>
              </w:rPr>
              <w:t xml:space="preserve">.</w:t>
            </w:r>
          </w:p>
        </w:tc>
        <w:tc>
          <w:tcPr>
            <w:tcW w:type="dxa" w:w="36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Dos desarrolladores que crean conjuntamente una librería.</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Trabajador asalariado (97.4)</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Si crea el programa </w:t>
            </w:r>
            <w:r>
              <w:rPr>
                <w:sz w:val="18"/>
                <w:szCs w:val="18"/>
              </w:rPr>
              <w:t xml:space="preserve">en el ejercicio de sus funciones o siguiendo instrucciones del empresario</w:t>
            </w:r>
            <w:r>
              <w:rPr>
                <w:sz w:val="18"/>
                <w:szCs w:val="18"/>
              </w:rPr>
              <w:t xml:space="preserve">, la titularidad de los </w:t>
            </w:r>
            <w:r>
              <w:rPr>
                <w:sz w:val="18"/>
                <w:szCs w:val="18"/>
              </w:rPr>
              <w:t xml:space="preserve">derechos de explotación</w:t>
            </w:r>
            <w:r>
              <w:rPr>
                <w:sz w:val="18"/>
                <w:szCs w:val="18"/>
              </w:rPr>
              <w:t xml:space="preserve"> (fuente y objeto) corresponde </w:t>
            </w:r>
            <w:r>
              <w:rPr>
                <w:sz w:val="18"/>
                <w:szCs w:val="18"/>
              </w:rPr>
              <w:t xml:space="preserve">exclusivamente al empresario, salvo pacto en contrario</w:t>
            </w:r>
            <w:r>
              <w:rPr>
                <w:sz w:val="18"/>
                <w:szCs w:val="18"/>
              </w:rPr>
              <w:t xml:space="preserve">.</w:t>
            </w:r>
          </w:p>
        </w:tc>
        <w:tc>
          <w:tcPr>
            <w:tcW w:type="dxa" w:w="36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Un informático del SAS que desarrolla una aplicación en su puesto de trabajo: los derechos de explotación son del SAS.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DEEAF6" w:color="auto" w:val="clear"/>
            <w:tcMar>
              <w:top w:type="dxa" w:w="100"/>
              <w:left w:type="dxa" w:w="160"/>
              <w:bottom w:type="dxa" w:w="100"/>
              <w:right w:type="dxa" w:w="140"/>
            </w:tcMar>
          </w:tcPr>
          <w:p>
            <w:pPr>
              <w:spacing w:after="80"/>
            </w:pPr>
            <w:r>
              <w:rPr>
                <w:b/>
                <w:bCs/>
                <w:color w:val="2E75B6"/>
                <w:sz w:val="20"/>
                <w:szCs w:val="20"/>
              </w:rPr>
              <w:t xml:space="preserve">CLAVE PARA EL EXAMEN</w:t>
            </w:r>
          </w:p>
          <w:p>
            <w:pPr>
              <w:spacing w:after="60"/>
              <w:jc w:val="both"/>
            </w:pPr>
            <w:r>
              <w:rPr>
                <w:sz w:val="19"/>
                <w:szCs w:val="19"/>
              </w:rPr>
              <w:t xml:space="preserve">La regla del </w:t>
            </w:r>
            <w:r>
              <w:rPr>
                <w:b/>
                <w:bCs/>
                <w:sz w:val="19"/>
                <w:szCs w:val="19"/>
              </w:rPr>
              <w:t xml:space="preserve">art. 97.4</w:t>
            </w:r>
            <w:r>
              <w:rPr>
                <w:sz w:val="19"/>
                <w:szCs w:val="19"/>
              </w:rPr>
              <w:t xml:space="preserve"> es </w:t>
            </w:r>
            <w:r>
              <w:rPr>
                <w:b/>
                <w:bCs/>
                <w:sz w:val="19"/>
                <w:szCs w:val="19"/>
              </w:rPr>
              <w:t xml:space="preserve">específica y más favorable al empleador</w:t>
            </w:r>
            <w:r>
              <w:rPr>
                <w:sz w:val="19"/>
                <w:szCs w:val="19"/>
              </w:rPr>
              <w:t xml:space="preserve"> que la regla general del art. 51 LPI para obras creadas en relación laboral. Opera por ministerio de la ley: </w:t>
            </w:r>
            <w:r>
              <w:rPr>
                <w:b/>
                <w:bCs/>
                <w:sz w:val="19"/>
                <w:szCs w:val="19"/>
              </w:rPr>
              <w:t xml:space="preserve">no hace falta contrato de cesión</w:t>
            </w:r>
            <w:r>
              <w:rPr>
                <w:sz w:val="19"/>
                <w:szCs w:val="19"/>
              </w:rPr>
              <w:t xml:space="preserve"> para el personal propio. Los </w:t>
            </w:r>
            <w:r>
              <w:rPr>
                <w:b/>
                <w:bCs/>
                <w:sz w:val="19"/>
                <w:szCs w:val="19"/>
              </w:rPr>
              <w:t xml:space="preserve">derechos morales</w:t>
            </w:r>
            <w:r>
              <w:rPr>
                <w:sz w:val="19"/>
                <w:szCs w:val="19"/>
              </w:rPr>
              <w:t xml:space="preserve"> siguen siendo del autor persona física.</w:t>
            </w:r>
          </w:p>
        </w:tc>
      </w:tr>
    </w:tbl>
    <w:p>
      <w:pPr>
        <w:spacing w:after="120"/>
      </w:pPr>
    </w:p>
    <w:p>
      <w:pPr>
        <w:pStyle w:val="Heading2"/>
        <w:keepNext/>
      </w:pPr>
      <w:r>
        <w:t xml:space="preserve">4.2 Software desarrollado por encargo</w:t>
      </w:r>
    </w:p>
    <w:p>
      <w:pPr>
        <w:spacing w:after="120"/>
        <w:jc w:val="both"/>
      </w:pPr>
      <w:r>
        <w:t xml:space="preserve">Cuando el software lo desarrolla un </w:t>
      </w:r>
      <w:r>
        <w:rPr>
          <w:b/>
          <w:bCs/>
        </w:rPr>
        <w:t xml:space="preserve">tercero no asalariado</w:t>
      </w:r>
      <w:r>
        <w:t xml:space="preserve"> (empresa contratista, autónomo), </w:t>
      </w:r>
      <w:r>
        <w:rPr>
          <w:b/>
          <w:bCs/>
        </w:rPr>
        <w:t xml:space="preserve">no se aplica el art. 97.4</w:t>
      </w:r>
      <w:r>
        <w:t xml:space="preserve">: los derechos permanecen en el creador salvo que se </w:t>
      </w:r>
      <w:r>
        <w:rPr>
          <w:b/>
          <w:bCs/>
        </w:rPr>
        <w:t xml:space="preserve">cedan por contrato</w:t>
      </w:r>
      <w:r>
        <w:t xml:space="preserve">. Por eso los contratos de desarrollo deben regular expresamente la cesión de derechos de explotación, la entrega del </w:t>
      </w:r>
      <w:r>
        <w:rPr>
          <w:b/>
          <w:bCs/>
        </w:rPr>
        <w:t xml:space="preserve">código fuente</w:t>
      </w:r>
      <w:r>
        <w:t xml:space="preserve"> y la documentación.</w:t>
      </w:r>
    </w:p>
    <w:p>
      <w:pPr>
        <w:pStyle w:val="Heading2"/>
        <w:keepNext/>
      </w:pPr>
      <w:r>
        <w:t xml:space="preserve">4.3 Software desarrollado para una Administración Pública</w:t>
      </w:r>
    </w:p>
    <w:p>
      <w:pPr>
        <w:spacing w:after="120"/>
        <w:jc w:val="both"/>
      </w:pPr>
      <w:r>
        <w:t xml:space="preserve">En contratación pública, el </w:t>
      </w:r>
      <w:r>
        <w:rPr>
          <w:b/>
          <w:bCs/>
        </w:rPr>
        <w:t xml:space="preserve">art. 308.1 de la Ley 9/2017, de Contratos del Sector Público (LCSP)</w:t>
      </w:r>
      <w:r>
        <w:t xml:space="preserve"> dispone que, en los contratos de servicios que tengan por objeto el desarrollo y la puesta a disposición de productos protegidos por un derecho de propiedad intelectual o industrial, </w:t>
      </w:r>
      <w:r>
        <w:rPr>
          <w:b/>
          <w:bCs/>
        </w:rPr>
        <w:t xml:space="preserve">la ejecución llevará aparejada la cesión a la Administración contratante del derecho de explotación</w:t>
      </w:r>
      <w:r>
        <w:t xml:space="preserve">, salvo que los pliegos dispongan otra cosa. Además, la </w:t>
      </w:r>
      <w:r>
        <w:rPr>
          <w:b/>
          <w:bCs/>
        </w:rPr>
        <w:t xml:space="preserve">Ley 40/2015</w:t>
      </w:r>
      <w:r>
        <w:t xml:space="preserve"> regula la </w:t>
      </w:r>
      <w:r>
        <w:rPr>
          <w:b/>
          <w:bCs/>
        </w:rPr>
        <w:t xml:space="preserve">reutilización de sistemas y aplicaciones</w:t>
      </w:r>
      <w:r>
        <w:t xml:space="preserve"> propiedad de la Administración (art. 157), que pueden declararse </w:t>
      </w:r>
      <w:r>
        <w:rPr>
          <w:b/>
          <w:bCs/>
        </w:rPr>
        <w:t xml:space="preserve">de fuentes abiertas</w:t>
      </w:r>
      <w:r>
        <w:t xml:space="preserve">, y la </w:t>
      </w:r>
      <w:r>
        <w:rPr>
          <w:b/>
          <w:bCs/>
        </w:rPr>
        <w:t xml:space="preserve">transferencia de tecnología</w:t>
      </w:r>
      <w:r>
        <w:t xml:space="preserve"> entre Administraciones mediante un directorio general de aplicaciones (art. 158; en la AGE, el Centro de Transferencia de Tecnología, CTT).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75623" w:sz="4"/>
              <w:left w:val="single" w:color="375623" w:sz="24"/>
              <w:bottom w:val="single" w:color="375623" w:sz="4"/>
              <w:right w:val="single" w:color="375623" w:sz="4"/>
            </w:tcBorders>
            <w:shd w:fill="E2EFDA" w:color="auto" w:val="clear"/>
            <w:tcMar>
              <w:top w:type="dxa" w:w="100"/>
              <w:left w:type="dxa" w:w="160"/>
              <w:bottom w:type="dxa" w:w="100"/>
              <w:right w:type="dxa" w:w="140"/>
            </w:tcMar>
          </w:tcPr>
          <w:p>
            <w:pPr>
              <w:spacing w:after="80"/>
            </w:pPr>
            <w:r>
              <w:rPr>
                <w:b/>
                <w:bCs/>
                <w:color w:val="375623"/>
                <w:sz w:val="20"/>
                <w:szCs w:val="20"/>
              </w:rPr>
              <w:t xml:space="preserve">EJEMPLO EN EL ÁMBITO SANITARIO / AP</w:t>
            </w:r>
          </w:p>
          <w:p>
            <w:pPr>
              <w:spacing w:after="60"/>
              <w:jc w:val="both"/>
            </w:pPr>
            <w:r>
              <w:rPr>
                <w:sz w:val="19"/>
                <w:szCs w:val="19"/>
              </w:rPr>
              <w:t xml:space="preserve">Caso típico de examen (pregunta 1311): un centro sanitario del SAS desarrolla un sistema de información para pacientes. Si lo desarrolla </w:t>
            </w:r>
            <w:r>
              <w:rPr>
                <w:b/>
                <w:bCs/>
                <w:sz w:val="19"/>
                <w:szCs w:val="19"/>
              </w:rPr>
              <w:t xml:space="preserve">personal propio</w:t>
            </w:r>
            <w:r>
              <w:rPr>
                <w:sz w:val="19"/>
                <w:szCs w:val="19"/>
              </w:rPr>
              <w:t xml:space="preserve">, los derechos de explotación son del SAS por el </w:t>
            </w:r>
            <w:r>
              <w:rPr>
                <w:b/>
                <w:bCs/>
                <w:sz w:val="19"/>
                <w:szCs w:val="19"/>
              </w:rPr>
              <w:t xml:space="preserve">art. 97.4 LPI</w:t>
            </w:r>
            <w:r>
              <w:rPr>
                <w:sz w:val="19"/>
                <w:szCs w:val="19"/>
              </w:rPr>
              <w:t xml:space="preserve">; si lo desarrolla una </w:t>
            </w:r>
            <w:r>
              <w:rPr>
                <w:b/>
                <w:bCs/>
                <w:sz w:val="19"/>
                <w:szCs w:val="19"/>
              </w:rPr>
              <w:t xml:space="preserve">empresa contratista</w:t>
            </w:r>
            <w:r>
              <w:rPr>
                <w:sz w:val="19"/>
                <w:szCs w:val="19"/>
              </w:rPr>
              <w:t xml:space="preserve">, se ceden por el </w:t>
            </w:r>
            <w:r>
              <w:rPr>
                <w:b/>
                <w:bCs/>
                <w:sz w:val="19"/>
                <w:szCs w:val="19"/>
              </w:rPr>
              <w:t xml:space="preserve">art. 308 LCSP</w:t>
            </w:r>
            <w:r>
              <w:rPr>
                <w:sz w:val="19"/>
                <w:szCs w:val="19"/>
              </w:rPr>
              <w:t xml:space="preserve"> (salvo pliegos) o por contrato. La </w:t>
            </w:r>
            <w:r>
              <w:rPr>
                <w:b/>
                <w:bCs/>
                <w:sz w:val="19"/>
                <w:szCs w:val="19"/>
              </w:rPr>
              <w:t xml:space="preserve">inscripción en el Registro de la Propiedad Intelectual</w:t>
            </w:r>
            <w:r>
              <w:rPr>
                <w:sz w:val="19"/>
                <w:szCs w:val="19"/>
              </w:rPr>
              <w:t xml:space="preserve"> haciendo constar al SAS como titular de los derechos de explotación es el medio de </w:t>
            </w:r>
            <w:r>
              <w:rPr>
                <w:b/>
                <w:bCs/>
                <w:sz w:val="19"/>
                <w:szCs w:val="19"/>
              </w:rPr>
              <w:t xml:space="preserve">prueba y publicidad</w:t>
            </w:r>
            <w:r>
              <w:rPr>
                <w:sz w:val="19"/>
                <w:szCs w:val="19"/>
              </w:rPr>
              <w:t xml:space="preserve"> recomendado. No es una patente (no hay contribución técnica que proteger como invención) ni se protege «declarándolo software libre».</w:t>
            </w:r>
          </w:p>
        </w:tc>
      </w:tr>
    </w:tbl>
    <w:p>
      <w:pPr>
        <w:spacing w:after="120"/>
      </w:pPr>
    </w:p>
    <w:p>
      <w:pPr>
        <w:pStyle w:val="Heading1"/>
        <w:keepNext/>
        <w:spacing w:after="200" w:before="360"/>
      </w:pPr>
      <w:r>
        <w:t xml:space="preserve">5. Derechos sobre el software</w:t>
      </w:r>
    </w:p>
    <w:p>
      <w:pPr>
        <w:pStyle w:val="Heading2"/>
        <w:keepNext/>
      </w:pPr>
      <w:r>
        <w:t xml:space="preserve">5.1 Derechos morales</w:t>
      </w:r>
    </w:p>
    <w:p>
      <w:pPr>
        <w:spacing w:after="120"/>
        <w:jc w:val="both"/>
      </w:pPr>
      <w:r>
        <w:t xml:space="preserve">Son </w:t>
      </w:r>
      <w:r>
        <w:rPr>
          <w:b/>
          <w:bCs/>
        </w:rPr>
        <w:t xml:space="preserve">irrenunciables e inalienables</w:t>
      </w:r>
      <w:r>
        <w:t xml:space="preserve"> (art. 14 LPI) y corresponden siempre al autor persona física: decidir la </w:t>
      </w:r>
      <w:r>
        <w:rPr>
          <w:b/>
          <w:bCs/>
        </w:rPr>
        <w:t xml:space="preserve">divulgación</w:t>
      </w:r>
      <w:r>
        <w:t xml:space="preserve"> y su forma, exigir el </w:t>
      </w:r>
      <w:r>
        <w:rPr>
          <w:b/>
          <w:bCs/>
        </w:rPr>
        <w:t xml:space="preserve">reconocimiento de la autoría</w:t>
      </w:r>
      <w:r>
        <w:t xml:space="preserve"> (paternidad), exigir el </w:t>
      </w:r>
      <w:r>
        <w:rPr>
          <w:b/>
          <w:bCs/>
        </w:rPr>
        <w:t xml:space="preserve">respeto a la integridad</w:t>
      </w:r>
      <w:r>
        <w:t xml:space="preserve"> de la obra, </w:t>
      </w:r>
      <w:r>
        <w:rPr>
          <w:b/>
          <w:bCs/>
        </w:rPr>
        <w:t xml:space="preserve">modificarla</w:t>
      </w:r>
      <w:r>
        <w:t xml:space="preserve"> respetando derechos de terceros, </w:t>
      </w:r>
      <w:r>
        <w:rPr>
          <w:b/>
          <w:bCs/>
        </w:rPr>
        <w:t xml:space="preserve">retirarla</w:t>
      </w:r>
      <w:r>
        <w:t xml:space="preserve"> del comercio indemnizando, y acceder al ejemplar único o raro. En el software su alcance práctico es </w:t>
      </w:r>
      <w:r>
        <w:rPr>
          <w:b/>
          <w:bCs/>
        </w:rPr>
        <w:t xml:space="preserve">limitado</w:t>
      </w:r>
      <w:r>
        <w:t xml:space="preserve">: la Directiva 2009/24/CE no los armoniza y el art. 97.4 atribuye la explotación al empresario; la adaptación del programa por el titular de la explotación no suele poder bloquearse invocando la integridad.</w:t>
      </w:r>
    </w:p>
    <w:p>
      <w:pPr>
        <w:pStyle w:val="Heading2"/>
        <w:keepNext/>
      </w:pPr>
      <w:r>
        <w:t xml:space="preserve">5.2 Derechos de explotación (art. 99 LPI)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2"/>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Derecho</w:t>
            </w:r>
          </w:p>
        </w:tc>
        <w:tc>
          <w:tcPr>
            <w:tcW w:type="dxa" w:w="481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Contenido en el software</w:t>
            </w:r>
          </w:p>
        </w:tc>
        <w:tc>
          <w:tcPr>
            <w:tcW w:type="dxa" w:w="2892"/>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Matiz de examen</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Reproducción (99.a)</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Reproducción </w:t>
            </w:r>
            <w:r>
              <w:rPr>
                <w:sz w:val="18"/>
                <w:szCs w:val="18"/>
              </w:rPr>
              <w:t xml:space="preserve">total o parcial, permanente o provisional</w:t>
            </w:r>
            <w:r>
              <w:rPr>
                <w:sz w:val="18"/>
                <w:szCs w:val="18"/>
              </w:rPr>
              <w:t xml:space="preserve">, por cualquier medio y forma. Incluye la reproducción necesaria para </w:t>
            </w:r>
            <w:r>
              <w:rPr>
                <w:sz w:val="18"/>
                <w:szCs w:val="18"/>
              </w:rPr>
              <w:t xml:space="preserve">cargar, presentar, ejecutar, transmitir o almacenar</w:t>
            </w:r>
            <w:r>
              <w:rPr>
                <w:sz w:val="18"/>
                <w:szCs w:val="18"/>
              </w:rPr>
              <w:t xml:space="preserve"> el programa.</w:t>
            </w:r>
          </w:p>
        </w:tc>
        <w:tc>
          <w:tcPr>
            <w:tcW w:type="dxa" w:w="289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Por eso incluso </w:t>
            </w:r>
            <w:r>
              <w:rPr>
                <w:sz w:val="18"/>
                <w:szCs w:val="18"/>
              </w:rPr>
              <w:t xml:space="preserve">ejecutar</w:t>
            </w:r>
            <w:r>
              <w:rPr>
                <w:sz w:val="18"/>
                <w:szCs w:val="18"/>
              </w:rPr>
              <w:t xml:space="preserve"> un programa requiere autorización (licencia).</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Transformación (99.b)</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Traducción, adaptación, arreglo</w:t>
            </w:r>
            <w:r>
              <w:rPr>
                <w:sz w:val="18"/>
                <w:szCs w:val="18"/>
              </w:rPr>
              <w:t xml:space="preserve"> o cualquier otra transformación, y la reproducción de sus resultados.</w:t>
            </w:r>
          </w:p>
        </w:tc>
        <w:tc>
          <w:tcPr>
            <w:tcW w:type="dxa" w:w="289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Modificar el código es transformación.</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Distribución (99.c)</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Cualquier forma de distribución pública, </w:t>
            </w:r>
            <w:r>
              <w:rPr>
                <w:sz w:val="18"/>
                <w:szCs w:val="18"/>
              </w:rPr>
              <w:t xml:space="preserve">incluido el alquiler</w:t>
            </w:r>
            <w:r>
              <w:rPr>
                <w:sz w:val="18"/>
                <w:szCs w:val="18"/>
              </w:rPr>
              <w:t xml:space="preserve">, del original o de copias.</w:t>
            </w:r>
          </w:p>
        </w:tc>
        <w:tc>
          <w:tcPr>
            <w:tcW w:type="dxa" w:w="289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Agotamiento</w:t>
            </w:r>
            <w:r>
              <w:rPr>
                <w:sz w:val="18"/>
                <w:szCs w:val="18"/>
              </w:rPr>
              <w:t xml:space="preserve">: la primera venta en la UE por el titular agota el derecho de distribución de esa copia, </w:t>
            </w:r>
            <w:r>
              <w:rPr>
                <w:sz w:val="18"/>
                <w:szCs w:val="18"/>
              </w:rPr>
              <w:t xml:space="preserve">salvo el alquiler</w:t>
            </w:r>
            <w:r>
              <w:rPr>
                <w:sz w:val="18"/>
                <w:szCs w:val="18"/>
              </w:rPr>
              <w:t xml:space="preserve">.</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Comunicación pública</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 aparece en la lista del art. 99, pero se aplica la regla general (art. 20 LPI) a la </w:t>
            </w:r>
            <w:r>
              <w:rPr>
                <w:sz w:val="18"/>
                <w:szCs w:val="18"/>
              </w:rPr>
              <w:t xml:space="preserve">puesta a disposición interactiva</w:t>
            </w:r>
            <w:r>
              <w:rPr>
                <w:sz w:val="18"/>
                <w:szCs w:val="18"/>
              </w:rPr>
              <w:t xml:space="preserve"> (p. ej., descarga o acceso en línea).</w:t>
            </w:r>
          </w:p>
        </w:tc>
        <w:tc>
          <w:tcPr>
            <w:tcW w:type="dxa" w:w="289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Relevante en SaaS y descargas.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4"/>
              <w:left w:val="single" w:color="BF8F00" w:sz="24"/>
              <w:bottom w:val="single" w:color="BF8F00" w:sz="4"/>
              <w:right w:val="single" w:color="BF8F00" w:sz="4"/>
            </w:tcBorders>
            <w:shd w:fill="FFF2CC" w:color="auto" w:val="clear"/>
            <w:tcMar>
              <w:top w:type="dxa" w:w="100"/>
              <w:left w:type="dxa" w:w="160"/>
              <w:bottom w:type="dxa" w:w="100"/>
              <w:right w:type="dxa" w:w="140"/>
            </w:tcMar>
          </w:tcPr>
          <w:p>
            <w:pPr>
              <w:spacing w:after="80"/>
            </w:pPr>
            <w:r>
              <w:rPr>
                <w:b/>
                <w:bCs/>
                <w:color w:val="BF8F00"/>
                <w:sz w:val="20"/>
                <w:szCs w:val="20"/>
              </w:rPr>
              <w:t xml:space="preserve">NOTA</w:t>
            </w:r>
          </w:p>
          <w:p>
            <w:pPr>
              <w:spacing w:after="60"/>
              <w:jc w:val="both"/>
            </w:pPr>
            <w:r>
              <w:rPr>
                <w:sz w:val="19"/>
                <w:szCs w:val="19"/>
              </w:rPr>
              <w:t xml:space="preserve">*</w:t>
            </w:r>
            <w:r>
              <w:rPr>
                <w:i/>
                <w:iCs/>
                <w:sz w:val="19"/>
                <w:szCs w:val="19"/>
              </w:rPr>
              <w:t xml:space="preserve">Jurisprudencia TJUE – </w:t>
            </w:r>
            <w:r>
              <w:rPr>
                <w:sz w:val="19"/>
                <w:szCs w:val="19"/>
              </w:rPr>
              <w:t xml:space="preserve">UsedSoft</w:t>
            </w:r>
            <w:r>
              <w:rPr>
                <w:i/>
                <w:iCs/>
                <w:sz w:val="19"/>
                <w:szCs w:val="19"/>
              </w:rPr>
              <w:t xml:space="preserve"> (C-128/11, 2012)</w:t>
            </w:r>
            <w:r>
              <w:rPr>
                <w:i/>
                <w:iCs/>
                <w:sz w:val="19"/>
                <w:szCs w:val="19"/>
              </w:rPr>
              <w:t xml:space="preserve">: el derecho de distribución también se agota respecto de copias </w:t>
            </w:r>
            <w:r>
              <w:rPr>
                <w:i/>
                <w:iCs/>
                <w:sz w:val="19"/>
                <w:szCs w:val="19"/>
              </w:rPr>
              <w:t xml:space="preserve">descargadas</w:t>
            </w:r>
            <w:r>
              <w:rPr>
                <w:i/>
                <w:iCs/>
                <w:sz w:val="19"/>
                <w:szCs w:val="19"/>
              </w:rPr>
              <w:t xml:space="preserve"> cuando el titular concede una </w:t>
            </w:r>
            <w:r>
              <w:rPr>
                <w:i/>
                <w:iCs/>
                <w:sz w:val="19"/>
                <w:szCs w:val="19"/>
              </w:rPr>
              <w:t xml:space="preserve">licencia perpetua a cambio de un precio</w:t>
            </w:r>
            <w:r>
              <w:rPr>
                <w:sz w:val="19"/>
                <w:szCs w:val="19"/>
              </w:rPr>
              <w:t xml:space="preserve">* (equivalente a una venta), lo que permite la reventa de licencias usadas, sin dividir licencias en volumen y debiendo el vendedor inutilizar su copia.</w:t>
            </w:r>
          </w:p>
        </w:tc>
      </w:tr>
    </w:tbl>
    <w:p>
      <w:pPr>
        <w:spacing w:after="120"/>
      </w:pPr>
    </w:p>
    <w:p>
      <w:pPr>
        <w:pStyle w:val="Heading2"/>
        <w:keepNext/>
      </w:pPr>
      <w:r>
        <w:t xml:space="preserve">5.3 Qué puede hacer cada sujeto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Sujeto</w:t>
            </w:r>
          </w:p>
        </w:tc>
        <w:tc>
          <w:tcPr>
            <w:tcW w:type="dxa" w:w="722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Actos legítimos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Titular de los derechos de explotación</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Reproducir, transformar, distribuir, comunicar; otorgar licencias (exclusivas o no); ceder derechos; perseguir infracciones.</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Licenciatario</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Solo lo que la licencia autoriza (número de usuarios/dispositivos, territorio, duración, finalidad) y los límites legales imperativos del art. 100.</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Usuario legítimo (art. 100 LPI)</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Sin autorización adicional: actos necesarios para usar el programa conforme a su finalidad, </w:t>
            </w:r>
            <w:r>
              <w:rPr>
                <w:sz w:val="18"/>
                <w:szCs w:val="18"/>
              </w:rPr>
              <w:t xml:space="preserve">incluida la corrección de errores</w:t>
            </w:r>
            <w:r>
              <w:rPr>
                <w:sz w:val="18"/>
                <w:szCs w:val="18"/>
              </w:rPr>
              <w:t xml:space="preserve"> (salvo pacto en contrario, 100.1); </w:t>
            </w:r>
            <w:r>
              <w:rPr>
                <w:sz w:val="18"/>
                <w:szCs w:val="18"/>
              </w:rPr>
              <w:t xml:space="preserve">copia de seguridad</w:t>
            </w:r>
            <w:r>
              <w:rPr>
                <w:sz w:val="18"/>
                <w:szCs w:val="18"/>
              </w:rPr>
              <w:t xml:space="preserve"> (no puede prohibirse por contrato, 100.2); </w:t>
            </w:r>
            <w:r>
              <w:rPr>
                <w:sz w:val="18"/>
                <w:szCs w:val="18"/>
              </w:rPr>
              <w:t xml:space="preserve">observar, estudiar y verificar</w:t>
            </w:r>
            <w:r>
              <w:rPr>
                <w:sz w:val="18"/>
                <w:szCs w:val="18"/>
              </w:rPr>
              <w:t xml:space="preserve"> su funcionamiento para conocer ideas y principios (100.3); </w:t>
            </w:r>
            <w:r>
              <w:rPr>
                <w:sz w:val="18"/>
                <w:szCs w:val="18"/>
              </w:rPr>
              <w:t xml:space="preserve">descompilación</w:t>
            </w:r>
            <w:r>
              <w:rPr>
                <w:sz w:val="18"/>
                <w:szCs w:val="18"/>
              </w:rPr>
              <w:t xml:space="preserve"> con fines de interoperabilidad en las condiciones del 100.5-6.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4"/>
              <w:left w:val="single" w:color="BF8F00" w:sz="24"/>
              <w:bottom w:val="single" w:color="BF8F00" w:sz="4"/>
              <w:right w:val="single" w:color="BF8F00" w:sz="4"/>
            </w:tcBorders>
            <w:shd w:fill="FFF2CC" w:color="auto" w:val="clear"/>
            <w:tcMar>
              <w:top w:type="dxa" w:w="100"/>
              <w:left w:type="dxa" w:w="160"/>
              <w:bottom w:type="dxa" w:w="100"/>
              <w:right w:type="dxa" w:w="140"/>
            </w:tcMar>
          </w:tcPr>
          <w:p>
            <w:pPr>
              <w:spacing w:after="80"/>
            </w:pPr>
            <w:r>
              <w:rPr>
                <w:b/>
                <w:bCs/>
                <w:color w:val="BF8F00"/>
                <w:sz w:val="20"/>
                <w:szCs w:val="20"/>
              </w:rPr>
              <w:t xml:space="preserve">NOTA</w:t>
            </w:r>
          </w:p>
          <w:p>
            <w:pPr>
              <w:spacing w:after="60"/>
              <w:jc w:val="both"/>
            </w:pPr>
            <w:r>
              <w:rPr>
                <w:sz w:val="19"/>
                <w:szCs w:val="19"/>
              </w:rPr>
              <w:t xml:space="preserve">*</w:t>
            </w:r>
            <w:r>
              <w:rPr>
                <w:i/>
                <w:iCs/>
                <w:sz w:val="19"/>
                <w:szCs w:val="19"/>
              </w:rPr>
              <w:t xml:space="preserve">TJUE </w:t>
            </w:r>
            <w:r>
              <w:rPr>
                <w:sz w:val="19"/>
                <w:szCs w:val="19"/>
              </w:rPr>
              <w:t xml:space="preserve">Top System</w:t>
            </w:r>
            <w:r>
              <w:rPr>
                <w:i/>
                <w:iCs/>
                <w:sz w:val="19"/>
                <w:szCs w:val="19"/>
              </w:rPr>
              <w:t xml:space="preserve"> (C-13/20, 2021)</w:t>
            </w:r>
            <w:r>
              <w:rPr>
                <w:i/>
                <w:iCs/>
                <w:sz w:val="19"/>
                <w:szCs w:val="19"/>
              </w:rPr>
              <w:t xml:space="preserve">: el adquirente legítimo puede </w:t>
            </w:r>
            <w:r>
              <w:rPr>
                <w:i/>
                <w:iCs/>
                <w:sz w:val="19"/>
                <w:szCs w:val="19"/>
              </w:rPr>
              <w:t xml:space="preserve">descompilar</w:t>
            </w:r>
            <w:r>
              <w:rPr>
                <w:i/>
                <w:iCs/>
                <w:sz w:val="19"/>
                <w:szCs w:val="19"/>
              </w:rPr>
              <w:t xml:space="preserve"> total o parcialmente un programa cuando sea necesario para </w:t>
            </w:r>
            <w:r>
              <w:rPr>
                <w:i/>
                <w:iCs/>
                <w:sz w:val="19"/>
                <w:szCs w:val="19"/>
              </w:rPr>
              <w:t xml:space="preserve">corregir errores</w:t>
            </w:r>
            <w:r>
              <w:rPr>
                <w:sz w:val="19"/>
                <w:szCs w:val="19"/>
              </w:rPr>
              <w:t xml:space="preserve">* que afectan a su funcionamiento, incluso fuera de los supuestos de interoperabilidad, respetando las condiciones contractuales.</w:t>
            </w:r>
          </w:p>
        </w:tc>
      </w:tr>
    </w:tbl>
    <w:p>
      <w:pPr>
        <w:spacing w:after="120"/>
      </w:pPr>
    </w:p>
    <w:p>
      <w:pPr>
        <w:pStyle w:val="Heading1"/>
        <w:keepNext/>
        <w:spacing w:after="200" w:before="360"/>
      </w:pPr>
      <w:r>
        <w:t xml:space="preserve">6. La licencia de uso de software</w:t>
      </w:r>
    </w:p>
    <w:p>
      <w:pPr>
        <w:pStyle w:val="Heading2"/>
        <w:keepNext/>
      </w:pPr>
      <w:r>
        <w:t xml:space="preserve">6.1 Concepto</w:t>
      </w:r>
    </w:p>
    <w:p>
      <w:pPr>
        <w:spacing w:after="120"/>
        <w:jc w:val="both"/>
      </w:pPr>
      <w:r>
        <w:t xml:space="preserve">La </w:t>
      </w:r>
      <w:r>
        <w:rPr>
          <w:b/>
          <w:bCs/>
        </w:rPr>
        <w:t xml:space="preserve">licencia de uso</w:t>
      </w:r>
      <w:r>
        <w:t xml:space="preserve"> es el </w:t>
      </w:r>
      <w:r>
        <w:rPr>
          <w:b/>
          <w:bCs/>
        </w:rPr>
        <w:t xml:space="preserve">contrato</w:t>
      </w:r>
      <w:r>
        <w:t xml:space="preserve"> por el que el titular de los derechos de explotación (licenciante) </w:t>
      </w:r>
      <w:r>
        <w:rPr>
          <w:b/>
          <w:bCs/>
        </w:rPr>
        <w:t xml:space="preserve">autoriza</w:t>
      </w:r>
      <w:r>
        <w:t xml:space="preserve"> a otra persona (licenciatario) a </w:t>
      </w:r>
      <w:r>
        <w:rPr>
          <w:b/>
          <w:bCs/>
        </w:rPr>
        <w:t xml:space="preserve">utilizar el programa</w:t>
      </w:r>
      <w:r>
        <w:t xml:space="preserve"> en unas condiciones determinadas, </w:t>
      </w:r>
      <w:r>
        <w:rPr>
          <w:b/>
          <w:bCs/>
        </w:rPr>
        <w:t xml:space="preserve">sin transmitirle la titularidad</w:t>
      </w:r>
      <w:r>
        <w:t xml:space="preserve"> de los derechos. Es un contrato </w:t>
      </w:r>
      <w:r>
        <w:rPr>
          <w:b/>
          <w:bCs/>
        </w:rPr>
        <w:t xml:space="preserve">atípico</w:t>
      </w:r>
      <w:r>
        <w:t xml:space="preserve"> en Derecho español (no tiene una regulación completa propia), que se rige por la </w:t>
      </w:r>
      <w:r>
        <w:rPr>
          <w:b/>
          <w:bCs/>
        </w:rPr>
        <w:t xml:space="preserve">autonomía de la voluntad</w:t>
      </w:r>
      <w:r>
        <w:t xml:space="preserve">, la </w:t>
      </w:r>
      <w:r>
        <w:rPr>
          <w:b/>
          <w:bCs/>
        </w:rPr>
        <w:t xml:space="preserve">LPI</w:t>
      </w:r>
      <w:r>
        <w:t xml:space="preserve"> (arts. 43 y ss., 99-100) y, supletoriamente, el Código Civil y, si el licenciatario es consumidor, el </w:t>
      </w:r>
      <w:r>
        <w:rPr>
          <w:b/>
          <w:bCs/>
        </w:rPr>
        <w:t xml:space="preserve">TRLGDCU (RDL 1/2007)</w:t>
      </w:r>
      <w:r>
        <w:t xml:space="preserve"> y la normativa de condiciones generales de la contratación (Ley 7/1998).</w:t>
      </w:r>
    </w:p>
    <w:p>
      <w:pPr>
        <w:spacing w:after="80"/>
        <w:jc w:val="center"/>
      </w:pPr>
      <w:r>
        <w:rPr>
          <w:b/>
          <w:bCs/>
          <w:color w:val="1F3864"/>
          <w:sz w:val="20"/>
          <w:szCs w:val="20"/>
        </w:rPr>
        <w:t xml:space="preserve">Esquema: protección jurídica y uso</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Pr>
      <w:tblGrid>
        <w:gridCol w:w="2139"/>
        <w:gridCol w:w="360"/>
        <w:gridCol w:w="2139"/>
        <w:gridCol w:w="360"/>
        <w:gridCol w:w="2139"/>
        <w:gridCol w:w="360"/>
        <w:gridCol w:w="2139"/>
      </w:tblGrid>
      <w:tr>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Software (obra)</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Derechos del titular</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Licencia (autorización contractual)</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Uso autorizado por el licenciatario</w:t>
            </w:r>
          </w:p>
        </w:tc>
      </w:tr>
    </w:tbl>
    <w:p>
      <w:pPr>
        <w:spacing w:after="60"/>
      </w:pPr>
    </w:p>
    <w:p>
      <w:pPr>
        <w:pStyle w:val="Heading2"/>
        <w:keepNext/>
      </w:pPr>
      <w:r>
        <w:t xml:space="preserve">6.2 Elementos del contrato de licencia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Elemento</w:t>
            </w:r>
          </w:p>
        </w:tc>
        <w:tc>
          <w:tcPr>
            <w:tcW w:type="dxa" w:w="722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Contenido habitual</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Partes</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Licenciante (titular o quien tenga facultad de sublicenciar) y licenciatario (usuario final, empresa, Administración).</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Objeto</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El programa (versión, módulos), documentación, en su caso código fuente o acceso a servicio.</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Alcance</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Actos autorizados (instalar, ejecutar, copiar, modificar, integrar), finalidad (uso interno, comercial, académico).</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Métrica</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Por usuario nominal, usuario concurrente, dispositivo, procesador/núcleo, instalación, sede, volumen de transacciones.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Duración</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Perpetua o temporal (suscripción); renovación.</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Territorio</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Ámbito geográfico de uso.</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Exclusividad y transmisibilidad</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Por defecto, </w:t>
            </w:r>
            <w:r>
              <w:rPr>
                <w:sz w:val="18"/>
                <w:szCs w:val="18"/>
              </w:rPr>
              <w:t xml:space="preserve">no exclusiva e intransferible</w:t>
            </w:r>
            <w:r>
              <w:rPr>
                <w:sz w:val="18"/>
                <w:szCs w:val="18"/>
              </w:rPr>
              <w:t xml:space="preserve"> (art. 99 in fine LPI).</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Restricciones</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Prohibición de ingeniería inversa (con los límites imperativos del art. 100), de sublicenciar, de alquilar, de uso en entornos no autorizados.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Actualizaciones, soporte y mantenimiento</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Suelen contratarse aparte (cuota anual) y dan derecho a nuevas versiones y asistencia.</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Garantías y responsabilidad</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Garantía de funcionamiento conforme a especificaciones; limitación de responsabilidad (con los límites de la normativa de consumo si procede).</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Auditoría y cumplimiento</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Derecho del licenciante a verificar el despliegue real y reclamar el exceso (</w:t>
            </w:r>
            <w:r>
              <w:rPr>
                <w:i/>
                <w:iCs/>
                <w:sz w:val="18"/>
                <w:szCs w:val="18"/>
              </w:rPr>
              <w:t xml:space="preserve">true-up</w:t>
            </w:r>
            <w:r>
              <w:rPr>
                <w:sz w:val="18"/>
                <w:szCs w:val="18"/>
              </w:rPr>
              <w:t xml:space="preserve">).</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Terminación</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Por vencimiento, incumplimiento, resolución; obligación de desinstalar.</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Ley aplicable y jurisdicción</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Relevante en licencias de proveedores extranjeros.</w:t>
            </w:r>
          </w:p>
        </w:tc>
      </w:tr>
    </w:tbl>
    <w:p>
      <w:pPr>
        <w:spacing w:after="120"/>
      </w:pPr>
    </w:p>
    <w:p>
      <w:pPr>
        <w:pStyle w:val="Heading2"/>
        <w:keepNext/>
      </w:pPr>
      <w:r>
        <w:t xml:space="preserve">6.3 Formas de aceptación</w:t>
      </w:r>
    </w:p>
    <w:p>
      <w:pPr>
        <w:pStyle w:val="ListParagraph"/>
        <w:numPr>
          <w:ilvl w:val="0"/>
          <w:numId w:val="2"/>
        </w:numPr>
        <w:spacing w:after="60"/>
      </w:pPr>
      <w:r>
        <w:rPr>
          <w:b/>
          <w:bCs/>
        </w:rPr>
        <w:t xml:space="preserve">Shrink-wrap</w:t>
      </w:r>
      <w:r>
        <w:t xml:space="preserve">: aceptación al abrir el envoltorio del soporte físico (histórico).</w:t>
      </w:r>
    </w:p>
    <w:p>
      <w:pPr>
        <w:pStyle w:val="ListParagraph"/>
        <w:numPr>
          <w:ilvl w:val="0"/>
          <w:numId w:val="2"/>
        </w:numPr>
        <w:spacing w:after="60"/>
      </w:pPr>
      <w:r>
        <w:rPr>
          <w:b/>
          <w:bCs/>
        </w:rPr>
        <w:t xml:space="preserve">Click-wrap</w:t>
      </w:r>
      <w:r>
        <w:t xml:space="preserve">: aceptación mediante clic en «Acepto» antes de instalar o usar (la más habitual y la más segura probatoriamente).</w:t>
      </w:r>
    </w:p>
    <w:p>
      <w:pPr>
        <w:pStyle w:val="ListParagraph"/>
        <w:numPr>
          <w:ilvl w:val="0"/>
          <w:numId w:val="2"/>
        </w:numPr>
        <w:spacing w:after="60"/>
      </w:pPr>
      <w:r>
        <w:rPr>
          <w:b/>
          <w:bCs/>
        </w:rPr>
        <w:t xml:space="preserve">Browse-wrap</w:t>
      </w:r>
      <w:r>
        <w:t xml:space="preserve">: condiciones accesibles por enlace sin acto expreso de aceptación (validez más discutida).</w:t>
      </w:r>
    </w:p>
    <w:p>
      <w:pPr>
        <w:pStyle w:val="ListParagraph"/>
        <w:numPr>
          <w:ilvl w:val="0"/>
          <w:numId w:val="2"/>
        </w:numPr>
        <w:spacing w:after="60"/>
      </w:pPr>
      <w:r>
        <w:rPr>
          <w:b/>
          <w:bCs/>
        </w:rPr>
        <w:t xml:space="preserve">Contrato negociado</w:t>
      </w:r>
      <w:r>
        <w:t xml:space="preserve">: acuerdos corporativos o de volumen (Enterprise Agreement), habituales en el sector público vía contratación centralizada o acuerdos marco.</w:t>
      </w:r>
    </w:p>
    <w:p>
      <w:pPr>
        <w:pStyle w:val="Heading2"/>
        <w:keepNext/>
      </w:pPr>
      <w:r>
        <w:t xml:space="preserve">6.4 Diferencias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4216"/>
        <w:gridCol w:w="2772"/>
      </w:tblGrid>
      <w:tr>
        <w:trPr>
          <w:tblHeader/>
        </w:trPr>
        <w:tc>
          <w:tcPr>
            <w:tcW w:type="dxa" w:w="2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Figura</w:t>
            </w:r>
          </w:p>
        </w:tc>
        <w:tc>
          <w:tcPr>
            <w:tcW w:type="dxa" w:w="421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Qué obtiene el usuario</w:t>
            </w:r>
          </w:p>
        </w:tc>
        <w:tc>
          <w:tcPr>
            <w:tcW w:type="dxa" w:w="2772"/>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Titularidad de los derechos</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Propiedad del software (titularidad)</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Todos los derechos de explotación</w:t>
            </w:r>
          </w:p>
        </w:tc>
        <w:tc>
          <w:tcPr>
            <w:tcW w:type="dxa" w:w="27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El titular</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Adquisición de una licencia</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Autorización de uso en las condiciones pactadas; propiedad, en su caso, del </w:t>
            </w:r>
            <w:r>
              <w:rPr>
                <w:sz w:val="18"/>
                <w:szCs w:val="18"/>
              </w:rPr>
              <w:t xml:space="preserve">soporte</w:t>
            </w:r>
          </w:p>
        </w:tc>
        <w:tc>
          <w:tcPr>
            <w:tcW w:type="dxa" w:w="277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Sigue siendo del licenciante</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Cesión de derechos</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Los derechos cedidos (exclusiva o no), con facultad de explotarlos</w:t>
            </w:r>
          </w:p>
        </w:tc>
        <w:tc>
          <w:tcPr>
            <w:tcW w:type="dxa" w:w="27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Se transmiten al cesionario en lo cedido</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Alquiler</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Uso temporal de una copia a cambio de precio; el alquiler está reservado al titular (art. 99.c)</w:t>
            </w:r>
          </w:p>
        </w:tc>
        <w:tc>
          <w:tcPr>
            <w:tcW w:type="dxa" w:w="277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Del titular</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Suscripción</w:t>
            </w:r>
          </w:p>
        </w:tc>
        <w:tc>
          <w:tcPr>
            <w:tcW w:type="dxa" w:w="421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Licencia temporal renovable con actualizaciones incluidas</w:t>
            </w:r>
          </w:p>
        </w:tc>
        <w:tc>
          <w:tcPr>
            <w:tcW w:type="dxa" w:w="277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Del titular</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SaaS (</w:t>
            </w:r>
            <w:r>
              <w:rPr>
                <w:i/>
                <w:iCs/>
                <w:sz w:val="18"/>
                <w:szCs w:val="18"/>
              </w:rPr>
              <w:t xml:space="preserve">Software as a Service</w:t>
            </w:r>
            <w:r>
              <w:rPr>
                <w:sz w:val="18"/>
                <w:szCs w:val="18"/>
              </w:rPr>
              <w:t xml:space="preserve">)</w:t>
            </w:r>
          </w:p>
        </w:tc>
        <w:tc>
          <w:tcPr>
            <w:tcW w:type="dxa" w:w="421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Acceso a una </w:t>
            </w:r>
            <w:r>
              <w:rPr>
                <w:sz w:val="18"/>
                <w:szCs w:val="18"/>
              </w:rPr>
              <w:t xml:space="preserve">funcionalidad</w:t>
            </w:r>
            <w:r>
              <w:rPr>
                <w:sz w:val="18"/>
                <w:szCs w:val="18"/>
              </w:rPr>
              <w:t xml:space="preserve"> ejecutada en la infraestructura del proveedor; normalmente no se entrega copia</w:t>
            </w:r>
          </w:p>
        </w:tc>
        <w:tc>
          <w:tcPr>
            <w:tcW w:type="dxa" w:w="277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Del proveedor; el contrato es más de </w:t>
            </w:r>
            <w:r>
              <w:rPr>
                <w:sz w:val="18"/>
                <w:szCs w:val="18"/>
              </w:rPr>
              <w:t xml:space="preserve">servicio</w:t>
            </w:r>
            <w:r>
              <w:rPr>
                <w:sz w:val="18"/>
                <w:szCs w:val="18"/>
              </w:rPr>
              <w:t xml:space="preserve"> que de licencia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pStyle w:val="ListParagraph"/>
              <w:numPr>
                <w:ilvl w:val="0"/>
                <w:numId w:val="2"/>
              </w:numPr>
              <w:spacing w:after="40"/>
            </w:pPr>
            <w:r>
              <w:rPr>
                <w:sz w:val="19"/>
                <w:szCs w:val="19"/>
              </w:rPr>
              <w:t xml:space="preserve">«Al comprar un programa el usuario adquiere su propiedad» → FALSO: adquiere una </w:t>
            </w:r>
            <w:r>
              <w:rPr>
                <w:b/>
                <w:bCs/>
                <w:sz w:val="19"/>
                <w:szCs w:val="19"/>
              </w:rPr>
              <w:t xml:space="preserve">licencia de uso</w:t>
            </w:r>
            <w:r>
              <w:rPr>
                <w:sz w:val="19"/>
                <w:szCs w:val="19"/>
              </w:rPr>
              <w:t xml:space="preserve"> (y, en su caso, el soporte). La titularidad sigue siendo del autor/titular.</w:t>
            </w:r>
          </w:p>
          <w:p>
            <w:pPr>
              <w:pStyle w:val="ListParagraph"/>
              <w:numPr>
                <w:ilvl w:val="0"/>
                <w:numId w:val="2"/>
              </w:numPr>
              <w:spacing w:after="40"/>
            </w:pPr>
            <w:r>
              <w:rPr>
                <w:sz w:val="19"/>
                <w:szCs w:val="19"/>
              </w:rPr>
              <w:t xml:space="preserve">«La licencia transmite los derechos de explotación» → FALSO: la licencia </w:t>
            </w:r>
            <w:r>
              <w:rPr>
                <w:b/>
                <w:bCs/>
                <w:sz w:val="19"/>
                <w:szCs w:val="19"/>
              </w:rPr>
              <w:t xml:space="preserve">autoriza</w:t>
            </w:r>
            <w:r>
              <w:rPr>
                <w:sz w:val="19"/>
                <w:szCs w:val="19"/>
              </w:rPr>
              <w:t xml:space="preserve">; la </w:t>
            </w:r>
            <w:r>
              <w:rPr>
                <w:b/>
                <w:bCs/>
                <w:sz w:val="19"/>
                <w:szCs w:val="19"/>
              </w:rPr>
              <w:t xml:space="preserve">cesión</w:t>
            </w:r>
            <w:r>
              <w:rPr>
                <w:sz w:val="19"/>
                <w:szCs w:val="19"/>
              </w:rPr>
              <w:t xml:space="preserve"> transmite.</w:t>
            </w:r>
          </w:p>
          <w:p>
            <w:pPr>
              <w:pStyle w:val="ListParagraph"/>
              <w:numPr>
                <w:ilvl w:val="0"/>
                <w:numId w:val="2"/>
              </w:numPr>
              <w:spacing w:after="40"/>
            </w:pPr>
            <w:r>
              <w:rPr>
                <w:sz w:val="19"/>
                <w:szCs w:val="19"/>
              </w:rPr>
              <w:t xml:space="preserve">«Todo incumplimiento de licencia es delito» → FALSO: normalmente es </w:t>
            </w:r>
            <w:r>
              <w:rPr>
                <w:b/>
                <w:bCs/>
                <w:sz w:val="19"/>
                <w:szCs w:val="19"/>
              </w:rPr>
              <w:t xml:space="preserve">incumplimiento contractual</w:t>
            </w:r>
            <w:r>
              <w:rPr>
                <w:sz w:val="19"/>
                <w:szCs w:val="19"/>
              </w:rPr>
              <w:t xml:space="preserve"> e </w:t>
            </w:r>
            <w:r>
              <w:rPr>
                <w:b/>
                <w:bCs/>
                <w:sz w:val="19"/>
                <w:szCs w:val="19"/>
              </w:rPr>
              <w:t xml:space="preserve">infracción civil</w:t>
            </w:r>
            <w:r>
              <w:rPr>
                <w:sz w:val="19"/>
                <w:szCs w:val="19"/>
              </w:rPr>
              <w:t xml:space="preserve"> de PI; solo es delito si se cumplen los requisitos del art. 270 CP.</w:t>
            </w:r>
          </w:p>
        </w:tc>
      </w:tr>
    </w:tbl>
    <w:p>
      <w:pPr>
        <w:spacing w:after="120"/>
      </w:pPr>
    </w:p>
    <w:p>
      <w:pPr>
        <w:pStyle w:val="Heading1"/>
        <w:keepNext/>
        <w:spacing w:after="200" w:before="360"/>
      </w:pPr>
      <w:r>
        <w:t xml:space="preserve">7. Tipos de licencias de software</w:t>
      </w:r>
    </w:p>
    <w:p>
      <w:pPr>
        <w:spacing w:after="120"/>
        <w:jc w:val="both"/>
      </w:pPr>
      <w:r>
        <w:t xml:space="preserve">Las «categorías» de licencias no son homogéneas: unas responden a la </w:t>
      </w:r>
      <w:r>
        <w:rPr>
          <w:b/>
          <w:bCs/>
        </w:rPr>
        <w:t xml:space="preserve">filosofía de distribución</w:t>
      </w:r>
      <w:r>
        <w:t xml:space="preserve"> (libre/propietario), otras al </w:t>
      </w:r>
      <w:r>
        <w:rPr>
          <w:b/>
          <w:bCs/>
        </w:rPr>
        <w:t xml:space="preserve">precio</w:t>
      </w:r>
      <w:r>
        <w:t xml:space="preserve"> (gratuito/comercial), otras a la </w:t>
      </w:r>
      <w:r>
        <w:rPr>
          <w:b/>
          <w:bCs/>
        </w:rPr>
        <w:t xml:space="preserve">métrica</w:t>
      </w:r>
      <w:r>
        <w:t xml:space="preserve"> (usuario/dispositivo/concurrente) y otras a la </w:t>
      </w:r>
      <w:r>
        <w:rPr>
          <w:b/>
          <w:bCs/>
        </w:rPr>
        <w:t xml:space="preserve">duración</w:t>
      </w:r>
      <w:r>
        <w:t xml:space="preserve"> o al </w:t>
      </w:r>
      <w:r>
        <w:rPr>
          <w:b/>
          <w:bCs/>
        </w:rPr>
        <w:t xml:space="preserve">canal</w:t>
      </w:r>
      <w:r>
        <w:t xml:space="preserve"> (OEM). </w:t>
      </w:r>
      <w:r>
        <w:rPr>
          <w:b/>
          <w:bCs/>
        </w:rPr>
        <w:t xml:space="preserve">No son jurídicamente equivalentes</w:t>
      </w:r>
      <w:r>
        <w:t xml:space="preserve"> ni excluyentes: un software puede ser propietario, gratuito y licenciado por dispositivo a la vez.</w:t>
      </w:r>
    </w:p>
    <w:p>
      <w:pPr>
        <w:pStyle w:val="Heading2"/>
        <w:keepNext/>
      </w:pPr>
      <w:r>
        <w:t xml:space="preserve">7.1 Por el grado de libertades concedidas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4819"/>
        <w:gridCol w:w="1566"/>
        <w:gridCol w:w="1567"/>
      </w:tblGrid>
      <w:tr>
        <w:trPr>
          <w:tblHeader/>
        </w:trPr>
        <w:tc>
          <w:tcPr>
            <w:tcW w:type="dxa" w:w="168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Tipo</w:t>
            </w:r>
          </w:p>
        </w:tc>
        <w:tc>
          <w:tcPr>
            <w:tcW w:type="dxa" w:w="481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Definición</w:t>
            </w:r>
          </w:p>
        </w:tc>
        <w:tc>
          <w:tcPr>
            <w:tcW w:type="dxa" w:w="156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Código fuente</w:t>
            </w:r>
          </w:p>
        </w:tc>
        <w:tc>
          <w:tcPr>
            <w:tcW w:type="dxa" w:w="156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Precio</w:t>
            </w:r>
          </w:p>
        </w:tc>
      </w:tr>
      <w:tr>
        <w:trPr>
          <w:cantSplit/>
        </w:trPr>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Propietario (privativo)</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El titular reserva la mayoría de derechos; el usuario solo puede usarlo según la licencia (EULA).</w:t>
            </w:r>
          </w:p>
        </w:tc>
        <w:tc>
          <w:tcPr>
            <w:tcW w:type="dxa" w:w="15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Normalmente no accesible</w:t>
            </w:r>
          </w:p>
        </w:tc>
        <w:tc>
          <w:tcPr>
            <w:tcW w:type="dxa" w:w="156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Gratuito o de pago</w:t>
            </w:r>
          </w:p>
        </w:tc>
      </w:tr>
      <w:tr>
        <w:trPr>
          <w:cantSplit/>
        </w:trPr>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Software libre</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Garantiza las </w:t>
            </w:r>
            <w:r>
              <w:rPr>
                <w:sz w:val="18"/>
                <w:szCs w:val="18"/>
              </w:rPr>
              <w:t xml:space="preserve">4 libertades</w:t>
            </w:r>
            <w:r>
              <w:rPr>
                <w:sz w:val="18"/>
                <w:szCs w:val="18"/>
              </w:rPr>
              <w:t xml:space="preserve"> de la FSF: usar, estudiar/modificar, redistribuir y distribuir versiones modificadas.</w:t>
            </w:r>
          </w:p>
        </w:tc>
        <w:tc>
          <w:tcPr>
            <w:tcW w:type="dxa" w:w="15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Accesible (requisito)</w:t>
            </w:r>
          </w:p>
        </w:tc>
        <w:tc>
          <w:tcPr>
            <w:tcW w:type="dxa" w:w="156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Gratuito o de pago</w:t>
            </w:r>
          </w:p>
        </w:tc>
      </w:tr>
      <w:tr>
        <w:trPr>
          <w:cantSplit/>
        </w:trPr>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Código abierto (open source)</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Cumple la </w:t>
            </w:r>
            <w:r>
              <w:rPr>
                <w:sz w:val="18"/>
                <w:szCs w:val="18"/>
              </w:rPr>
              <w:t xml:space="preserve">Open Source Definition</w:t>
            </w:r>
            <w:r>
              <w:rPr>
                <w:sz w:val="18"/>
                <w:szCs w:val="18"/>
              </w:rPr>
              <w:t xml:space="preserve"> de la OSI (10 criterios: libre redistribución, código fuente, obras derivadas, no discriminación…).</w:t>
            </w:r>
          </w:p>
        </w:tc>
        <w:tc>
          <w:tcPr>
            <w:tcW w:type="dxa" w:w="15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Accesible</w:t>
            </w:r>
          </w:p>
        </w:tc>
        <w:tc>
          <w:tcPr>
            <w:tcW w:type="dxa" w:w="156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Gratuito o de pago</w:t>
            </w:r>
          </w:p>
        </w:tc>
      </w:tr>
      <w:tr>
        <w:trPr>
          <w:cantSplit/>
        </w:trPr>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Freeware</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Propietario </w:t>
            </w:r>
            <w:r>
              <w:rPr>
                <w:sz w:val="18"/>
                <w:szCs w:val="18"/>
              </w:rPr>
              <w:t xml:space="preserve">gratuito</w:t>
            </w:r>
            <w:r>
              <w:rPr>
                <w:sz w:val="18"/>
                <w:szCs w:val="18"/>
              </w:rPr>
              <w:t xml:space="preserve">; no concede libertad de modificar ni suele dar el código.</w:t>
            </w:r>
          </w:p>
        </w:tc>
        <w:tc>
          <w:tcPr>
            <w:tcW w:type="dxa" w:w="15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w:t>
            </w:r>
          </w:p>
        </w:tc>
        <w:tc>
          <w:tcPr>
            <w:tcW w:type="dxa" w:w="156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Gratuito</w:t>
            </w:r>
          </w:p>
        </w:tc>
      </w:tr>
      <w:tr>
        <w:trPr>
          <w:cantSplit/>
        </w:trPr>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Shareware</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Se distribuye para </w:t>
            </w:r>
            <w:r>
              <w:rPr>
                <w:sz w:val="18"/>
                <w:szCs w:val="18"/>
              </w:rPr>
              <w:t xml:space="preserve">probarlo</w:t>
            </w:r>
            <w:r>
              <w:rPr>
                <w:sz w:val="18"/>
                <w:szCs w:val="18"/>
              </w:rPr>
              <w:t xml:space="preserve"> con limitaciones de tiempo o funciones; después hay que pagar.</w:t>
            </w:r>
          </w:p>
        </w:tc>
        <w:tc>
          <w:tcPr>
            <w:tcW w:type="dxa" w:w="15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w:t>
            </w:r>
          </w:p>
        </w:tc>
        <w:tc>
          <w:tcPr>
            <w:tcW w:type="dxa" w:w="156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Pago tras prueba</w:t>
            </w:r>
          </w:p>
        </w:tc>
      </w:tr>
      <w:tr>
        <w:trPr>
          <w:cantSplit/>
        </w:trPr>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Trial / demo</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Versión de evaluación temporal o limitada de un producto comercial.</w:t>
            </w:r>
          </w:p>
        </w:tc>
        <w:tc>
          <w:tcPr>
            <w:tcW w:type="dxa" w:w="15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w:t>
            </w:r>
          </w:p>
        </w:tc>
        <w:tc>
          <w:tcPr>
            <w:tcW w:type="dxa" w:w="156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Gratuita temporalmente</w:t>
            </w:r>
          </w:p>
        </w:tc>
      </w:tr>
      <w:tr>
        <w:trPr>
          <w:cantSplit/>
        </w:trPr>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Adware</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Gratuito financiado con publicidad integrada.</w:t>
            </w:r>
          </w:p>
        </w:tc>
        <w:tc>
          <w:tcPr>
            <w:tcW w:type="dxa" w:w="156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w:t>
            </w:r>
          </w:p>
        </w:tc>
        <w:tc>
          <w:tcPr>
            <w:tcW w:type="dxa" w:w="156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Gratuito</w:t>
            </w:r>
          </w:p>
        </w:tc>
      </w:tr>
      <w:tr>
        <w:trPr>
          <w:cantSplit/>
        </w:trPr>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Dominio público</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Sin derechos patrimoniales vigentes (por </w:t>
            </w:r>
            <w:r>
              <w:rPr>
                <w:sz w:val="18"/>
                <w:szCs w:val="18"/>
              </w:rPr>
              <w:t xml:space="preserve">expiración</w:t>
            </w:r>
            <w:r>
              <w:rPr>
                <w:sz w:val="18"/>
                <w:szCs w:val="18"/>
              </w:rPr>
              <w:t xml:space="preserve"> del plazo, art. 41 LPI). En Derecho español el autor </w:t>
            </w:r>
            <w:r>
              <w:rPr>
                <w:sz w:val="18"/>
                <w:szCs w:val="18"/>
              </w:rPr>
              <w:t xml:space="preserve">no puede renunciar a los derechos morales</w:t>
            </w:r>
            <w:r>
              <w:rPr>
                <w:sz w:val="18"/>
                <w:szCs w:val="18"/>
              </w:rPr>
              <w:t xml:space="preserve">; herramientas como CC0 solo se aproximan.</w:t>
            </w:r>
          </w:p>
        </w:tc>
        <w:tc>
          <w:tcPr>
            <w:tcW w:type="dxa" w:w="156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Variable</w:t>
            </w:r>
          </w:p>
        </w:tc>
        <w:tc>
          <w:tcPr>
            <w:tcW w:type="dxa" w:w="156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Gratuito</w:t>
            </w:r>
          </w:p>
        </w:tc>
      </w:tr>
    </w:tbl>
    <w:p>
      <w:pPr>
        <w:spacing w:after="120"/>
      </w:pPr>
    </w:p>
    <w:p>
      <w:pPr>
        <w:pStyle w:val="Heading2"/>
        <w:keepNext/>
      </w:pPr>
      <w:r>
        <w:t xml:space="preserve">7.2 Por el modelo comercial y la métrica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Tipo</w:t>
            </w:r>
          </w:p>
        </w:tc>
        <w:tc>
          <w:tcPr>
            <w:tcW w:type="dxa" w:w="722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Característica principal</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Licencia perpetua</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Derecho de uso </w:t>
            </w:r>
            <w:r>
              <w:rPr>
                <w:sz w:val="18"/>
                <w:szCs w:val="18"/>
              </w:rPr>
              <w:t xml:space="preserve">indefinido</w:t>
            </w:r>
            <w:r>
              <w:rPr>
                <w:sz w:val="18"/>
                <w:szCs w:val="18"/>
              </w:rPr>
              <w:t xml:space="preserve"> de una versión; mantenimiento aparte.</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Licencia temporal / suscripción</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Derecho de uso por un </w:t>
            </w:r>
            <w:r>
              <w:rPr>
                <w:sz w:val="18"/>
                <w:szCs w:val="18"/>
              </w:rPr>
              <w:t xml:space="preserve">periodo</w:t>
            </w:r>
            <w:r>
              <w:rPr>
                <w:sz w:val="18"/>
                <w:szCs w:val="18"/>
              </w:rPr>
              <w:t xml:space="preserve"> (mensual, anual), normalmente con actualizaciones.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SaaS</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Acceso al servicio en la nube; pago por uso o suscripción.</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Por usuario nominal (named user)</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Cada licencia asignada a una </w:t>
            </w:r>
            <w:r>
              <w:rPr>
                <w:sz w:val="18"/>
                <w:szCs w:val="18"/>
              </w:rPr>
              <w:t xml:space="preserve">persona identificada</w:t>
            </w:r>
            <w:r>
              <w:rPr>
                <w:sz w:val="18"/>
                <w:szCs w:val="18"/>
              </w:rPr>
              <w:t xml:space="preserve">, que puede usarla en varios dispositivos.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Por dispositivo</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Vinculada a un </w:t>
            </w:r>
            <w:r>
              <w:rPr>
                <w:sz w:val="18"/>
                <w:szCs w:val="18"/>
              </w:rPr>
              <w:t xml:space="preserve">equipo</w:t>
            </w:r>
            <w:r>
              <w:rPr>
                <w:sz w:val="18"/>
                <w:szCs w:val="18"/>
              </w:rPr>
              <w:t xml:space="preserve">, con independencia de quién lo use.</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Concurrente (flotante)</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Permite que </w:t>
            </w:r>
            <w:r>
              <w:rPr>
                <w:sz w:val="18"/>
                <w:szCs w:val="18"/>
              </w:rPr>
              <w:t xml:space="preserve">un número máximo de usuarios utilice el software al mismo tiempo</w:t>
            </w:r>
            <w:r>
              <w:rPr>
                <w:sz w:val="18"/>
                <w:szCs w:val="18"/>
              </w:rPr>
              <w:t xml:space="preserve">, sin asignar licencias a personas concretas; se controla con un </w:t>
            </w:r>
            <w:r>
              <w:rPr>
                <w:sz w:val="18"/>
                <w:szCs w:val="18"/>
              </w:rPr>
              <w:t xml:space="preserve">servidor de licencias</w:t>
            </w:r>
            <w:r>
              <w:rPr>
                <w:sz w:val="18"/>
                <w:szCs w:val="18"/>
              </w:rPr>
              <w:t xml:space="preserve">.</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Por procesador / núcleo</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Métrica típica de bases de datos y servidores.</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 sede (site) / corporativa / volumen</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Uso ilimitado o masivo en una organización o ubicación.</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OEM</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Preinstalada por el fabricante y </w:t>
            </w:r>
            <w:r>
              <w:rPr>
                <w:sz w:val="18"/>
                <w:szCs w:val="18"/>
              </w:rPr>
              <w:t xml:space="preserve">vinculada al hardware</w:t>
            </w:r>
            <w:r>
              <w:rPr>
                <w:sz w:val="18"/>
                <w:szCs w:val="18"/>
              </w:rPr>
              <w:t xml:space="preserve"> con el que se vende; normalmente no transferible a otro equipo.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75623" w:sz="4"/>
              <w:left w:val="single" w:color="375623" w:sz="24"/>
              <w:bottom w:val="single" w:color="375623" w:sz="4"/>
              <w:right w:val="single" w:color="375623" w:sz="4"/>
            </w:tcBorders>
            <w:shd w:fill="E2EFDA" w:color="auto" w:val="clear"/>
            <w:tcMar>
              <w:top w:type="dxa" w:w="100"/>
              <w:left w:type="dxa" w:w="160"/>
              <w:bottom w:type="dxa" w:w="100"/>
              <w:right w:type="dxa" w:w="140"/>
            </w:tcMar>
          </w:tcPr>
          <w:p>
            <w:pPr>
              <w:spacing w:after="80"/>
            </w:pPr>
            <w:r>
              <w:rPr>
                <w:b/>
                <w:bCs/>
                <w:color w:val="375623"/>
                <w:sz w:val="20"/>
                <w:szCs w:val="20"/>
              </w:rPr>
              <w:t xml:space="preserve">PREGUNTA TÍPICA</w:t>
            </w:r>
          </w:p>
          <w:p>
            <w:pPr>
              <w:spacing w:after="60"/>
              <w:jc w:val="both"/>
            </w:pPr>
            <w:r>
              <w:rPr>
                <w:b/>
                <w:bCs/>
                <w:sz w:val="19"/>
                <w:szCs w:val="19"/>
              </w:rPr>
              <w:t xml:space="preserve">¿Principal característica de las licencias de usuario concurrente?</w:t>
            </w:r>
            <w:r>
              <w:rPr>
                <w:sz w:val="19"/>
                <w:szCs w:val="19"/>
              </w:rPr>
              <w:t xml:space="preserve"> → Permiten a </w:t>
            </w:r>
            <w:r>
              <w:rPr>
                <w:b/>
                <w:bCs/>
                <w:sz w:val="19"/>
                <w:szCs w:val="19"/>
              </w:rPr>
              <w:t xml:space="preserve">un número específico de usuarios acceder y usar el software al mismo tiempo</w:t>
            </w:r>
            <w:r>
              <w:rPr>
                <w:sz w:val="19"/>
                <w:szCs w:val="19"/>
              </w:rPr>
              <w:t xml:space="preserve"> (pregunta 190). Distractores: «varios dispositivos simultáneamente» (licencia por usuario nominal/multidispositivo), «nunca expira» (perpetua), «único dispositivo» (por dispositivo/nodo bloqueado).</w:t>
            </w:r>
          </w:p>
        </w:tc>
      </w:tr>
    </w:tbl>
    <w:p>
      <w:pPr>
        <w:spacing w:after="120"/>
      </w:pPr>
    </w:p>
    <w:p>
      <w:pPr>
        <w:pStyle w:val="Heading2"/>
        <w:keepNext/>
      </w:pPr>
      <w:r>
        <w:t xml:space="preserve">7.3 Software libre ≠ software gratuito</w:t>
      </w:r>
    </w:p>
    <w:p>
      <w:pPr>
        <w:spacing w:after="120"/>
        <w:jc w:val="both"/>
      </w:pPr>
      <w:r>
        <w:t xml:space="preserve">En inglés </w:t>
      </w:r>
      <w:r>
        <w:rPr>
          <w:i/>
          <w:iCs/>
        </w:rPr>
        <w:t xml:space="preserve">free</w:t>
      </w:r>
      <w:r>
        <w:t xml:space="preserve"> significa «libre» y «gratis»; la FSF lo resume en «</w:t>
      </w:r>
      <w:r>
        <w:rPr>
          <w:i/>
          <w:iCs/>
        </w:rPr>
        <w:t xml:space="preserve">free as in freedom, not as in free beer</w:t>
      </w:r>
      <w:r>
        <w:t xml:space="preserve">». El </w:t>
      </w:r>
      <w:r>
        <w:rPr>
          <w:b/>
          <w:bCs/>
        </w:rPr>
        <w:t xml:space="preserve">software libre</w:t>
      </w:r>
      <w:r>
        <w:t xml:space="preserve"> puede venderse (y muchas empresas lo hacen); el </w:t>
      </w:r>
      <w:r>
        <w:rPr>
          <w:b/>
          <w:bCs/>
        </w:rPr>
        <w:t xml:space="preserve">freeware</w:t>
      </w:r>
      <w:r>
        <w:t xml:space="preserve"> es gratis pero </w:t>
      </w:r>
      <w:r>
        <w:rPr>
          <w:b/>
          <w:bCs/>
        </w:rPr>
        <w:t xml:space="preserve">no libre</w:t>
      </w:r>
      <w:r>
        <w:t xml:space="preserve">. Lo que define el software libre son las </w:t>
      </w:r>
      <w:r>
        <w:rPr>
          <w:b/>
          <w:bCs/>
        </w:rPr>
        <w:t xml:space="preserve">libertades</w:t>
      </w:r>
      <w:r>
        <w:t xml:space="preserve">, no el precio.</w:t>
      </w:r>
    </w:p>
    <w:p>
      <w:pPr>
        <w:pStyle w:val="Heading2"/>
        <w:keepNext/>
      </w:pPr>
      <w:r>
        <w:t xml:space="preserve">7.4 Open source frente a software propietario</w:t>
      </w:r>
    </w:p>
    <w:p>
      <w:pPr>
        <w:spacing w:after="120"/>
        <w:jc w:val="both"/>
      </w:pPr>
      <w:r>
        <w:t xml:space="preserve">El </w:t>
      </w:r>
      <w:r>
        <w:rPr>
          <w:b/>
          <w:bCs/>
        </w:rPr>
        <w:t xml:space="preserve">open source</w:t>
      </w:r>
      <w:r>
        <w:t xml:space="preserve"> da acceso al código y permite modificarlo y redistribuirlo según la licencia; el </w:t>
      </w:r>
      <w:r>
        <w:rPr>
          <w:b/>
          <w:bCs/>
        </w:rPr>
        <w:t xml:space="preserve">propietario</w:t>
      </w:r>
      <w:r>
        <w:t xml:space="preserve"> reserva estos derechos y normalmente solo entrega el ejecutable. Ambos se apoyan igualmente en el </w:t>
      </w:r>
      <w:r>
        <w:rPr>
          <w:b/>
          <w:bCs/>
        </w:rPr>
        <w:t xml:space="preserve">derecho de autor</w:t>
      </w:r>
      <w:r>
        <w:t xml:space="preserve">: sin titularidad no podría otorgarse una licencia libre. La diferencia entre «software libre» (FSF, énfasis ético) y «código abierto» (OSI, énfasis práctico/metodológico) es de enfoque; en la práctica casi todas las licencias aprobadas por una lo son por la otra.</w:t>
      </w:r>
    </w:p>
    <w:p>
      <w:pPr>
        <w:pStyle w:val="Heading1"/>
        <w:keepNext/>
        <w:spacing w:after="200" w:before="360"/>
      </w:pPr>
      <w:r>
        <w:t xml:space="preserve">8. Licencias de software libre y open source</w:t>
      </w:r>
    </w:p>
    <w:p>
      <w:pPr>
        <w:pStyle w:val="Heading2"/>
        <w:keepNext/>
      </w:pPr>
      <w:r>
        <w:t xml:space="preserve">8.1 Las cuatro libertades (FSF)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8434"/>
      </w:tblGrid>
      <w:tr>
        <w:trPr>
          <w:tblHeader/>
        </w:trPr>
        <w:tc>
          <w:tcPr>
            <w:tcW w:type="dxa" w:w="120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Libertad</w:t>
            </w:r>
          </w:p>
        </w:tc>
        <w:tc>
          <w:tcPr>
            <w:tcW w:type="dxa" w:w="843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Contenido</w:t>
            </w:r>
          </w:p>
        </w:tc>
      </w:tr>
      <w:tr>
        <w:trPr>
          <w:cantSplit/>
        </w:trPr>
        <w:tc>
          <w:tcPr>
            <w:tcW w:type="dxa" w:w="12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0</w:t>
            </w:r>
          </w:p>
        </w:tc>
        <w:tc>
          <w:tcPr>
            <w:tcW w:type="dxa" w:w="84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Ejecutar el programa como se desee, con cualquier propósito.</w:t>
            </w:r>
          </w:p>
        </w:tc>
      </w:tr>
      <w:tr>
        <w:trPr>
          <w:cantSplit/>
        </w:trPr>
        <w:tc>
          <w:tcPr>
            <w:tcW w:type="dxa" w:w="12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w:t>
            </w:r>
          </w:p>
        </w:tc>
        <w:tc>
          <w:tcPr>
            <w:tcW w:type="dxa" w:w="84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Estudiar cómo funciona y modificarlo (requiere acceso al </w:t>
            </w:r>
            <w:r>
              <w:rPr>
                <w:sz w:val="18"/>
                <w:szCs w:val="18"/>
              </w:rPr>
              <w:t xml:space="preserve">código fuente</w:t>
            </w:r>
            <w:r>
              <w:rPr>
                <w:sz w:val="18"/>
                <w:szCs w:val="18"/>
              </w:rPr>
              <w:t xml:space="preserve">).</w:t>
            </w:r>
          </w:p>
        </w:tc>
      </w:tr>
      <w:tr>
        <w:trPr>
          <w:cantSplit/>
        </w:trPr>
        <w:tc>
          <w:tcPr>
            <w:tcW w:type="dxa" w:w="12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w:t>
            </w:r>
          </w:p>
        </w:tc>
        <w:tc>
          <w:tcPr>
            <w:tcW w:type="dxa" w:w="843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Redistribuir copias.</w:t>
            </w:r>
          </w:p>
        </w:tc>
      </w:tr>
      <w:tr>
        <w:trPr>
          <w:cantSplit/>
        </w:trPr>
        <w:tc>
          <w:tcPr>
            <w:tcW w:type="dxa" w:w="12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3</w:t>
            </w:r>
          </w:p>
        </w:tc>
        <w:tc>
          <w:tcPr>
            <w:tcW w:type="dxa" w:w="843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Distribuir copias de las versiones modificadas (requiere acceso al código fuente).</w:t>
            </w:r>
          </w:p>
        </w:tc>
      </w:tr>
    </w:tbl>
    <w:p>
      <w:pPr>
        <w:spacing w:after="120"/>
      </w:pPr>
    </w:p>
    <w:p>
      <w:pPr>
        <w:pStyle w:val="Heading2"/>
        <w:keepNext/>
      </w:pPr>
      <w:r>
        <w:t xml:space="preserve">8.2 Copyleft frente a licencias permisivas</w:t>
      </w:r>
    </w:p>
    <w:p>
      <w:pPr>
        <w:spacing w:after="120"/>
        <w:jc w:val="both"/>
      </w:pPr>
      <w:r>
        <w:rPr>
          <w:b/>
          <w:bCs/>
        </w:rPr>
        <w:t xml:space="preserve">Copyleft</w:t>
      </w:r>
      <w:r>
        <w:t xml:space="preserve"> (</w:t>
      </w:r>
      <w:r>
        <w:rPr>
          <w:i/>
          <w:iCs/>
        </w:rPr>
        <w:t xml:space="preserve">izquierdo de copia</w:t>
      </w:r>
      <w:r>
        <w:t xml:space="preserve">): quien redistribuye el programa o una obra derivada debe hacerlo </w:t>
      </w:r>
      <w:r>
        <w:rPr>
          <w:b/>
          <w:bCs/>
        </w:rPr>
        <w:t xml:space="preserve">bajo la misma licencia</w:t>
      </w:r>
      <w:r>
        <w:t xml:space="preserve"> y poniendo a disposición el código fuente, de modo que las libertades se transmiten. </w:t>
      </w:r>
      <w:r>
        <w:rPr>
          <w:b/>
          <w:bCs/>
        </w:rPr>
        <w:t xml:space="preserve">Permisivas</w:t>
      </w:r>
      <w:r>
        <w:t xml:space="preserve">: permiten reutilizar el código incluso en productos propietarios, exigiendo básicamente </w:t>
      </w:r>
      <w:r>
        <w:rPr>
          <w:b/>
          <w:bCs/>
        </w:rPr>
        <w:t xml:space="preserve">conservar los avisos</w:t>
      </w:r>
      <w:r>
        <w:t xml:space="preserve"> de copyright y licencia.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1927"/>
        <w:gridCol w:w="5543"/>
      </w:tblGrid>
      <w:tr>
        <w:trPr>
          <w:tblHeader/>
        </w:trPr>
        <w:tc>
          <w:tcPr>
            <w:tcW w:type="dxa" w:w="216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Licencia</w:t>
            </w:r>
          </w:p>
        </w:tc>
        <w:tc>
          <w:tcPr>
            <w:tcW w:type="dxa" w:w="192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Tipo</w:t>
            </w:r>
          </w:p>
        </w:tc>
        <w:tc>
          <w:tcPr>
            <w:tcW w:type="dxa" w:w="554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Rasgos clave</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GNU GPL (v2 1991, v3 2007)</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Copyleft fuerte</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Las obras derivadas distribuidas deben ser GPL y con código fuente. v3 añade protección frente a patentes y «tivoización».</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GNU LGPL</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Copyleft débil</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Pensada para </w:t>
            </w:r>
            <w:r>
              <w:rPr>
                <w:sz w:val="18"/>
                <w:szCs w:val="18"/>
              </w:rPr>
              <w:t xml:space="preserve">bibliotecas</w:t>
            </w:r>
            <w:r>
              <w:rPr>
                <w:sz w:val="18"/>
                <w:szCs w:val="18"/>
              </w:rPr>
              <w:t xml:space="preserve">: permite enlazarlas desde software propietario; las modificaciones de la biblioteca sí deben liberarse.</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GNU AGPL v3</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Copyleft de red</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Cierra el «hueco SaaS»: si se ofrece el software modificado </w:t>
            </w:r>
            <w:r>
              <w:rPr>
                <w:sz w:val="18"/>
                <w:szCs w:val="18"/>
              </w:rPr>
              <w:t xml:space="preserve">como servicio en red</w:t>
            </w:r>
            <w:r>
              <w:rPr>
                <w:sz w:val="18"/>
                <w:szCs w:val="18"/>
              </w:rPr>
              <w:t xml:space="preserve">, hay que dar el código a los usuarios.</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MPL 2.0</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Copyleft débil a nivel de fichero</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Los ficheros modificados siguen MPL; se pueden combinar con otros.</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MIT</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Permisiva</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Muy breve; solo exige conservar aviso de copyright y licencia.</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BSD (2 y 3 cláusulas)</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Permisiva</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Similar a MIT; la de 3 cláusulas prohíbe usar el nombre de los autores para promocionar.</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Apache 2.0</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Permisiva</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Incluye </w:t>
            </w:r>
            <w:r>
              <w:rPr>
                <w:sz w:val="18"/>
                <w:szCs w:val="18"/>
              </w:rPr>
              <w:t xml:space="preserve">licencia expresa de patentes</w:t>
            </w:r>
            <w:r>
              <w:rPr>
                <w:sz w:val="18"/>
                <w:szCs w:val="18"/>
              </w:rPr>
              <w:t xml:space="preserve"> y cláusula de terminación por litigio de patentes; fichero NOTICE. Compatible con GPLv3, no con GPLv2.</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EUPL 1.2</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Copyleft (con lista de compatibilidad)</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Licencia de la </w:t>
            </w:r>
            <w:r>
              <w:rPr>
                <w:sz w:val="18"/>
                <w:szCs w:val="18"/>
              </w:rPr>
              <w:t xml:space="preserve">Comisión Europea</w:t>
            </w:r>
            <w:r>
              <w:rPr>
                <w:sz w:val="18"/>
                <w:szCs w:val="18"/>
              </w:rPr>
              <w:t xml:space="preserve">, válida en todas las lenguas oficiales de la UE; el Esquema Nacional de Interoperabilidad (RD 4/2010, art. 16) prevé procurar su aplicación en las Administraciones.</w:t>
            </w:r>
          </w:p>
        </w:tc>
      </w:tr>
    </w:tbl>
    <w:p>
      <w:pPr>
        <w:spacing w:after="120"/>
      </w:pPr>
    </w:p>
    <w:p>
      <w:pPr>
        <w:pStyle w:val="Heading2"/>
        <w:keepNext/>
      </w:pPr>
      <w:r>
        <w:t xml:space="preserve">8.3 Compatibilidad de licencias</w:t>
      </w:r>
    </w:p>
    <w:p>
      <w:pPr>
        <w:spacing w:after="120"/>
        <w:jc w:val="both"/>
      </w:pPr>
      <w:r>
        <w:t xml:space="preserve">Dos licencias son compatibles cuando es posible combinar código de ambas en una obra y cumplir simultáneamente sus condiciones. Ejemplos clásicos: MIT/BSD → integrables en GPL; Apache 2.0 → compatible con GPLv3 pero no con GPLv2; GPL → no puede integrarse en un producto propietario distribuido. La EUPL incluye un anexo de licencias compatibles.</w:t>
      </w:r>
    </w:p>
    <w:p>
      <w:pPr>
        <w:pStyle w:val="Heading2"/>
        <w:keepNext/>
      </w:pPr>
      <w:r>
        <w:t xml:space="preserve">8.4 Software libre en la Administración Pública</w:t>
      </w:r>
    </w:p>
    <w:p>
      <w:pPr>
        <w:pStyle w:val="ListParagraph"/>
        <w:numPr>
          <w:ilvl w:val="0"/>
          <w:numId w:val="2"/>
        </w:numPr>
        <w:spacing w:after="60"/>
      </w:pPr>
      <w:r>
        <w:rPr>
          <w:b/>
          <w:bCs/>
        </w:rPr>
        <w:t xml:space="preserve">Ley 40/2015, arts. 157-158</w:t>
      </w:r>
      <w:r>
        <w:t xml:space="preserve">: reutilización de aplicaciones propiedad de la Administración; posibilidad de declararlas de </w:t>
      </w:r>
      <w:r>
        <w:rPr>
          <w:b/>
          <w:bCs/>
        </w:rPr>
        <w:t xml:space="preserve">fuentes abiertas</w:t>
      </w:r>
      <w:r>
        <w:t xml:space="preserve">; directorio de aplicaciones para su reutilización.</w:t>
      </w:r>
    </w:p>
    <w:p>
      <w:pPr>
        <w:pStyle w:val="ListParagraph"/>
        <w:numPr>
          <w:ilvl w:val="0"/>
          <w:numId w:val="2"/>
        </w:numPr>
        <w:spacing w:after="60"/>
      </w:pPr>
      <w:r>
        <w:rPr>
          <w:b/>
          <w:bCs/>
        </w:rPr>
        <w:t xml:space="preserve">RD 4/2010 (ENI), arts. 16-17</w:t>
      </w:r>
      <w:r>
        <w:t xml:space="preserve">: condiciones de licenciamiento y directorios de aplicaciones reutilizables.</w:t>
      </w:r>
    </w:p>
    <w:p>
      <w:pPr>
        <w:pStyle w:val="ListParagraph"/>
        <w:numPr>
          <w:ilvl w:val="0"/>
          <w:numId w:val="2"/>
        </w:numPr>
        <w:spacing w:after="60"/>
      </w:pPr>
      <w:r>
        <w:t xml:space="preserve">En Andalucía, el </w:t>
      </w:r>
      <w:r>
        <w:rPr>
          <w:b/>
          <w:bCs/>
        </w:rPr>
        <w:t xml:space="preserve">Decreto 72/2003</w:t>
      </w:r>
      <w:r>
        <w:t xml:space="preserve">, de medidas de impulso de la sociedad del conocimiento, promovió el uso de software libre en la Junta. </w:t>
      </w:r>
      <w:r>
        <w:rPr>
          <w:i/>
          <w:iCs/>
        </w:rPr>
        <w:t xml:space="preserve">Compruébese su vigencia y desarrollo antes de citarlo en examen.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pStyle w:val="ListParagraph"/>
              <w:numPr>
                <w:ilvl w:val="0"/>
                <w:numId w:val="2"/>
              </w:numPr>
              <w:spacing w:after="40"/>
            </w:pPr>
            <w:r>
              <w:rPr>
                <w:sz w:val="19"/>
                <w:szCs w:val="19"/>
              </w:rPr>
              <w:t xml:space="preserve">Liberar un programa como software libre </w:t>
            </w:r>
            <w:r>
              <w:rPr>
                <w:b/>
                <w:bCs/>
                <w:sz w:val="19"/>
                <w:szCs w:val="19"/>
              </w:rPr>
              <w:t xml:space="preserve">no es una forma de «proteger su propiedad»</w:t>
            </w:r>
            <w:r>
              <w:rPr>
                <w:sz w:val="19"/>
                <w:szCs w:val="19"/>
              </w:rPr>
              <w:t xml:space="preserve">: presupone que ya se es titular y consiste en </w:t>
            </w:r>
            <w:r>
              <w:rPr>
                <w:b/>
                <w:bCs/>
                <w:sz w:val="19"/>
                <w:szCs w:val="19"/>
              </w:rPr>
              <w:t xml:space="preserve">conceder</w:t>
            </w:r>
            <w:r>
              <w:rPr>
                <w:sz w:val="19"/>
                <w:szCs w:val="19"/>
              </w:rPr>
              <w:t xml:space="preserve"> licencias amplias (distractor de la pregunta 1311).</w:t>
            </w:r>
          </w:p>
          <w:p>
            <w:pPr>
              <w:pStyle w:val="ListParagraph"/>
              <w:numPr>
                <w:ilvl w:val="0"/>
                <w:numId w:val="2"/>
              </w:numPr>
              <w:spacing w:after="40"/>
            </w:pPr>
            <w:r>
              <w:rPr>
                <w:sz w:val="19"/>
                <w:szCs w:val="19"/>
              </w:rPr>
              <w:t xml:space="preserve">«Software libre = sin licencia» → FALSO: el software libre </w:t>
            </w:r>
            <w:r>
              <w:rPr>
                <w:b/>
                <w:bCs/>
                <w:sz w:val="19"/>
                <w:szCs w:val="19"/>
              </w:rPr>
              <w:t xml:space="preserve">tiene licencia</w:t>
            </w:r>
            <w:r>
              <w:rPr>
                <w:sz w:val="19"/>
                <w:szCs w:val="19"/>
              </w:rPr>
              <w:t xml:space="preserve"> (GPL, MIT…) y se basa en el derecho de autor.</w:t>
            </w:r>
          </w:p>
        </w:tc>
      </w:tr>
    </w:tbl>
    <w:p>
      <w:pPr>
        <w:spacing w:after="120"/>
      </w:pPr>
    </w:p>
    <w:p>
      <w:pPr>
        <w:pStyle w:val="Heading1"/>
        <w:keepNext/>
        <w:spacing w:after="200" w:before="360"/>
      </w:pPr>
      <w:r>
        <w:t xml:space="preserve">9. Ingeniería inversa y descompilación</w:t>
      </w:r>
    </w:p>
    <w:p>
      <w:pPr>
        <w:pStyle w:val="Heading2"/>
        <w:keepNext/>
      </w:pPr>
      <w:r>
        <w:t xml:space="preserve">9.1 Conceptos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7"/>
        <w:gridCol w:w="3975"/>
        <w:gridCol w:w="3856"/>
      </w:tblGrid>
      <w:tr>
        <w:trPr>
          <w:tblHeader/>
        </w:trPr>
        <w:tc>
          <w:tcPr>
            <w:tcW w:type="dxa" w:w="180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Concepto</w:t>
            </w:r>
          </w:p>
        </w:tc>
        <w:tc>
          <w:tcPr>
            <w:tcW w:type="dxa" w:w="397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Definición</w:t>
            </w:r>
          </w:p>
        </w:tc>
        <w:tc>
          <w:tcPr>
            <w:tcW w:type="dxa" w:w="385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Régimen</w:t>
            </w:r>
          </w:p>
        </w:tc>
      </w:tr>
      <w:tr>
        <w:trPr>
          <w:cantSplit/>
        </w:trPr>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Ingeniería inversa</w:t>
            </w:r>
          </w:p>
        </w:tc>
        <w:tc>
          <w:tcPr>
            <w:tcW w:type="dxa" w:w="397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Proceso de </w:t>
            </w:r>
            <w:r>
              <w:rPr>
                <w:sz w:val="18"/>
                <w:szCs w:val="18"/>
              </w:rPr>
              <w:t xml:space="preserve">analizar un sistema</w:t>
            </w:r>
            <w:r>
              <w:rPr>
                <w:sz w:val="18"/>
                <w:szCs w:val="18"/>
              </w:rPr>
              <w:t xml:space="preserve"> para identificar sus componentes y su funcionamiento, sin necesidad de acceder al código fuente (observación, pruebas de caja negra, análisis de protocolos).</w:t>
            </w:r>
          </w:p>
        </w:tc>
        <w:tc>
          <w:tcPr>
            <w:tcW w:type="dxa" w:w="38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La </w:t>
            </w:r>
            <w:r>
              <w:rPr>
                <w:sz w:val="18"/>
                <w:szCs w:val="18"/>
              </w:rPr>
              <w:t xml:space="preserve">observación, estudio y verificación</w:t>
            </w:r>
            <w:r>
              <w:rPr>
                <w:sz w:val="18"/>
                <w:szCs w:val="18"/>
              </w:rPr>
              <w:t xml:space="preserve"> del funcionamiento para conocer ideas y principios es </w:t>
            </w:r>
            <w:r>
              <w:rPr>
                <w:sz w:val="18"/>
                <w:szCs w:val="18"/>
              </w:rPr>
              <w:t xml:space="preserve">lícita</w:t>
            </w:r>
            <w:r>
              <w:rPr>
                <w:sz w:val="18"/>
                <w:szCs w:val="18"/>
              </w:rPr>
              <w:t xml:space="preserve"> para el usuario legítimo (art. 100.3 LPI) y no puede prohibirse contractualmente.</w:t>
            </w:r>
          </w:p>
        </w:tc>
      </w:tr>
      <w:tr>
        <w:trPr>
          <w:cantSplit/>
        </w:trPr>
        <w:tc>
          <w:tcPr>
            <w:tcW w:type="dxa" w:w="180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Descompilación</w:t>
            </w:r>
          </w:p>
        </w:tc>
        <w:tc>
          <w:tcPr>
            <w:tcW w:type="dxa" w:w="397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Traducir el </w:t>
            </w:r>
            <w:r>
              <w:rPr>
                <w:sz w:val="18"/>
                <w:szCs w:val="18"/>
              </w:rPr>
              <w:t xml:space="preserve">código objeto</w:t>
            </w:r>
            <w:r>
              <w:rPr>
                <w:sz w:val="18"/>
                <w:szCs w:val="18"/>
              </w:rPr>
              <w:t xml:space="preserve"> a una forma más próxima al código fuente (reproducción + transformación).</w:t>
            </w:r>
          </w:p>
        </w:tc>
        <w:tc>
          <w:tcPr>
            <w:tcW w:type="dxa" w:w="385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Solo sin autorización en los supuestos tasados del </w:t>
            </w:r>
            <w:r>
              <w:rPr>
                <w:sz w:val="18"/>
                <w:szCs w:val="18"/>
              </w:rPr>
              <w:t xml:space="preserve">art. 100.5-6 LPI</w:t>
            </w:r>
            <w:r>
              <w:rPr>
                <w:sz w:val="18"/>
                <w:szCs w:val="18"/>
              </w:rPr>
              <w:t xml:space="preserve"> (interoperabilidad) y, según el TJUE, para </w:t>
            </w:r>
            <w:r>
              <w:rPr>
                <w:sz w:val="18"/>
                <w:szCs w:val="18"/>
              </w:rPr>
              <w:t xml:space="preserve">corregir errores</w:t>
            </w:r>
            <w:r>
              <w:rPr>
                <w:sz w:val="18"/>
                <w:szCs w:val="18"/>
              </w:rPr>
              <w:t xml:space="preserve"> (</w:t>
            </w:r>
            <w:r>
              <w:rPr>
                <w:i/>
                <w:iCs/>
                <w:sz w:val="18"/>
                <w:szCs w:val="18"/>
              </w:rPr>
              <w:t xml:space="preserve">Top System</w:t>
            </w:r>
            <w:r>
              <w:rPr>
                <w:sz w:val="18"/>
                <w:szCs w:val="18"/>
              </w:rPr>
              <w:t xml:space="preserve">).</w:t>
            </w:r>
          </w:p>
        </w:tc>
      </w:tr>
      <w:tr>
        <w:trPr>
          <w:cantSplit/>
        </w:trPr>
        <w:tc>
          <w:tcPr>
            <w:tcW w:type="dxa" w:w="18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Análisis de malware</w:t>
            </w:r>
          </w:p>
        </w:tc>
        <w:tc>
          <w:tcPr>
            <w:tcW w:type="dxa" w:w="397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Estudio de código malicioso para detectarlo, neutralizarlo o atribuirlo.</w:t>
            </w:r>
          </w:p>
        </w:tc>
        <w:tc>
          <w:tcPr>
            <w:tcW w:type="dxa" w:w="38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 regulado específicamente en la LPI; el art. 96.3 excluye de la protección los programas derivados creados para causar efectos nocivos. Debe hacerse en entornos aislados y respetando la normativa penal (art. 197 ter y 264 ter CP castigan la producción/difusión de herramientas con finalidad delictiva, no el análisis defensivo).</w:t>
            </w:r>
          </w:p>
        </w:tc>
      </w:tr>
    </w:tbl>
    <w:p>
      <w:pPr>
        <w:spacing w:after="120"/>
      </w:pPr>
    </w:p>
    <w:p>
      <w:pPr>
        <w:pStyle w:val="Heading2"/>
        <w:keepNext/>
      </w:pPr>
      <w:r>
        <w:t xml:space="preserve">9.2 Condiciones de la descompilación para interoperabilidad (art. 100.5-6 LPI)</w:t>
      </w:r>
    </w:p>
    <w:p>
      <w:pPr>
        <w:pStyle w:val="ListParagraph"/>
        <w:numPr>
          <w:ilvl w:val="0"/>
          <w:numId w:val="3"/>
        </w:numPr>
        <w:spacing w:after="60"/>
      </w:pPr>
      <w:r>
        <w:t xml:space="preserve">La realizan el </w:t>
      </w:r>
      <w:r>
        <w:rPr>
          <w:b/>
          <w:bCs/>
        </w:rPr>
        <w:t xml:space="preserve">licenciatario</w:t>
      </w:r>
      <w:r>
        <w:t xml:space="preserve">, otra persona con derecho a usar una copia o alguien autorizado en su nombre.</w:t>
      </w:r>
    </w:p>
    <w:p>
      <w:pPr>
        <w:pStyle w:val="ListParagraph"/>
        <w:numPr>
          <w:ilvl w:val="0"/>
          <w:numId w:val="3"/>
        </w:numPr>
        <w:spacing w:after="60"/>
      </w:pPr>
      <w:r>
        <w:t xml:space="preserve">La información necesaria para la interoperabilidad </w:t>
      </w:r>
      <w:r>
        <w:rPr>
          <w:b/>
          <w:bCs/>
        </w:rPr>
        <w:t xml:space="preserve">no ha sido puesta previamente a su disposición</w:t>
      </w:r>
      <w:r>
        <w:t xml:space="preserve"> de forma fácil y rápida.</w:t>
      </w:r>
    </w:p>
    <w:p>
      <w:pPr>
        <w:pStyle w:val="ListParagraph"/>
        <w:numPr>
          <w:ilvl w:val="0"/>
          <w:numId w:val="3"/>
        </w:numPr>
        <w:spacing w:after="60"/>
      </w:pPr>
      <w:r>
        <w:t xml:space="preserve">Se limita a las </w:t>
      </w:r>
      <w:r>
        <w:rPr>
          <w:b/>
          <w:bCs/>
        </w:rPr>
        <w:t xml:space="preserve">partes del programa necesarias</w:t>
      </w:r>
      <w:r>
        <w:t xml:space="preserve"> para conseguir la interoperabilidad.</w:t>
      </w:r>
    </w:p>
    <w:p>
      <w:pPr>
        <w:pStyle w:val="ListParagraph"/>
        <w:numPr>
          <w:ilvl w:val="0"/>
          <w:numId w:val="3"/>
        </w:numPr>
        <w:spacing w:after="60"/>
      </w:pPr>
      <w:r>
        <w:t xml:space="preserve">La información obtenida </w:t>
      </w:r>
      <w:r>
        <w:rPr>
          <w:b/>
          <w:bCs/>
        </w:rPr>
        <w:t xml:space="preserve">no puede</w:t>
      </w:r>
      <w:r>
        <w:t xml:space="preserve">: utilizarse para fines distintos de la interoperabilidad del programa creado de forma independiente; comunicarse a terceros salvo que sea necesario para esa interoperabilidad; ni utilizarse para desarrollar, producir o comercializar un programa </w:t>
      </w:r>
      <w:r>
        <w:rPr>
          <w:b/>
          <w:bCs/>
        </w:rPr>
        <w:t xml:space="preserve">sustancialmente similar</w:t>
      </w:r>
      <w:r>
        <w:t xml:space="preserve"> o para cualquier acto que infrinja el derecho de autor.</w:t>
      </w:r>
    </w:p>
    <w:p>
      <w:pPr>
        <w:pStyle w:val="ListParagraph"/>
        <w:numPr>
          <w:ilvl w:val="0"/>
          <w:numId w:val="3"/>
        </w:numPr>
        <w:spacing w:after="60"/>
      </w:pPr>
      <w:r>
        <w:t xml:space="preserve">No puede interpretarse de forma que perjudique injustificadamente los intereses del titular o la explotación normal del programa (regla de los tres pasos).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DEEAF6" w:color="auto" w:val="clear"/>
            <w:tcMar>
              <w:top w:type="dxa" w:w="100"/>
              <w:left w:type="dxa" w:w="160"/>
              <w:bottom w:type="dxa" w:w="100"/>
              <w:right w:type="dxa" w:w="140"/>
            </w:tcMar>
          </w:tcPr>
          <w:p>
            <w:pPr>
              <w:spacing w:after="80"/>
            </w:pPr>
            <w:r>
              <w:rPr>
                <w:b/>
                <w:bCs/>
                <w:color w:val="2E75B6"/>
                <w:sz w:val="20"/>
                <w:szCs w:val="20"/>
              </w:rPr>
              <w:t xml:space="preserve">CLAVE PARA EL EXAMEN</w:t>
            </w:r>
          </w:p>
          <w:p>
            <w:pPr>
              <w:pStyle w:val="ListParagraph"/>
              <w:numPr>
                <w:ilvl w:val="0"/>
                <w:numId w:val="2"/>
              </w:numPr>
              <w:spacing w:after="40"/>
            </w:pPr>
            <w:r>
              <w:rPr>
                <w:sz w:val="19"/>
                <w:szCs w:val="19"/>
              </w:rPr>
              <w:t xml:space="preserve">Observar/estudiar el funcionamiento → </w:t>
            </w:r>
            <w:r>
              <w:rPr>
                <w:b/>
                <w:bCs/>
                <w:sz w:val="19"/>
                <w:szCs w:val="19"/>
              </w:rPr>
              <w:t xml:space="preserve">siempre lícito</w:t>
            </w:r>
            <w:r>
              <w:rPr>
                <w:sz w:val="19"/>
                <w:szCs w:val="19"/>
              </w:rPr>
              <w:t xml:space="preserve"> para el usuario legítimo (100.3).</w:t>
            </w:r>
          </w:p>
          <w:p>
            <w:pPr>
              <w:pStyle w:val="ListParagraph"/>
              <w:numPr>
                <w:ilvl w:val="0"/>
                <w:numId w:val="2"/>
              </w:numPr>
              <w:spacing w:after="40"/>
            </w:pPr>
            <w:r>
              <w:rPr>
                <w:sz w:val="19"/>
                <w:szCs w:val="19"/>
              </w:rPr>
              <w:t xml:space="preserve">Copia de seguridad → </w:t>
            </w:r>
            <w:r>
              <w:rPr>
                <w:b/>
                <w:bCs/>
                <w:sz w:val="19"/>
                <w:szCs w:val="19"/>
              </w:rPr>
              <w:t xml:space="preserve">no puede prohibirse</w:t>
            </w:r>
            <w:r>
              <w:rPr>
                <w:sz w:val="19"/>
                <w:szCs w:val="19"/>
              </w:rPr>
              <w:t xml:space="preserve"> por contrato (100.2).</w:t>
            </w:r>
          </w:p>
          <w:p>
            <w:pPr>
              <w:pStyle w:val="ListParagraph"/>
              <w:numPr>
                <w:ilvl w:val="0"/>
                <w:numId w:val="2"/>
              </w:numPr>
              <w:spacing w:after="40"/>
            </w:pPr>
            <w:r>
              <w:rPr>
                <w:sz w:val="19"/>
                <w:szCs w:val="19"/>
              </w:rPr>
              <w:t xml:space="preserve">Descompilar → </w:t>
            </w:r>
            <w:r>
              <w:rPr>
                <w:b/>
                <w:bCs/>
                <w:sz w:val="19"/>
                <w:szCs w:val="19"/>
              </w:rPr>
              <w:t xml:space="preserve">solo</w:t>
            </w:r>
            <w:r>
              <w:rPr>
                <w:sz w:val="19"/>
                <w:szCs w:val="19"/>
              </w:rPr>
              <w:t xml:space="preserve"> en supuestos tasados (interoperabilidad; corrección de errores según TJUE).</w:t>
            </w:r>
          </w:p>
          <w:p>
            <w:pPr>
              <w:pStyle w:val="ListParagraph"/>
              <w:numPr>
                <w:ilvl w:val="0"/>
                <w:numId w:val="2"/>
              </w:numPr>
              <w:spacing w:after="40"/>
            </w:pPr>
            <w:r>
              <w:rPr>
                <w:sz w:val="19"/>
                <w:szCs w:val="19"/>
              </w:rPr>
              <w:t xml:space="preserve">Ingeniería inversa ≠ descompilación ≠ análisis de malware.</w:t>
            </w:r>
          </w:p>
        </w:tc>
      </w:tr>
    </w:tbl>
    <w:p>
      <w:pPr>
        <w:spacing w:after="120"/>
      </w:pPr>
    </w:p>
    <w:p>
      <w:pPr>
        <w:pStyle w:val="Heading1"/>
        <w:keepNext/>
        <w:spacing w:after="200" w:before="360"/>
      </w:pPr>
      <w:r>
        <w:t xml:space="preserve">10. Protección jurídica de las bases de datos</w:t>
      </w:r>
    </w:p>
    <w:p>
      <w:pPr>
        <w:pStyle w:val="Heading2"/>
        <w:keepNext/>
      </w:pPr>
      <w:r>
        <w:t xml:space="preserve">10.1 Marco normativo</w:t>
      </w:r>
    </w:p>
    <w:p>
      <w:pPr>
        <w:spacing w:after="120"/>
        <w:jc w:val="both"/>
      </w:pPr>
      <w:r>
        <w:t xml:space="preserve">La </w:t>
      </w:r>
      <w:r>
        <w:rPr>
          <w:b/>
          <w:bCs/>
        </w:rPr>
        <w:t xml:space="preserve">Directiva 96/9/CE</w:t>
      </w:r>
      <w:r>
        <w:t xml:space="preserve">, sobre la protección jurídica de las bases de datos, fue transpuesta por la </w:t>
      </w:r>
      <w:r>
        <w:rPr>
          <w:b/>
          <w:bCs/>
        </w:rPr>
        <w:t xml:space="preserve">Ley 5/1998, de 6 de marzo</w:t>
      </w:r>
      <w:r>
        <w:t xml:space="preserve">, que insertó sus reglas directamente en la LPI. El resultado es un </w:t>
      </w:r>
      <w:r>
        <w:rPr>
          <w:b/>
          <w:bCs/>
        </w:rPr>
        <w:t xml:space="preserve">sistema dual</w:t>
      </w:r>
      <w:r>
        <w:t xml:space="preserve"> de protección, que puede concurrir sobre una misma base de datos:</w:t>
      </w:r>
    </w:p>
    <w:p>
      <w:pPr>
        <w:spacing w:after="80"/>
        <w:jc w:val="center"/>
      </w:pPr>
      <w:r>
        <w:rPr>
          <w:b/>
          <w:bCs/>
          <w:color w:val="1F3864"/>
          <w:sz w:val="20"/>
          <w:szCs w:val="20"/>
        </w:rPr>
        <w:t xml:space="preserve">Vía 1: estructura → derecho de autor</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639"/>
        <w:gridCol w:w="360"/>
        <w:gridCol w:w="4639"/>
      </w:tblGrid>
      <w:tr>
        <w:tc>
          <w:tcPr>
            <w:tcW w:type="dxa" w:w="46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Selección o disposición ORIGINAL de los contenidos</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46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DERECHO DE AUTOR (art. 12 LPI)</w:t>
            </w:r>
          </w:p>
        </w:tc>
      </w:tr>
    </w:tbl>
    <w:p>
      <w:pPr>
        <w:spacing w:after="60"/>
      </w:pPr>
    </w:p>
    <w:p>
      <w:pPr>
        <w:spacing w:after="80"/>
        <w:jc w:val="center"/>
      </w:pPr>
      <w:r>
        <w:rPr>
          <w:b/>
          <w:bCs/>
          <w:color w:val="1F3864"/>
          <w:sz w:val="20"/>
          <w:szCs w:val="20"/>
        </w:rPr>
        <w:t xml:space="preserve">Vía 2: inversión → derecho sui generis</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639"/>
        <w:gridCol w:w="360"/>
        <w:gridCol w:w="4639"/>
      </w:tblGrid>
      <w:tr>
        <w:tc>
          <w:tcPr>
            <w:tcW w:type="dxa" w:w="46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INVERSIÓN SUSTANCIAL en obtener, verificar o presentar el contenido</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46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DERECHO SUI GENERIS (arts. 133-137 LPI)</w:t>
            </w:r>
          </w:p>
        </w:tc>
      </w:tr>
    </w:tbl>
    <w:p>
      <w:pPr>
        <w:spacing w:after="60"/>
      </w:pPr>
    </w:p>
    <w:p>
      <w:pPr>
        <w:pStyle w:val="Heading2"/>
        <w:keepNext/>
      </w:pPr>
      <w:r>
        <w:t xml:space="preserve">10.2 Concepto de base de datos (art. 12.2 LPI)</w:t>
      </w:r>
    </w:p>
    <w:p>
      <w:pPr>
        <w:spacing w:after="120"/>
        <w:jc w:val="both"/>
      </w:pPr>
      <w:r>
        <w:t xml:space="preserve">Se consideran bases de datos </w:t>
      </w:r>
      <w:r>
        <w:rPr>
          <w:b/>
          <w:bCs/>
        </w:rPr>
        <w:t xml:space="preserve">«las colecciones de obras, de datos, o de otros elementos independientes dispuestos de manera sistemática o metódica y accesibles individualmente por medios electrónicos o de otra forma»</w:t>
      </w:r>
      <w:r>
        <w:t xml:space="preserve">. La definición no se limita a las bases electrónicas: un fichero en papel ordenado también lo es. La protección </w:t>
      </w:r>
      <w:r>
        <w:rPr>
          <w:b/>
          <w:bCs/>
        </w:rPr>
        <w:t xml:space="preserve">no se aplica a los programas de ordenador utilizados en la fabricación o funcionamiento</w:t>
      </w:r>
      <w:r>
        <w:t xml:space="preserve"> de bases de datos accesibles electrónicamente (art. 12.3), que se protegen por su propio régimen: el SGBD (Oracle, PostgreSQL…) es software; el esquema y el contenido organizado son la base de datos.</w:t>
      </w:r>
    </w:p>
    <w:p>
      <w:pPr>
        <w:pStyle w:val="Heading2"/>
        <w:keepNext/>
      </w:pPr>
      <w:r>
        <w:t xml:space="preserve">10.3 Protección por derecho de autor (art. 12.1 LPI)</w:t>
      </w:r>
    </w:p>
    <w:p>
      <w:pPr>
        <w:spacing w:after="120"/>
        <w:jc w:val="both"/>
      </w:pPr>
      <w:r>
        <w:t xml:space="preserve">Son objeto de propiedad intelectual las colecciones y bases de datos que </w:t>
      </w:r>
      <w:r>
        <w:rPr>
          <w:b/>
          <w:bCs/>
        </w:rPr>
        <w:t xml:space="preserve">por la selección o disposición de sus contenidos constituyan creaciones intelectuales</w:t>
      </w:r>
      <w:r>
        <w:t xml:space="preserve">. La protección se refiere </w:t>
      </w:r>
      <w:r>
        <w:rPr>
          <w:b/>
          <w:bCs/>
        </w:rPr>
        <w:t xml:space="preserve">únicamente a su estructura</w:t>
      </w:r>
      <w:r>
        <w:t xml:space="preserve"> en cuanto forma de expresión de la selección o disposición, y </w:t>
      </w:r>
      <w:r>
        <w:rPr>
          <w:b/>
          <w:bCs/>
        </w:rPr>
        <w:t xml:space="preserve">no se extiende a los contenidos</w:t>
      </w:r>
      <w:r>
        <w:t xml:space="preserve">, sin perjuicio de los derechos que pudieran subsistir sobre ellos. Titular: el autor (persona que realiza la selección/disposición) con las reglas generales. Límites específicos: </w:t>
      </w:r>
      <w:r>
        <w:rPr>
          <w:b/>
          <w:bCs/>
        </w:rPr>
        <w:t xml:space="preserve">art. 34 LPI</w:t>
      </w:r>
      <w:r>
        <w:t xml:space="preserve"> (actos del usuario legítimo necesarios para acceder y usar; usos privados de BD no electrónicas, ilustración docente e investigación, seguridad pública y procedimientos).</w:t>
      </w:r>
    </w:p>
    <w:p>
      <w:pPr>
        <w:pStyle w:val="Heading2"/>
        <w:keepNext/>
      </w:pPr>
      <w:r>
        <w:t xml:space="preserve">10.4 El derecho sui generis (Título VIII del Libro II LPI, arts. 133-137)</w:t>
      </w:r>
    </w:p>
    <w:p>
      <w:pPr>
        <w:spacing w:after="120"/>
        <w:jc w:val="both"/>
      </w:pPr>
      <w:r>
        <w:t xml:space="preserve">Es un derecho </w:t>
      </w:r>
      <w:r>
        <w:rPr>
          <w:b/>
          <w:bCs/>
        </w:rPr>
        <w:t xml:space="preserve">distinto del derecho de autor</w:t>
      </w:r>
      <w:r>
        <w:t xml:space="preserve">, creado por la Directiva 96/9/CE para proteger la </w:t>
      </w:r>
      <w:r>
        <w:rPr>
          <w:b/>
          <w:bCs/>
        </w:rPr>
        <w:t xml:space="preserve">inversión</w:t>
      </w:r>
      <w:r>
        <w:t xml:space="preserve">, no la creatividad. Se aplica </w:t>
      </w:r>
      <w:r>
        <w:rPr>
          <w:b/>
          <w:bCs/>
        </w:rPr>
        <w:t xml:space="preserve">con independencia</w:t>
      </w:r>
      <w:r>
        <w:t xml:space="preserve"> de que la base de datos o su contenido estén protegidos por derecho de autor (art. 137).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7470"/>
      </w:tblGrid>
      <w:tr>
        <w:trPr>
          <w:tblHeader/>
        </w:trPr>
        <w:tc>
          <w:tcPr>
            <w:tcW w:type="dxa" w:w="216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Aspecto</w:t>
            </w:r>
          </w:p>
        </w:tc>
        <w:tc>
          <w:tcPr>
            <w:tcW w:type="dxa" w:w="747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Regulación (LPI)</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Objeto (art. 133.1)</w:t>
            </w:r>
          </w:p>
        </w:tc>
        <w:tc>
          <w:tcPr>
            <w:tcW w:type="dxa" w:w="7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Protege la </w:t>
            </w:r>
            <w:r>
              <w:rPr>
                <w:sz w:val="18"/>
                <w:szCs w:val="18"/>
              </w:rPr>
              <w:t xml:space="preserve">inversión sustancial, evaluada cualitativa o cuantitativamente</w:t>
            </w:r>
            <w:r>
              <w:rPr>
                <w:sz w:val="18"/>
                <w:szCs w:val="18"/>
              </w:rPr>
              <w:t xml:space="preserve">, que realiza el fabricante —de medios financieros, tiempo, esfuerzo, energía u otros similares— para la </w:t>
            </w:r>
            <w:r>
              <w:rPr>
                <w:sz w:val="18"/>
                <w:szCs w:val="18"/>
              </w:rPr>
              <w:t xml:space="preserve">obtención, verificación o presentación</w:t>
            </w:r>
            <w:r>
              <w:rPr>
                <w:sz w:val="18"/>
                <w:szCs w:val="18"/>
              </w:rPr>
              <w:t xml:space="preserve"> del contenido.</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Titular</w:t>
            </w:r>
          </w:p>
        </w:tc>
        <w:tc>
          <w:tcPr>
            <w:tcW w:type="dxa" w:w="74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El </w:t>
            </w:r>
            <w:r>
              <w:rPr>
                <w:sz w:val="18"/>
                <w:szCs w:val="18"/>
              </w:rPr>
              <w:t xml:space="preserve">fabricante</w:t>
            </w:r>
            <w:r>
              <w:rPr>
                <w:sz w:val="18"/>
                <w:szCs w:val="18"/>
              </w:rPr>
              <w:t xml:space="preserve">: persona natural o jurídica que </w:t>
            </w:r>
            <w:r>
              <w:rPr>
                <w:sz w:val="18"/>
                <w:szCs w:val="18"/>
              </w:rPr>
              <w:t xml:space="preserve">toma la iniciativa y asume el riesgo</w:t>
            </w:r>
            <w:r>
              <w:rPr>
                <w:sz w:val="18"/>
                <w:szCs w:val="18"/>
              </w:rPr>
              <w:t xml:space="preserve"> de la inversión. No los subcontratistas.</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Facultades</w:t>
            </w:r>
          </w:p>
        </w:tc>
        <w:tc>
          <w:tcPr>
            <w:tcW w:type="dxa" w:w="7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Prohibir la </w:t>
            </w:r>
            <w:r>
              <w:rPr>
                <w:sz w:val="18"/>
                <w:szCs w:val="18"/>
              </w:rPr>
              <w:t xml:space="preserve">extracción</w:t>
            </w:r>
            <w:r>
              <w:rPr>
                <w:sz w:val="18"/>
                <w:szCs w:val="18"/>
              </w:rPr>
              <w:t xml:space="preserve"> y/o </w:t>
            </w:r>
            <w:r>
              <w:rPr>
                <w:sz w:val="18"/>
                <w:szCs w:val="18"/>
              </w:rPr>
              <w:t xml:space="preserve">reutilización</w:t>
            </w:r>
            <w:r>
              <w:rPr>
                <w:sz w:val="18"/>
                <w:szCs w:val="18"/>
              </w:rPr>
              <w:t xml:space="preserve"> de la </w:t>
            </w:r>
            <w:r>
              <w:rPr>
                <w:sz w:val="18"/>
                <w:szCs w:val="18"/>
              </w:rPr>
              <w:t xml:space="preserve">totalidad o de una parte sustancial</w:t>
            </w:r>
            <w:r>
              <w:rPr>
                <w:sz w:val="18"/>
                <w:szCs w:val="18"/>
              </w:rPr>
              <w:t xml:space="preserve"> del contenido. Además, prohibir la extracción/reutilización </w:t>
            </w:r>
            <w:r>
              <w:rPr>
                <w:sz w:val="18"/>
                <w:szCs w:val="18"/>
              </w:rPr>
              <w:t xml:space="preserve">repetida y sistemática de partes no sustanciales</w:t>
            </w:r>
            <w:r>
              <w:rPr>
                <w:sz w:val="18"/>
                <w:szCs w:val="18"/>
              </w:rPr>
              <w:t xml:space="preserve"> cuando sea contraria a la explotación normal o perjudique injustificadamente al fabricante.</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Extracción</w:t>
            </w:r>
          </w:p>
        </w:tc>
        <w:tc>
          <w:tcPr>
            <w:tcW w:type="dxa" w:w="74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Transferencia </w:t>
            </w:r>
            <w:r>
              <w:rPr>
                <w:sz w:val="18"/>
                <w:szCs w:val="18"/>
              </w:rPr>
              <w:t xml:space="preserve">permanente o temporal</w:t>
            </w:r>
            <w:r>
              <w:rPr>
                <w:sz w:val="18"/>
                <w:szCs w:val="18"/>
              </w:rPr>
              <w:t xml:space="preserve"> de la totalidad o parte sustancial del contenido a otro soporte, por cualquier medio o forma.</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Reutilización</w:t>
            </w:r>
          </w:p>
        </w:tc>
        <w:tc>
          <w:tcPr>
            <w:tcW w:type="dxa" w:w="7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Toda forma de </w:t>
            </w:r>
            <w:r>
              <w:rPr>
                <w:sz w:val="18"/>
                <w:szCs w:val="18"/>
              </w:rPr>
              <w:t xml:space="preserve">puesta a disposición del público</w:t>
            </w:r>
            <w:r>
              <w:rPr>
                <w:sz w:val="18"/>
                <w:szCs w:val="18"/>
              </w:rPr>
              <w:t xml:space="preserve"> de la totalidad o parte sustancial del contenido (distribución de copias, alquiler, transmisión en línea).</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Transmisión</w:t>
            </w:r>
          </w:p>
        </w:tc>
        <w:tc>
          <w:tcPr>
            <w:tcW w:type="dxa" w:w="74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El derecho puede transferirse, cederse o darse en licencia contractual.</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Usuario legítimo (art. 134)</w:t>
            </w:r>
          </w:p>
        </w:tc>
        <w:tc>
          <w:tcPr>
            <w:tcW w:type="dxa" w:w="7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Puede extraer y/o reutilizar </w:t>
            </w:r>
            <w:r>
              <w:rPr>
                <w:sz w:val="18"/>
                <w:szCs w:val="18"/>
              </w:rPr>
              <w:t xml:space="preserve">partes no sustanciales</w:t>
            </w:r>
            <w:r>
              <w:rPr>
                <w:sz w:val="18"/>
                <w:szCs w:val="18"/>
              </w:rPr>
              <w:t xml:space="preserve"> para cualquier fin; no puede perjudicar al fabricante ni a titulares de derechos sobre los contenidos.</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Excepciones (art. 135)</w:t>
            </w:r>
          </w:p>
        </w:tc>
        <w:tc>
          <w:tcPr>
            <w:tcW w:type="dxa" w:w="74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Sin autorización: extracción con </w:t>
            </w:r>
            <w:r>
              <w:rPr>
                <w:sz w:val="18"/>
                <w:szCs w:val="18"/>
              </w:rPr>
              <w:t xml:space="preserve">fines privados</w:t>
            </w:r>
            <w:r>
              <w:rPr>
                <w:sz w:val="18"/>
                <w:szCs w:val="18"/>
              </w:rPr>
              <w:t xml:space="preserve"> de BD </w:t>
            </w:r>
            <w:r>
              <w:rPr>
                <w:sz w:val="18"/>
                <w:szCs w:val="18"/>
              </w:rPr>
              <w:t xml:space="preserve">no electrónicas</w:t>
            </w:r>
            <w:r>
              <w:rPr>
                <w:sz w:val="18"/>
                <w:szCs w:val="18"/>
              </w:rPr>
              <w:t xml:space="preserve">; extracción para </w:t>
            </w:r>
            <w:r>
              <w:rPr>
                <w:sz w:val="18"/>
                <w:szCs w:val="18"/>
              </w:rPr>
              <w:t xml:space="preserve">ilustración de la enseñanza o investigación científica</w:t>
            </w:r>
            <w:r>
              <w:rPr>
                <w:sz w:val="18"/>
                <w:szCs w:val="18"/>
              </w:rPr>
              <w:t xml:space="preserve"> sin fin comercial, indicando la fuente; extracción/reutilización para </w:t>
            </w:r>
            <w:r>
              <w:rPr>
                <w:sz w:val="18"/>
                <w:szCs w:val="18"/>
              </w:rPr>
              <w:t xml:space="preserve">seguridad pública</w:t>
            </w:r>
            <w:r>
              <w:rPr>
                <w:sz w:val="18"/>
                <w:szCs w:val="18"/>
              </w:rPr>
              <w:t xml:space="preserve"> o procedimientos </w:t>
            </w:r>
            <w:r>
              <w:rPr>
                <w:sz w:val="18"/>
                <w:szCs w:val="18"/>
              </w:rPr>
              <w:t xml:space="preserve">administrativos o judiciales</w:t>
            </w:r>
            <w:r>
              <w:rPr>
                <w:sz w:val="18"/>
                <w:szCs w:val="18"/>
              </w:rPr>
              <w:t xml:space="preserve">.</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Duración (art. 136)</w:t>
            </w:r>
          </w:p>
        </w:tc>
        <w:tc>
          <w:tcPr>
            <w:tcW w:type="dxa" w:w="7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15 años</w:t>
            </w:r>
            <w:r>
              <w:rPr>
                <w:sz w:val="18"/>
                <w:szCs w:val="18"/>
              </w:rPr>
              <w:t xml:space="preserve"> desde el 1 de enero siguiente a la terminación de la base; si se pone a disposición del público antes de expirar, 15 años desde el 1 de enero siguiente a esa puesta a disposición. Toda </w:t>
            </w:r>
            <w:r>
              <w:rPr>
                <w:sz w:val="18"/>
                <w:szCs w:val="18"/>
              </w:rPr>
              <w:t xml:space="preserve">modificación sustancial</w:t>
            </w:r>
            <w:r>
              <w:rPr>
                <w:sz w:val="18"/>
                <w:szCs w:val="18"/>
              </w:rPr>
              <w:t xml:space="preserve"> que suponga nueva inversión sustancial genera un </w:t>
            </w:r>
            <w:r>
              <w:rPr>
                <w:sz w:val="18"/>
                <w:szCs w:val="18"/>
              </w:rPr>
              <w:t xml:space="preserve">nuevo plazo</w:t>
            </w:r>
            <w:r>
              <w:rPr>
                <w:sz w:val="18"/>
                <w:szCs w:val="18"/>
              </w:rPr>
              <w:t xml:space="preserve"> para la base resultante.</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Relación con otros derechos (art. 137)</w:t>
            </w:r>
          </w:p>
        </w:tc>
        <w:tc>
          <w:tcPr>
            <w:tcW w:type="dxa" w:w="74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Se aplica sin perjuicio del derecho de autor y otros derechos sobre la BD o su contenido.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4"/>
              <w:left w:val="single" w:color="BF8F00" w:sz="24"/>
              <w:bottom w:val="single" w:color="BF8F00" w:sz="4"/>
              <w:right w:val="single" w:color="BF8F00" w:sz="4"/>
            </w:tcBorders>
            <w:shd w:fill="FFF2CC" w:color="auto" w:val="clear"/>
            <w:tcMar>
              <w:top w:type="dxa" w:w="100"/>
              <w:left w:type="dxa" w:w="160"/>
              <w:bottom w:type="dxa" w:w="100"/>
              <w:right w:type="dxa" w:w="140"/>
            </w:tcMar>
          </w:tcPr>
          <w:p>
            <w:pPr>
              <w:spacing w:after="80"/>
            </w:pPr>
            <w:r>
              <w:rPr>
                <w:b/>
                <w:bCs/>
                <w:color w:val="BF8F00"/>
                <w:sz w:val="20"/>
                <w:szCs w:val="20"/>
              </w:rPr>
              <w:t xml:space="preserve">NOTA</w:t>
            </w:r>
          </w:p>
          <w:p>
            <w:pPr>
              <w:spacing w:after="60"/>
              <w:jc w:val="both"/>
            </w:pPr>
            <w:r>
              <w:rPr>
                <w:sz w:val="19"/>
                <w:szCs w:val="19"/>
              </w:rPr>
              <w:t xml:space="preserve">*</w:t>
            </w:r>
            <w:r>
              <w:rPr>
                <w:i/>
                <w:iCs/>
                <w:sz w:val="19"/>
                <w:szCs w:val="19"/>
              </w:rPr>
              <w:t xml:space="preserve">Jurisprudencia TJUE – </w:t>
            </w:r>
            <w:r>
              <w:rPr>
                <w:sz w:val="19"/>
                <w:szCs w:val="19"/>
              </w:rPr>
              <w:t xml:space="preserve">British Horseracing Board v William Hill</w:t>
            </w:r>
            <w:r>
              <w:rPr>
                <w:i/>
                <w:iCs/>
                <w:sz w:val="19"/>
                <w:szCs w:val="19"/>
              </w:rPr>
              <w:t xml:space="preserve"> (C-203/02, 2004)</w:t>
            </w:r>
            <w:r>
              <w:rPr>
                <w:i/>
                <w:iCs/>
                <w:sz w:val="19"/>
                <w:szCs w:val="19"/>
              </w:rPr>
              <w:t xml:space="preserve">: la inversión relevante es la destinada a </w:t>
            </w:r>
            <w:r>
              <w:rPr>
                <w:i/>
                <w:iCs/>
                <w:sz w:val="19"/>
                <w:szCs w:val="19"/>
              </w:rPr>
              <w:t xml:space="preserve">buscar y reunir</w:t>
            </w:r>
            <w:r>
              <w:rPr>
                <w:i/>
                <w:iCs/>
                <w:sz w:val="19"/>
                <w:szCs w:val="19"/>
              </w:rPr>
              <w:t xml:space="preserve"> elementos existentes, no a </w:t>
            </w:r>
            <w:r>
              <w:rPr>
                <w:i/>
                <w:iCs/>
                <w:sz w:val="19"/>
                <w:szCs w:val="19"/>
              </w:rPr>
              <w:t xml:space="preserve">crear</w:t>
            </w:r>
            <w:r>
              <w:rPr>
                <w:i/>
                <w:iCs/>
                <w:sz w:val="19"/>
                <w:szCs w:val="19"/>
              </w:rPr>
              <w:t xml:space="preserve"> los datos (p. ej., elaborar calendarios de carreras). </w:t>
            </w:r>
            <w:r>
              <w:rPr>
                <w:i/>
                <w:iCs/>
                <w:sz w:val="19"/>
                <w:szCs w:val="19"/>
              </w:rPr>
              <w:t xml:space="preserve">Reglamento (UE) 2023/2854 (Data Act), art. 43</w:t>
            </w:r>
            <w:r>
              <w:rPr>
                <w:i/>
                <w:iCs/>
                <w:sz w:val="19"/>
                <w:szCs w:val="19"/>
              </w:rPr>
              <w:t xml:space="preserve">: el derecho sui generis </w:t>
            </w:r>
            <w:r>
              <w:rPr>
                <w:i/>
                <w:iCs/>
                <w:sz w:val="19"/>
                <w:szCs w:val="19"/>
              </w:rPr>
              <w:t xml:space="preserve">no se aplica</w:t>
            </w:r>
            <w:r>
              <w:rPr>
                <w:sz w:val="19"/>
                <w:szCs w:val="19"/>
              </w:rPr>
              <w:t xml:space="preserve">* a las bases de datos que contengan datos obtenidos o generados por productos conectados o servicios relacionados (aplicable desde el 12 de septiembre de 2025).</w:t>
            </w:r>
          </w:p>
        </w:tc>
      </w:tr>
    </w:tbl>
    <w:p>
      <w:pPr>
        <w:spacing w:after="120"/>
      </w:pPr>
    </w:p>
    <w:p>
      <w:pPr>
        <w:pStyle w:val="Heading2"/>
        <w:keepNext/>
      </w:pPr>
      <w:r>
        <w:t xml:space="preserve">10.5 Estructura frente a datos individuales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2"/>
        <w:gridCol w:w="6506"/>
      </w:tblGrid>
      <w:tr>
        <w:trPr>
          <w:tblHeader/>
        </w:trPr>
        <w:tc>
          <w:tcPr>
            <w:tcW w:type="dxa" w:w="3132"/>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Nivel</w:t>
            </w:r>
          </w:p>
        </w:tc>
        <w:tc>
          <w:tcPr>
            <w:tcW w:type="dxa" w:w="650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Mecanismo de protección</w:t>
            </w:r>
          </w:p>
        </w:tc>
      </w:tr>
      <w:tr>
        <w:trPr>
          <w:cantSplit/>
        </w:trPr>
        <w:tc>
          <w:tcPr>
            <w:tcW w:type="dxa" w:w="31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Estructura (selección/disposición original)</w:t>
            </w:r>
          </w:p>
        </w:tc>
        <w:tc>
          <w:tcPr>
            <w:tcW w:type="dxa" w:w="6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Derecho de autor (art. 12 LPI).</w:t>
            </w:r>
          </w:p>
        </w:tc>
      </w:tr>
      <w:tr>
        <w:trPr>
          <w:cantSplit/>
        </w:trPr>
        <w:tc>
          <w:tcPr>
            <w:tcW w:type="dxa" w:w="313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Contenido en su conjunto o partes sustanciales</w:t>
            </w:r>
          </w:p>
        </w:tc>
        <w:tc>
          <w:tcPr>
            <w:tcW w:type="dxa" w:w="65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Derecho sui generis del fabricante (arts. 133-137).</w:t>
            </w:r>
          </w:p>
        </w:tc>
      </w:tr>
      <w:tr>
        <w:trPr>
          <w:cantSplit/>
        </w:trPr>
        <w:tc>
          <w:tcPr>
            <w:tcW w:type="dxa" w:w="31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Cada dato individual</w:t>
            </w:r>
          </w:p>
        </w:tc>
        <w:tc>
          <w:tcPr>
            <w:tcW w:type="dxa" w:w="6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 lo protege ni el derecho de autor sobre la BD ni el sui generis. Puede estar protegido por </w:t>
            </w:r>
            <w:r>
              <w:rPr>
                <w:sz w:val="18"/>
                <w:szCs w:val="18"/>
              </w:rPr>
              <w:t xml:space="preserve">otro título</w:t>
            </w:r>
            <w:r>
              <w:rPr>
                <w:sz w:val="18"/>
                <w:szCs w:val="18"/>
              </w:rPr>
              <w:t xml:space="preserve">: derecho de autor si el elemento es una obra (un artículo, una imagen), </w:t>
            </w:r>
            <w:r>
              <w:rPr>
                <w:sz w:val="18"/>
                <w:szCs w:val="18"/>
              </w:rPr>
              <w:t xml:space="preserve">protección de datos personales</w:t>
            </w:r>
            <w:r>
              <w:rPr>
                <w:sz w:val="18"/>
                <w:szCs w:val="18"/>
              </w:rPr>
              <w:t xml:space="preserve"> (RGPD), </w:t>
            </w:r>
            <w:r>
              <w:rPr>
                <w:sz w:val="18"/>
                <w:szCs w:val="18"/>
              </w:rPr>
              <w:t xml:space="preserve">secreto empresarial</w:t>
            </w:r>
            <w:r>
              <w:rPr>
                <w:sz w:val="18"/>
                <w:szCs w:val="18"/>
              </w:rPr>
              <w:t xml:space="preserve">, confidencialidad contractual.</w:t>
            </w:r>
          </w:p>
        </w:tc>
      </w:tr>
      <w:tr>
        <w:trPr>
          <w:cantSplit/>
        </w:trPr>
        <w:tc>
          <w:tcPr>
            <w:tcW w:type="dxa" w:w="313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Software que gestiona la BD</w:t>
            </w:r>
          </w:p>
        </w:tc>
        <w:tc>
          <w:tcPr>
            <w:tcW w:type="dxa" w:w="65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Régimen de programas de ordenador (Título VII LPI).</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DEEAF6" w:color="auto" w:val="clear"/>
            <w:tcMar>
              <w:top w:type="dxa" w:w="100"/>
              <w:left w:type="dxa" w:w="160"/>
              <w:bottom w:type="dxa" w:w="100"/>
              <w:right w:type="dxa" w:w="140"/>
            </w:tcMar>
          </w:tcPr>
          <w:p>
            <w:pPr>
              <w:spacing w:after="80"/>
            </w:pPr>
            <w:r>
              <w:rPr>
                <w:b/>
                <w:bCs/>
                <w:color w:val="2E75B6"/>
                <w:sz w:val="20"/>
                <w:szCs w:val="20"/>
              </w:rPr>
              <w:t xml:space="preserve">CLAVE PARA EL EXAMEN</w:t>
            </w:r>
          </w:p>
          <w:p>
            <w:pPr>
              <w:pStyle w:val="ListParagraph"/>
              <w:numPr>
                <w:ilvl w:val="0"/>
                <w:numId w:val="2"/>
              </w:numPr>
              <w:spacing w:after="40"/>
            </w:pPr>
            <w:r>
              <w:rPr>
                <w:b/>
                <w:bCs/>
                <w:sz w:val="19"/>
                <w:szCs w:val="19"/>
              </w:rPr>
              <w:t xml:space="preserve">Dos vías</w:t>
            </w:r>
            <w:r>
              <w:rPr>
                <w:sz w:val="19"/>
                <w:szCs w:val="19"/>
              </w:rPr>
              <w:t xml:space="preserve">: derecho de autor (creatividad en la </w:t>
            </w:r>
            <w:r>
              <w:rPr>
                <w:b/>
                <w:bCs/>
                <w:sz w:val="19"/>
                <w:szCs w:val="19"/>
              </w:rPr>
              <w:t xml:space="preserve">estructura</w:t>
            </w:r>
            <w:r>
              <w:rPr>
                <w:sz w:val="19"/>
                <w:szCs w:val="19"/>
              </w:rPr>
              <w:t xml:space="preserve">) y </w:t>
            </w:r>
            <w:r>
              <w:rPr>
                <w:b/>
                <w:bCs/>
                <w:sz w:val="19"/>
                <w:szCs w:val="19"/>
              </w:rPr>
              <w:t xml:space="preserve">sui generis</w:t>
            </w:r>
            <w:r>
              <w:rPr>
                <w:sz w:val="19"/>
                <w:szCs w:val="19"/>
              </w:rPr>
              <w:t xml:space="preserve"> (inversión en el </w:t>
            </w:r>
            <w:r>
              <w:rPr>
                <w:b/>
                <w:bCs/>
                <w:sz w:val="19"/>
                <w:szCs w:val="19"/>
              </w:rPr>
              <w:t xml:space="preserve">contenido</w:t>
            </w:r>
            <w:r>
              <w:rPr>
                <w:sz w:val="19"/>
                <w:szCs w:val="19"/>
              </w:rPr>
              <w:t xml:space="preserve">).</w:t>
            </w:r>
          </w:p>
          <w:p>
            <w:pPr>
              <w:pStyle w:val="ListParagraph"/>
              <w:numPr>
                <w:ilvl w:val="0"/>
                <w:numId w:val="2"/>
              </w:numPr>
              <w:spacing w:after="40"/>
            </w:pPr>
            <w:r>
              <w:rPr>
                <w:sz w:val="19"/>
                <w:szCs w:val="19"/>
              </w:rPr>
              <w:t xml:space="preserve">Sui generis: </w:t>
            </w:r>
            <w:r>
              <w:rPr>
                <w:b/>
                <w:bCs/>
                <w:sz w:val="19"/>
                <w:szCs w:val="19"/>
              </w:rPr>
              <w:t xml:space="preserve">fabricante</w:t>
            </w:r>
            <w:r>
              <w:rPr>
                <w:sz w:val="19"/>
                <w:szCs w:val="19"/>
              </w:rPr>
              <w:t xml:space="preserve">, </w:t>
            </w:r>
            <w:r>
              <w:rPr>
                <w:b/>
                <w:bCs/>
                <w:sz w:val="19"/>
                <w:szCs w:val="19"/>
              </w:rPr>
              <w:t xml:space="preserve">inversión sustancial</w:t>
            </w:r>
            <w:r>
              <w:rPr>
                <w:sz w:val="19"/>
                <w:szCs w:val="19"/>
              </w:rPr>
              <w:t xml:space="preserve">, </w:t>
            </w:r>
            <w:r>
              <w:rPr>
                <w:b/>
                <w:bCs/>
                <w:sz w:val="19"/>
                <w:szCs w:val="19"/>
              </w:rPr>
              <w:t xml:space="preserve">extracción/reutilización</w:t>
            </w:r>
            <w:r>
              <w:rPr>
                <w:sz w:val="19"/>
                <w:szCs w:val="19"/>
              </w:rPr>
              <w:t xml:space="preserve">, </w:t>
            </w:r>
            <w:r>
              <w:rPr>
                <w:b/>
                <w:bCs/>
                <w:sz w:val="19"/>
                <w:szCs w:val="19"/>
              </w:rPr>
              <w:t xml:space="preserve">15 años</w:t>
            </w:r>
            <w:r>
              <w:rPr>
                <w:sz w:val="19"/>
                <w:szCs w:val="19"/>
              </w:rPr>
              <w:t xml:space="preserve">, renovable con nueva inversión sustancial.</w:t>
            </w:r>
          </w:p>
          <w:p>
            <w:pPr>
              <w:pStyle w:val="ListParagraph"/>
              <w:numPr>
                <w:ilvl w:val="0"/>
                <w:numId w:val="2"/>
              </w:numPr>
              <w:spacing w:after="40"/>
            </w:pPr>
            <w:r>
              <w:rPr>
                <w:sz w:val="19"/>
                <w:szCs w:val="19"/>
              </w:rPr>
              <w:t xml:space="preserve">Regulado en la </w:t>
            </w:r>
            <w:r>
              <w:rPr>
                <w:b/>
                <w:bCs/>
                <w:sz w:val="19"/>
                <w:szCs w:val="19"/>
              </w:rPr>
              <w:t xml:space="preserve">LPI: Título VIII del Libro II, arts. 133-137</w:t>
            </w:r>
            <w:r>
              <w:rPr>
                <w:sz w:val="19"/>
                <w:szCs w:val="19"/>
              </w:rPr>
              <w:t xml:space="preserve"> (introducido por la Ley 5/1998).</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pStyle w:val="ListParagraph"/>
              <w:numPr>
                <w:ilvl w:val="0"/>
                <w:numId w:val="2"/>
              </w:numPr>
              <w:spacing w:after="40"/>
            </w:pPr>
            <w:r>
              <w:rPr>
                <w:sz w:val="19"/>
                <w:szCs w:val="19"/>
              </w:rPr>
              <w:t xml:space="preserve">«La LPI no recoge el derecho sui generis» → FALSO (así lo marca erróneamente la clave de la pregunta 435).</w:t>
            </w:r>
          </w:p>
          <w:p>
            <w:pPr>
              <w:pStyle w:val="ListParagraph"/>
              <w:numPr>
                <w:ilvl w:val="0"/>
                <w:numId w:val="2"/>
              </w:numPr>
              <w:spacing w:after="40"/>
            </w:pPr>
            <w:r>
              <w:rPr>
                <w:sz w:val="19"/>
                <w:szCs w:val="19"/>
              </w:rPr>
              <w:t xml:space="preserve">«El sui generis protege la originalidad» → FALSO: protege la </w:t>
            </w:r>
            <w:r>
              <w:rPr>
                <w:b/>
                <w:bCs/>
                <w:sz w:val="19"/>
                <w:szCs w:val="19"/>
              </w:rPr>
              <w:t xml:space="preserve">inversión</w:t>
            </w:r>
            <w:r>
              <w:rPr>
                <w:sz w:val="19"/>
                <w:szCs w:val="19"/>
              </w:rPr>
              <w:t xml:space="preserve">.</w:t>
            </w:r>
          </w:p>
          <w:p>
            <w:pPr>
              <w:pStyle w:val="ListParagraph"/>
              <w:numPr>
                <w:ilvl w:val="0"/>
                <w:numId w:val="2"/>
              </w:numPr>
              <w:spacing w:after="40"/>
            </w:pPr>
            <w:r>
              <w:rPr>
                <w:sz w:val="19"/>
                <w:szCs w:val="19"/>
              </w:rPr>
              <w:t xml:space="preserve">«El sui generis dura 70 años» → FALSO: </w:t>
            </w:r>
            <w:r>
              <w:rPr>
                <w:b/>
                <w:bCs/>
                <w:sz w:val="19"/>
                <w:szCs w:val="19"/>
              </w:rPr>
              <w:t xml:space="preserve">15 años</w:t>
            </w:r>
            <w:r>
              <w:rPr>
                <w:sz w:val="19"/>
                <w:szCs w:val="19"/>
              </w:rPr>
              <w:t xml:space="preserve">.</w:t>
            </w:r>
          </w:p>
          <w:p>
            <w:pPr>
              <w:pStyle w:val="ListParagraph"/>
              <w:numPr>
                <w:ilvl w:val="0"/>
                <w:numId w:val="2"/>
              </w:numPr>
              <w:spacing w:after="40"/>
            </w:pPr>
            <w:r>
              <w:rPr>
                <w:sz w:val="19"/>
                <w:szCs w:val="19"/>
              </w:rPr>
              <w:t xml:space="preserve">«El sui generis se refiere a los programas informáticos» → FALSO: solo a </w:t>
            </w:r>
            <w:r>
              <w:rPr>
                <w:b/>
                <w:bCs/>
                <w:sz w:val="19"/>
                <w:szCs w:val="19"/>
              </w:rPr>
              <w:t xml:space="preserve">bases de datos</w:t>
            </w:r>
            <w:r>
              <w:rPr>
                <w:sz w:val="19"/>
                <w:szCs w:val="19"/>
              </w:rPr>
              <w:t xml:space="preserve">.</w:t>
            </w:r>
          </w:p>
        </w:tc>
      </w:tr>
    </w:tbl>
    <w:p>
      <w:pPr>
        <w:spacing w:after="120"/>
      </w:pPr>
    </w:p>
    <w:p>
      <w:pPr>
        <w:pStyle w:val="Heading1"/>
        <w:keepNext/>
        <w:spacing w:after="200" w:before="360"/>
      </w:pPr>
      <w:r>
        <w:t xml:space="preserve">11. Bases de datos y protección de datos personales</w:t>
      </w:r>
    </w:p>
    <w:p>
      <w:pPr>
        <w:spacing w:after="120"/>
        <w:jc w:val="both"/>
      </w:pPr>
      <w:r>
        <w:t xml:space="preserve">Son planos jurídicos distintos que pueden coincidir sobre un mismo fichero. Una base de datos de historias clínicas puede estar protegida a la vez por derecho de autor (si su estructura es original), por derecho sui generis (por la inversión del SAS), por </w:t>
      </w:r>
      <w:r>
        <w:rPr>
          <w:b/>
          <w:bCs/>
        </w:rPr>
        <w:t xml:space="preserve">secreto profesional</w:t>
      </w:r>
      <w:r>
        <w:t xml:space="preserve"> y, sobre todo, por la </w:t>
      </w:r>
      <w:r>
        <w:rPr>
          <w:b/>
          <w:bCs/>
        </w:rPr>
        <w:t xml:space="preserve">normativa de protección de datos personales</w:t>
      </w:r>
      <w:r>
        <w:t xml:space="preserve">, que </w:t>
      </w:r>
      <w:r>
        <w:rPr>
          <w:b/>
          <w:bCs/>
        </w:rPr>
        <w:t xml:space="preserve">no protege al fabricante, sino a las personas a las que se refieren los datos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132"/>
        <w:gridCol w:w="1686"/>
        <w:gridCol w:w="2411"/>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Plano</w:t>
            </w:r>
          </w:p>
        </w:tc>
        <w:tc>
          <w:tcPr>
            <w:tcW w:type="dxa" w:w="3132"/>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Qué protege</w:t>
            </w:r>
          </w:p>
        </w:tc>
        <w:tc>
          <w:tcPr>
            <w:tcW w:type="dxa" w:w="168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 quién</w:t>
            </w:r>
          </w:p>
        </w:tc>
        <w:tc>
          <w:tcPr>
            <w:tcW w:type="dxa" w:w="2411"/>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Norma</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Derecho de autor sobre BD</w:t>
            </w:r>
          </w:p>
        </w:tc>
        <w:tc>
          <w:tcPr>
            <w:tcW w:type="dxa" w:w="31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Estructura original</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Autor</w:t>
            </w:r>
          </w:p>
        </w:tc>
        <w:tc>
          <w:tcPr>
            <w:tcW w:type="dxa" w:w="24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Art. 12 LPI</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Derecho sui generis</w:t>
            </w:r>
          </w:p>
        </w:tc>
        <w:tc>
          <w:tcPr>
            <w:tcW w:type="dxa" w:w="313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Inversión sustancial en el contenido</w:t>
            </w:r>
          </w:p>
        </w:tc>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Fabricante</w:t>
            </w:r>
          </w:p>
        </w:tc>
        <w:tc>
          <w:tcPr>
            <w:tcW w:type="dxa" w:w="24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Arts. 133-137 LPI</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Protección de datos personales</w:t>
            </w:r>
          </w:p>
        </w:tc>
        <w:tc>
          <w:tcPr>
            <w:tcW w:type="dxa" w:w="31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Derecho fundamental de las personas físicas al control de sus datos</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Interesado</w:t>
            </w:r>
          </w:p>
        </w:tc>
        <w:tc>
          <w:tcPr>
            <w:tcW w:type="dxa" w:w="24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RGPD (UE) 2016/679; LO 3/2018 (LOPDGDD)</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Secreto empresarial</w:t>
            </w:r>
          </w:p>
        </w:tc>
        <w:tc>
          <w:tcPr>
            <w:tcW w:type="dxa" w:w="313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Información con valor por ser secreta y protegida razonablemente</w:t>
            </w:r>
          </w:p>
        </w:tc>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Titular del secreto</w:t>
            </w:r>
          </w:p>
        </w:tc>
        <w:tc>
          <w:tcPr>
            <w:tcW w:type="dxa" w:w="24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Ley 1/2019</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Confidencialidad / secreto profesional</w:t>
            </w:r>
          </w:p>
        </w:tc>
        <w:tc>
          <w:tcPr>
            <w:tcW w:type="dxa" w:w="31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Información reservada (p. ej., clínica)</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Paciente / organización</w:t>
            </w:r>
          </w:p>
        </w:tc>
        <w:tc>
          <w:tcPr>
            <w:tcW w:type="dxa" w:w="24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Ley 41/2002; art. 199 CP; deber de secreto art. 5 LOPDGDD</w:t>
            </w:r>
          </w:p>
        </w:tc>
      </w:tr>
    </w:tbl>
    <w:p>
      <w:pPr>
        <w:spacing w:after="120"/>
      </w:pPr>
    </w:p>
    <w:p>
      <w:pPr>
        <w:spacing w:after="120"/>
        <w:jc w:val="both"/>
      </w:pPr>
      <w:r>
        <w:t xml:space="preserve">Principios del RGPD (art. 5) que afectan al diseño de BD: </w:t>
      </w:r>
      <w:r>
        <w:rPr>
          <w:b/>
          <w:bCs/>
        </w:rPr>
        <w:t xml:space="preserve">licitud, lealtad y transparencia</w:t>
      </w:r>
      <w:r>
        <w:t xml:space="preserve">; </w:t>
      </w:r>
      <w:r>
        <w:rPr>
          <w:b/>
          <w:bCs/>
        </w:rPr>
        <w:t xml:space="preserve">limitación de la finalidad</w:t>
      </w:r>
      <w:r>
        <w:t xml:space="preserve">; </w:t>
      </w:r>
      <w:r>
        <w:rPr>
          <w:b/>
          <w:bCs/>
        </w:rPr>
        <w:t xml:space="preserve">minimización</w:t>
      </w:r>
      <w:r>
        <w:t xml:space="preserve"> (solo los datos adecuados, pertinentes y limitados); </w:t>
      </w:r>
      <w:r>
        <w:rPr>
          <w:b/>
          <w:bCs/>
        </w:rPr>
        <w:t xml:space="preserve">exactitud</w:t>
      </w:r>
      <w:r>
        <w:t xml:space="preserve">; </w:t>
      </w:r>
      <w:r>
        <w:rPr>
          <w:b/>
          <w:bCs/>
        </w:rPr>
        <w:t xml:space="preserve">limitación del plazo de conservación</w:t>
      </w:r>
      <w:r>
        <w:t xml:space="preserve">; </w:t>
      </w:r>
      <w:r>
        <w:rPr>
          <w:b/>
          <w:bCs/>
        </w:rPr>
        <w:t xml:space="preserve">integridad y confidencialidad</w:t>
      </w:r>
      <w:r>
        <w:t xml:space="preserve"> (seguridad); y </w:t>
      </w:r>
      <w:r>
        <w:rPr>
          <w:b/>
          <w:bCs/>
        </w:rPr>
        <w:t xml:space="preserve">responsabilidad proactiva</w:t>
      </w:r>
      <w:r>
        <w:t xml:space="preserve">. Los </w:t>
      </w:r>
      <w:r>
        <w:rPr>
          <w:b/>
          <w:bCs/>
        </w:rPr>
        <w:t xml:space="preserve">datos de salud</w:t>
      </w:r>
      <w:r>
        <w:t xml:space="preserve"> son </w:t>
      </w:r>
      <w:r>
        <w:rPr>
          <w:b/>
          <w:bCs/>
        </w:rPr>
        <w:t xml:space="preserve">categoría especial</w:t>
      </w:r>
      <w:r>
        <w:t xml:space="preserve"> (art. 9 RGPD) y requieren una excepción del art. 9.2 (p. ej., asistencia sanitaria, 9.2.h). Los interesados tienen derechos de acceso, rectificación, supresión, limitación, portabilidad y oposición (arts. 15-22 RGPD).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spacing w:after="60"/>
              <w:jc w:val="both"/>
            </w:pPr>
            <w:r>
              <w:rPr>
                <w:sz w:val="19"/>
                <w:szCs w:val="19"/>
              </w:rPr>
              <w:t xml:space="preserve">«El SAS es propietario de los datos de salud de sus pacientes» → planteamiento incorrecto. El SAS puede ser </w:t>
            </w:r>
            <w:r>
              <w:rPr>
                <w:b/>
                <w:bCs/>
                <w:sz w:val="19"/>
                <w:szCs w:val="19"/>
              </w:rPr>
              <w:t xml:space="preserve">titular del derecho sui generis</w:t>
            </w:r>
            <w:r>
              <w:rPr>
                <w:sz w:val="19"/>
                <w:szCs w:val="19"/>
              </w:rPr>
              <w:t xml:space="preserve"> sobre su base y es </w:t>
            </w:r>
            <w:r>
              <w:rPr>
                <w:b/>
                <w:bCs/>
                <w:sz w:val="19"/>
                <w:szCs w:val="19"/>
              </w:rPr>
              <w:t xml:space="preserve">responsable del tratamiento</w:t>
            </w:r>
            <w:r>
              <w:rPr>
                <w:sz w:val="19"/>
                <w:szCs w:val="19"/>
              </w:rPr>
              <w:t xml:space="preserve">, pero los datos personales no son objeto de «propiedad»: el paciente conserva sus derechos (RGPD y Ley 41/2002).</w:t>
            </w:r>
          </w:p>
        </w:tc>
      </w:tr>
    </w:tbl>
    <w:p>
      <w:pPr>
        <w:spacing w:after="120"/>
      </w:pPr>
    </w:p>
    <w:p>
      <w:pPr>
        <w:pStyle w:val="Heading1"/>
        <w:keepNext/>
        <w:spacing w:after="200" w:before="360"/>
      </w:pPr>
      <w:r>
        <w:t xml:space="preserve">12. Legislación sobre el uso de Internet</w:t>
      </w:r>
    </w:p>
    <w:p>
      <w:pPr>
        <w:spacing w:after="120"/>
        <w:jc w:val="both"/>
      </w:pPr>
      <w:r>
        <w:t xml:space="preserve">No existe una «Ley de Internet». El uso de Internet se rige por un </w:t>
      </w:r>
      <w:r>
        <w:rPr>
          <w:b/>
          <w:bCs/>
        </w:rPr>
        <w:t xml:space="preserve">conjunto de normas sectoriales</w:t>
      </w:r>
      <w:r>
        <w:t xml:space="preserve">, europeas y españolas, que conviene ordenar por materias: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6988"/>
      </w:tblGrid>
      <w:tr>
        <w:trPr>
          <w:tblHeader/>
        </w:trPr>
        <w:tc>
          <w:tcPr>
            <w:tcW w:type="dxa" w:w="2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Materia</w:t>
            </w:r>
          </w:p>
        </w:tc>
        <w:tc>
          <w:tcPr>
            <w:tcW w:type="dxa" w:w="698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Normativa principal vigente (sept. 2026)</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Servicios de la sociedad de la información y comercio electrónico</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Ley 34/2002 (LSSI)</w:t>
            </w:r>
            <w:r>
              <w:rPr>
                <w:sz w:val="18"/>
                <w:szCs w:val="18"/>
              </w:rPr>
              <w:t xml:space="preserve">; Directiva 2000/31/CE (comercio electrónico).</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Servicios digitales y responsabilidad de intermediarios</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Reglamento (UE) 2022/2065 (DSA)</w:t>
            </w:r>
            <w:r>
              <w:rPr>
                <w:sz w:val="18"/>
                <w:szCs w:val="18"/>
              </w:rPr>
              <w:t xml:space="preserve">, aplicable con carácter general desde el </w:t>
            </w:r>
            <w:r>
              <w:rPr>
                <w:sz w:val="18"/>
                <w:szCs w:val="18"/>
              </w:rPr>
              <w:t xml:space="preserve">17/02/2024</w:t>
            </w:r>
            <w:r>
              <w:rPr>
                <w:sz w:val="18"/>
                <w:szCs w:val="18"/>
              </w:rPr>
              <w:t xml:space="preserve">; sustituye los arts. 12-15 de la Directiva 2000/31/CE. </w:t>
            </w:r>
            <w:r>
              <w:rPr>
                <w:sz w:val="18"/>
                <w:szCs w:val="18"/>
              </w:rPr>
              <w:t xml:space="preserve">Reglamento (UE) 2022/1925 (DMA)</w:t>
            </w:r>
            <w:r>
              <w:rPr>
                <w:sz w:val="18"/>
                <w:szCs w:val="18"/>
              </w:rPr>
              <w:t xml:space="preserve"> para guardianes de acceso.</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Protección de datos</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RGPD (UE) 2016/679</w:t>
            </w:r>
            <w:r>
              <w:rPr>
                <w:sz w:val="18"/>
                <w:szCs w:val="18"/>
              </w:rPr>
              <w:t xml:space="preserve">; </w:t>
            </w:r>
            <w:r>
              <w:rPr>
                <w:sz w:val="18"/>
                <w:szCs w:val="18"/>
              </w:rPr>
              <w:t xml:space="preserve">LO 3/2018 (LOPDGDD)</w:t>
            </w:r>
            <w:r>
              <w:rPr>
                <w:sz w:val="18"/>
                <w:szCs w:val="18"/>
              </w:rPr>
              <w:t xml:space="preserve">; LO 7/2021 (ámbito penal).</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Privacidad en comunicaciones electrónicas y cookies</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Directiva 2002/58/CE (ePrivacy); art. 22.2 LSSI.</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Telecomunicaciones</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Ley 11/2022, de 28 de junio, General de Telecomunicaciones</w:t>
            </w:r>
            <w:r>
              <w:rPr>
                <w:sz w:val="18"/>
                <w:szCs w:val="18"/>
              </w:rPr>
              <w:t xml:space="preserve"> (derogó la Ley 9/2014).</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Conservación de datos de tráfico</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Ley 25/2007</w:t>
            </w:r>
            <w:r>
              <w:rPr>
                <w:sz w:val="18"/>
                <w:szCs w:val="18"/>
              </w:rPr>
              <w:t xml:space="preserve">, de conservación de datos relativos a comunicaciones electrónicas (vigente; la Directiva 2006/24/CE que transponía fue anulada por el TJUE en </w:t>
            </w:r>
            <w:r>
              <w:rPr>
                <w:i/>
                <w:iCs/>
                <w:sz w:val="18"/>
                <w:szCs w:val="18"/>
              </w:rPr>
              <w:t xml:space="preserve">Digital Rights Ireland</w:t>
            </w:r>
            <w:r>
              <w:rPr>
                <w:sz w:val="18"/>
                <w:szCs w:val="18"/>
              </w:rPr>
              <w:t xml:space="preserve">, 2014).</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Firma e identificación electrónica</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Reglamento (UE) 910/2014 (eIDAS)</w:t>
            </w:r>
            <w:r>
              <w:rPr>
                <w:sz w:val="18"/>
                <w:szCs w:val="18"/>
              </w:rPr>
              <w:t xml:space="preserve">, modificado por el </w:t>
            </w:r>
            <w:r>
              <w:rPr>
                <w:sz w:val="18"/>
                <w:szCs w:val="18"/>
              </w:rPr>
              <w:t xml:space="preserve">Reglamento (UE) 2024/1183 (eIDAS2)</w:t>
            </w:r>
            <w:r>
              <w:rPr>
                <w:sz w:val="18"/>
                <w:szCs w:val="18"/>
              </w:rPr>
              <w:t xml:space="preserve">; </w:t>
            </w:r>
            <w:r>
              <w:rPr>
                <w:sz w:val="18"/>
                <w:szCs w:val="18"/>
              </w:rPr>
              <w:t xml:space="preserve">Ley 6/2020</w:t>
            </w:r>
            <w:r>
              <w:rPr>
                <w:sz w:val="18"/>
                <w:szCs w:val="18"/>
              </w:rPr>
              <w:t xml:space="preserve">.</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Propiedad intelectual en línea</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LPI (incl. RDL 24/2021); Directiva (UE) 2019/790.</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Consumidores</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TRLGDCU (RDL 1/2007): contratos a distancia, desistimiento.</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Ciberseguridad</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Directiva (UE) 2022/2555 (NIS2); en España, RDL 12/2018 (NIS1) mientras se completa la transposición; ENS (RD 311/2022) para el sector público.</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Ciberdelincuencia</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Código Penal; LECrim (medidas de investigación tecnológica); Convenio de Budapest; Reglamento (UE) 2023/1543 (e-evidence).</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Inteligencia artificial</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Reglamento (UE) 2024/1689 (Ley de IA), de aplicación escalonada.</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Menores en entornos digitales</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Proyecto de Ley Orgánica remitido a las Cortes en marzo de 2025 (deepfakes sexuales, grooming, control parental). </w:t>
            </w:r>
            <w:r>
              <w:rPr>
                <w:i/>
                <w:iCs/>
                <w:sz w:val="18"/>
                <w:szCs w:val="18"/>
              </w:rPr>
              <w:t xml:space="preserve">Comprueba su estado de tramitación.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B2C83" w:sz="4"/>
              <w:left w:val="single" w:color="5B2C83" w:sz="24"/>
              <w:bottom w:val="single" w:color="5B2C83" w:sz="4"/>
              <w:right w:val="single" w:color="5B2C83" w:sz="4"/>
            </w:tcBorders>
            <w:shd w:fill="EDE4F5" w:color="auto" w:val="clear"/>
            <w:tcMar>
              <w:top w:type="dxa" w:w="100"/>
              <w:left w:type="dxa" w:w="160"/>
              <w:bottom w:type="dxa" w:w="100"/>
              <w:right w:type="dxa" w:w="140"/>
            </w:tcMar>
          </w:tcPr>
          <w:p>
            <w:pPr>
              <w:spacing w:after="80"/>
            </w:pPr>
            <w:r>
              <w:rPr>
                <w:b/>
                <w:bCs/>
                <w:color w:val="5B2C83"/>
                <w:sz w:val="20"/>
                <w:szCs w:val="20"/>
              </w:rPr>
              <w:t xml:space="preserve">NORMATIVA HISTÓRICA / VIGENCIA</w:t>
            </w:r>
          </w:p>
          <w:p>
            <w:pPr>
              <w:pStyle w:val="ListParagraph"/>
              <w:numPr>
                <w:ilvl w:val="0"/>
                <w:numId w:val="2"/>
              </w:numPr>
              <w:spacing w:after="40"/>
            </w:pPr>
            <w:r>
              <w:rPr>
                <w:b/>
                <w:bCs/>
                <w:sz w:val="19"/>
                <w:szCs w:val="19"/>
              </w:rPr>
              <w:t xml:space="preserve">Ley 9/2014 General de Telecomunicaciones</w:t>
            </w:r>
            <w:r>
              <w:rPr>
                <w:sz w:val="19"/>
                <w:szCs w:val="19"/>
              </w:rPr>
              <w:t xml:space="preserve"> → </w:t>
            </w:r>
            <w:r>
              <w:rPr>
                <w:b/>
                <w:bCs/>
                <w:sz w:val="19"/>
                <w:szCs w:val="19"/>
              </w:rPr>
              <w:t xml:space="preserve">derogada</w:t>
            </w:r>
            <w:r>
              <w:rPr>
                <w:sz w:val="19"/>
                <w:szCs w:val="19"/>
              </w:rPr>
              <w:t xml:space="preserve"> por la Ley 11/2022.</w:t>
            </w:r>
          </w:p>
          <w:p>
            <w:pPr>
              <w:pStyle w:val="ListParagraph"/>
              <w:numPr>
                <w:ilvl w:val="0"/>
                <w:numId w:val="2"/>
              </w:numPr>
              <w:spacing w:after="40"/>
            </w:pPr>
            <w:r>
              <w:rPr>
                <w:b/>
                <w:bCs/>
                <w:sz w:val="19"/>
                <w:szCs w:val="19"/>
              </w:rPr>
              <w:t xml:space="preserve">Ley 59/2003 de firma electrónica</w:t>
            </w:r>
            <w:r>
              <w:rPr>
                <w:sz w:val="19"/>
                <w:szCs w:val="19"/>
              </w:rPr>
              <w:t xml:space="preserve"> → </w:t>
            </w:r>
            <w:r>
              <w:rPr>
                <w:b/>
                <w:bCs/>
                <w:sz w:val="19"/>
                <w:szCs w:val="19"/>
              </w:rPr>
              <w:t xml:space="preserve">derogada</w:t>
            </w:r>
            <w:r>
              <w:rPr>
                <w:sz w:val="19"/>
                <w:szCs w:val="19"/>
              </w:rPr>
              <w:t xml:space="preserve"> por la Ley 6/2020.</w:t>
            </w:r>
          </w:p>
          <w:p>
            <w:pPr>
              <w:pStyle w:val="ListParagraph"/>
              <w:numPr>
                <w:ilvl w:val="0"/>
                <w:numId w:val="2"/>
              </w:numPr>
              <w:spacing w:after="40"/>
            </w:pPr>
            <w:r>
              <w:rPr>
                <w:b/>
                <w:bCs/>
                <w:sz w:val="19"/>
                <w:szCs w:val="19"/>
              </w:rPr>
              <w:t xml:space="preserve">LO 15/1999 (LOPD)</w:t>
            </w:r>
            <w:r>
              <w:rPr>
                <w:sz w:val="19"/>
                <w:szCs w:val="19"/>
              </w:rPr>
              <w:t xml:space="preserve"> y </w:t>
            </w:r>
            <w:r>
              <w:rPr>
                <w:b/>
                <w:bCs/>
                <w:sz w:val="19"/>
                <w:szCs w:val="19"/>
              </w:rPr>
              <w:t xml:space="preserve">RD 1720/2007</w:t>
            </w:r>
            <w:r>
              <w:rPr>
                <w:sz w:val="19"/>
                <w:szCs w:val="19"/>
              </w:rPr>
              <w:t xml:space="preserve"> → sustituidos por RGPD + LOPDGDD (RD 1720/2007 subsiste solo en lo que no contradiga al RGPD, de forma residual).</w:t>
            </w:r>
          </w:p>
          <w:p>
            <w:pPr>
              <w:pStyle w:val="ListParagraph"/>
              <w:numPr>
                <w:ilvl w:val="0"/>
                <w:numId w:val="2"/>
              </w:numPr>
              <w:spacing w:after="40"/>
            </w:pPr>
            <w:r>
              <w:rPr>
                <w:b/>
                <w:bCs/>
                <w:sz w:val="19"/>
                <w:szCs w:val="19"/>
              </w:rPr>
              <w:t xml:space="preserve">Directiva 2006/24/CE</w:t>
            </w:r>
            <w:r>
              <w:rPr>
                <w:sz w:val="19"/>
                <w:szCs w:val="19"/>
              </w:rPr>
              <w:t xml:space="preserve"> (conservación de datos) → </w:t>
            </w:r>
            <w:r>
              <w:rPr>
                <w:b/>
                <w:bCs/>
                <w:sz w:val="19"/>
                <w:szCs w:val="19"/>
              </w:rPr>
              <w:t xml:space="preserve">anulada</w:t>
            </w:r>
            <w:r>
              <w:rPr>
                <w:sz w:val="19"/>
                <w:szCs w:val="19"/>
              </w:rPr>
              <w:t xml:space="preserve"> por el TJUE (2014); la Ley 25/2007 sigue formalmente vigente.</w:t>
            </w:r>
          </w:p>
          <w:p>
            <w:pPr>
              <w:pStyle w:val="ListParagraph"/>
              <w:numPr>
                <w:ilvl w:val="0"/>
                <w:numId w:val="2"/>
              </w:numPr>
              <w:spacing w:after="40"/>
            </w:pPr>
            <w:r>
              <w:rPr>
                <w:b/>
                <w:bCs/>
                <w:sz w:val="19"/>
                <w:szCs w:val="19"/>
              </w:rPr>
              <w:t xml:space="preserve">Arts. 12-15 Directiva 2000/31/CE</w:t>
            </w:r>
            <w:r>
              <w:rPr>
                <w:sz w:val="19"/>
                <w:szCs w:val="19"/>
              </w:rPr>
              <w:t xml:space="preserve"> (exenciones de responsabilidad) → </w:t>
            </w:r>
            <w:r>
              <w:rPr>
                <w:b/>
                <w:bCs/>
                <w:sz w:val="19"/>
                <w:szCs w:val="19"/>
              </w:rPr>
              <w:t xml:space="preserve">suprimidos</w:t>
            </w:r>
            <w:r>
              <w:rPr>
                <w:sz w:val="19"/>
                <w:szCs w:val="19"/>
              </w:rPr>
              <w:t xml:space="preserve"> por la DSA, que reproduce el esquema en sus arts. 4-6.</w:t>
            </w:r>
          </w:p>
        </w:tc>
      </w:tr>
    </w:tbl>
    <w:p>
      <w:pPr>
        <w:spacing w:after="120"/>
      </w:pPr>
    </w:p>
    <w:p>
      <w:pPr>
        <w:pStyle w:val="Heading2"/>
        <w:keepNext/>
      </w:pPr>
      <w:r>
        <w:t xml:space="preserve">12.1 Telecomunicaciones y conservación de datos</w:t>
      </w:r>
    </w:p>
    <w:p>
      <w:pPr>
        <w:spacing w:after="120"/>
        <w:jc w:val="both"/>
      </w:pPr>
      <w:r>
        <w:t xml:space="preserve">La </w:t>
      </w:r>
      <w:r>
        <w:rPr>
          <w:b/>
          <w:bCs/>
        </w:rPr>
        <w:t xml:space="preserve">Ley 11/2022</w:t>
      </w:r>
      <w:r>
        <w:t xml:space="preserve"> regula las redes y servicios de comunicaciones electrónicas, los derechos de los usuarios finales y el </w:t>
      </w:r>
      <w:r>
        <w:rPr>
          <w:b/>
          <w:bCs/>
        </w:rPr>
        <w:t xml:space="preserve">secreto de las comunicaciones</w:t>
      </w:r>
      <w:r>
        <w:t xml:space="preserve"> (obligación de los operadores de garantizarlo y de colaborar en la interceptación legal ordenada judicialmente). La </w:t>
      </w:r>
      <w:r>
        <w:rPr>
          <w:b/>
          <w:bCs/>
        </w:rPr>
        <w:t xml:space="preserve">Ley 25/2007</w:t>
      </w:r>
      <w:r>
        <w:t xml:space="preserve"> obliga a los operadores a </w:t>
      </w:r>
      <w:r>
        <w:rPr>
          <w:b/>
          <w:bCs/>
        </w:rPr>
        <w:t xml:space="preserve">conservar datos de tráfico y localización</w:t>
      </w:r>
      <w:r>
        <w:t xml:space="preserve"> (no el contenido) durante </w:t>
      </w:r>
      <w:r>
        <w:rPr>
          <w:b/>
          <w:bCs/>
        </w:rPr>
        <w:t xml:space="preserve">12 meses</w:t>
      </w:r>
      <w:r>
        <w:t xml:space="preserve"> con carácter general (ampliable hasta 2 años o reducible a 6 meses por reglamento) y a cederlos </w:t>
      </w:r>
      <w:r>
        <w:rPr>
          <w:b/>
          <w:bCs/>
        </w:rPr>
        <w:t xml:space="preserve">solo mediante autorización judicial</w:t>
      </w:r>
      <w:r>
        <w:t xml:space="preserve"> para la investigación de </w:t>
      </w:r>
      <w:r>
        <w:rPr>
          <w:b/>
          <w:bCs/>
        </w:rPr>
        <w:t xml:space="preserve">delitos graves</w:t>
      </w:r>
      <w:r>
        <w:t xml:space="preserve">.</w:t>
      </w:r>
    </w:p>
    <w:p>
      <w:pPr>
        <w:pStyle w:val="Heading2"/>
        <w:keepNext/>
      </w:pPr>
      <w:r>
        <w:t xml:space="preserve">12.2 Servicios digitales (DSA)</w:t>
      </w:r>
    </w:p>
    <w:p>
      <w:pPr>
        <w:spacing w:after="120"/>
        <w:jc w:val="both"/>
      </w:pPr>
      <w:r>
        <w:t xml:space="preserve">El </w:t>
      </w:r>
      <w:r>
        <w:rPr>
          <w:b/>
          <w:bCs/>
        </w:rPr>
        <w:t xml:space="preserve">Reglamento de Servicios Digitales</w:t>
      </w:r>
      <w:r>
        <w:t xml:space="preserve"> mantiene el principio de </w:t>
      </w:r>
      <w:r>
        <w:rPr>
          <w:b/>
          <w:bCs/>
        </w:rPr>
        <w:t xml:space="preserve">exención condicionada de responsabilidad</w:t>
      </w:r>
      <w:r>
        <w:t xml:space="preserve"> de los intermediarios (</w:t>
      </w:r>
      <w:r>
        <w:rPr>
          <w:b/>
          <w:bCs/>
        </w:rPr>
        <w:t xml:space="preserve">mera transmisión</w:t>
      </w:r>
      <w:r>
        <w:t xml:space="preserve">, </w:t>
      </w:r>
      <w:r>
        <w:rPr>
          <w:b/>
          <w:bCs/>
        </w:rPr>
        <w:t xml:space="preserve">memoria caché</w:t>
      </w:r>
      <w:r>
        <w:t xml:space="preserve">, </w:t>
      </w:r>
      <w:r>
        <w:rPr>
          <w:b/>
          <w:bCs/>
        </w:rPr>
        <w:t xml:space="preserve">alojamiento</w:t>
      </w:r>
      <w:r>
        <w:t xml:space="preserve">), prohíbe imponer una </w:t>
      </w:r>
      <w:r>
        <w:rPr>
          <w:b/>
          <w:bCs/>
        </w:rPr>
        <w:t xml:space="preserve">obligación general de supervisión</w:t>
      </w:r>
      <w:r>
        <w:t xml:space="preserve"> y añade obligaciones escalonadas: mecanismos de </w:t>
      </w:r>
      <w:r>
        <w:rPr>
          <w:b/>
          <w:bCs/>
        </w:rPr>
        <w:t xml:space="preserve">notificación y acción</w:t>
      </w:r>
      <w:r>
        <w:t xml:space="preserve">, transparencia, protección de menores, trazabilidad de comerciantes en </w:t>
      </w:r>
      <w:r>
        <w:rPr>
          <w:i/>
          <w:iCs/>
        </w:rPr>
        <w:t xml:space="preserve">marketplaces</w:t>
      </w:r>
      <w:r>
        <w:t xml:space="preserve"> y obligaciones reforzadas para </w:t>
      </w:r>
      <w:r>
        <w:rPr>
          <w:b/>
          <w:bCs/>
        </w:rPr>
        <w:t xml:space="preserve">plataformas y motores de búsqueda de muy gran tamaño</w:t>
      </w:r>
      <w:r>
        <w:t xml:space="preserve"> (≥ 45 millones de usuarios en la UE). Cada Estado designa un </w:t>
      </w:r>
      <w:r>
        <w:rPr>
          <w:b/>
          <w:bCs/>
        </w:rPr>
        <w:t xml:space="preserve">coordinador de servicios digitales</w:t>
      </w:r>
      <w:r>
        <w:t xml:space="preserve">.</w:t>
      </w:r>
    </w:p>
    <w:p>
      <w:pPr>
        <w:pStyle w:val="Heading1"/>
        <w:keepNext/>
        <w:spacing w:after="200" w:before="360"/>
      </w:pPr>
      <w:r>
        <w:t xml:space="preserve">13. La LSSI (Ley 34/2002)</w:t>
      </w:r>
    </w:p>
    <w:p>
      <w:pPr>
        <w:spacing w:after="120"/>
        <w:jc w:val="both"/>
      </w:pPr>
      <w:r>
        <w:rPr>
          <w:b/>
          <w:bCs/>
        </w:rPr>
        <w:t xml:space="preserve">Ley 34/2002, de 11 de julio, de servicios de la sociedad de la información y de comercio electrónico</w:t>
      </w:r>
      <w:r>
        <w:t xml:space="preserve">: transpone la Directiva 2000/31/CE. Está </w:t>
      </w:r>
      <w:r>
        <w:rPr>
          <w:b/>
          <w:bCs/>
        </w:rPr>
        <w:t xml:space="preserve">vigente</w:t>
      </w:r>
      <w:r>
        <w:t xml:space="preserve"> con numerosas modificaciones (el encargo de este tema indica una última actualización consolidada publicada el 23/01/2025; verifícalo en el BOE). Desde febrero de 2024 debe leerse </w:t>
      </w:r>
      <w:r>
        <w:rPr>
          <w:b/>
          <w:bCs/>
        </w:rPr>
        <w:t xml:space="preserve">junto con la DSA</w:t>
      </w:r>
      <w:r>
        <w:t xml:space="preserve">, que es directamente aplicable y prevalece.</w:t>
      </w:r>
    </w:p>
    <w:p>
      <w:pPr>
        <w:pStyle w:val="Heading2"/>
        <w:keepNext/>
      </w:pPr>
      <w:r>
        <w:t xml:space="preserve">13.1 Conceptos (Anexo de definiciones)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6988"/>
      </w:tblGrid>
      <w:tr>
        <w:trPr>
          <w:tblHeader/>
        </w:trPr>
        <w:tc>
          <w:tcPr>
            <w:tcW w:type="dxa" w:w="2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Concepto</w:t>
            </w:r>
          </w:p>
        </w:tc>
        <w:tc>
          <w:tcPr>
            <w:tcW w:type="dxa" w:w="698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Definición LSSI</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Servicio de la sociedad de la información</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Todo servicio prestado normalmente </w:t>
            </w:r>
            <w:r>
              <w:rPr>
                <w:sz w:val="18"/>
                <w:szCs w:val="18"/>
              </w:rPr>
              <w:t xml:space="preserve">a título oneroso, a distancia, por vía electrónica y a petición individual</w:t>
            </w:r>
            <w:r>
              <w:rPr>
                <w:sz w:val="18"/>
                <w:szCs w:val="18"/>
              </w:rPr>
              <w:t xml:space="preserve"> del destinatario. Incluye también servicios no remunerados por sus destinatarios si constituyen actividad económica para el prestador (p. ej., financiados con publicidad).</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Prestador de servicios</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Persona física o jurídica que proporciona un servicio de la sociedad de la información.</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Servicio de intermediación</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Facilita la prestación o utilización de otros servicios o el acceso a la información: acceso a Internet, transmisión de datos, copia temporal, alojamiento, buscadores y enlaces.</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Destinatario / usuario</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Persona que utiliza, sea o no por motivos profesionales, un servicio de la sociedad de la información.</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Comunicación comercial</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Toda forma de comunicación dirigida a promocionar, directa o indirectamente, la imagen o los bienes/servicios de una empresa u organización.</w:t>
            </w:r>
          </w:p>
        </w:tc>
      </w:tr>
    </w:tbl>
    <w:p>
      <w:pPr>
        <w:spacing w:after="120"/>
      </w:pPr>
    </w:p>
    <w:p>
      <w:pPr>
        <w:pStyle w:val="Heading2"/>
        <w:keepNext/>
      </w:pPr>
      <w:r>
        <w:t xml:space="preserve">13.2 Ámbito y obligaciones generales</w:t>
      </w:r>
    </w:p>
    <w:p>
      <w:pPr>
        <w:pStyle w:val="ListParagraph"/>
        <w:numPr>
          <w:ilvl w:val="0"/>
          <w:numId w:val="2"/>
        </w:numPr>
        <w:spacing w:after="60"/>
      </w:pPr>
      <w:r>
        <w:rPr>
          <w:b/>
          <w:bCs/>
        </w:rPr>
        <w:t xml:space="preserve">Ámbito</w:t>
      </w:r>
      <w:r>
        <w:t xml:space="preserve"> (arts. 2-4): prestadores establecidos en España y, con matices, en otros Estados. Principio de </w:t>
      </w:r>
      <w:r>
        <w:rPr>
          <w:b/>
          <w:bCs/>
        </w:rPr>
        <w:t xml:space="preserve">libre prestación</w:t>
      </w:r>
      <w:r>
        <w:t xml:space="preserve"> y </w:t>
      </w:r>
      <w:r>
        <w:rPr>
          <w:b/>
          <w:bCs/>
        </w:rPr>
        <w:t xml:space="preserve">no autorización previa</w:t>
      </w:r>
      <w:r>
        <w:t xml:space="preserve"> (arts. 6-7).</w:t>
      </w:r>
    </w:p>
    <w:p>
      <w:pPr>
        <w:pStyle w:val="ListParagraph"/>
        <w:numPr>
          <w:ilvl w:val="0"/>
          <w:numId w:val="2"/>
        </w:numPr>
        <w:spacing w:after="60"/>
      </w:pPr>
      <w:r>
        <w:rPr>
          <w:b/>
          <w:bCs/>
        </w:rPr>
        <w:t xml:space="preserve">Información general</w:t>
      </w:r>
      <w:r>
        <w:t xml:space="preserve"> (art. 10): denominación, domicilio, dirección de correo, datos registrales, NIF, autorizaciones, colegio profesional, precios. Debe ser accesible de forma </w:t>
      </w:r>
      <w:r>
        <w:rPr>
          <w:b/>
          <w:bCs/>
        </w:rPr>
        <w:t xml:space="preserve">permanente, fácil, directa y gratuita</w:t>
      </w:r>
      <w:r>
        <w:t xml:space="preserve">.</w:t>
      </w:r>
    </w:p>
    <w:p>
      <w:pPr>
        <w:pStyle w:val="ListParagraph"/>
        <w:numPr>
          <w:ilvl w:val="0"/>
          <w:numId w:val="2"/>
        </w:numPr>
        <w:spacing w:after="60"/>
      </w:pPr>
      <w:r>
        <w:rPr>
          <w:b/>
          <w:bCs/>
        </w:rPr>
        <w:t xml:space="preserve">Deber de colaboración</w:t>
      </w:r>
      <w:r>
        <w:t xml:space="preserve"> (art. 11): interrupción o retirada de contenidos por orden de la autoridad competente.</w:t>
      </w:r>
    </w:p>
    <w:p>
      <w:pPr>
        <w:pStyle w:val="Heading2"/>
        <w:keepNext/>
      </w:pPr>
      <w:r>
        <w:t xml:space="preserve">13.3 Responsabilidad de los intermediarios (arts. 13-17)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650"/>
        <w:gridCol w:w="4097"/>
      </w:tblGrid>
      <w:tr>
        <w:trPr>
          <w:tblHeader/>
        </w:trPr>
        <w:tc>
          <w:tcPr>
            <w:tcW w:type="dxa" w:w="2891"/>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Prestador</w:t>
            </w:r>
          </w:p>
        </w:tc>
        <w:tc>
          <w:tcPr>
            <w:tcW w:type="dxa" w:w="2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Artículo LSSI (DSA)</w:t>
            </w:r>
          </w:p>
        </w:tc>
        <w:tc>
          <w:tcPr>
            <w:tcW w:type="dxa" w:w="409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Cuándo NO responde</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Operador de redes y proveedor de </w:t>
            </w:r>
            <w:r>
              <w:rPr>
                <w:sz w:val="18"/>
                <w:szCs w:val="18"/>
              </w:rPr>
              <w:t xml:space="preserve">acceso</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Art. 14 (art. 4 DSA: mera transmisión)</w:t>
            </w:r>
          </w:p>
        </w:tc>
        <w:tc>
          <w:tcPr>
            <w:tcW w:type="dxa" w:w="40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 origina la transmisión, no modifica los datos ni selecciona destinatarios.</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Copia temporal (</w:t>
            </w:r>
            <w:r>
              <w:rPr>
                <w:sz w:val="18"/>
                <w:szCs w:val="18"/>
              </w:rPr>
              <w:t xml:space="preserve">caching</w:t>
            </w:r>
            <w:r>
              <w:rPr>
                <w:sz w:val="18"/>
                <w:szCs w:val="18"/>
              </w:rPr>
              <w:t xml:space="preserve">)</w:t>
            </w:r>
          </w:p>
        </w:tc>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Art. 15 (art. 5 DSA)</w:t>
            </w:r>
          </w:p>
        </w:tc>
        <w:tc>
          <w:tcPr>
            <w:tcW w:type="dxa" w:w="40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 modifica la información, respeta condiciones de acceso y la retira en cuanto tiene conocimiento de su retirada en origen o de orden de retirada.</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Alojamiento</w:t>
            </w:r>
            <w:r>
              <w:rPr>
                <w:sz w:val="18"/>
                <w:szCs w:val="18"/>
              </w:rPr>
              <w:t xml:space="preserve"> o almacenamiento de datos</w:t>
            </w:r>
          </w:p>
        </w:tc>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Art. 16 (art. 6 DSA)</w:t>
            </w:r>
          </w:p>
        </w:tc>
        <w:tc>
          <w:tcPr>
            <w:tcW w:type="dxa" w:w="40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 tiene </w:t>
            </w:r>
            <w:r>
              <w:rPr>
                <w:sz w:val="18"/>
                <w:szCs w:val="18"/>
              </w:rPr>
              <w:t xml:space="preserve">conocimiento efectivo</w:t>
            </w:r>
            <w:r>
              <w:rPr>
                <w:sz w:val="18"/>
                <w:szCs w:val="18"/>
              </w:rPr>
              <w:t xml:space="preserve"> de la ilicitud o, si lo tiene, </w:t>
            </w:r>
            <w:r>
              <w:rPr>
                <w:sz w:val="18"/>
                <w:szCs w:val="18"/>
              </w:rPr>
              <w:t xml:space="preserve">actúa con diligencia</w:t>
            </w:r>
            <w:r>
              <w:rPr>
                <w:sz w:val="18"/>
                <w:szCs w:val="18"/>
              </w:rPr>
              <w:t xml:space="preserve"> para retirar los datos o impedir el acceso.</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Enlaces y </w:t>
            </w:r>
            <w:r>
              <w:rPr>
                <w:sz w:val="18"/>
                <w:szCs w:val="18"/>
              </w:rPr>
              <w:t xml:space="preserve">motores de búsqueda</w:t>
            </w:r>
          </w:p>
        </w:tc>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Art. 17</w:t>
            </w:r>
          </w:p>
        </w:tc>
        <w:tc>
          <w:tcPr>
            <w:tcW w:type="dxa" w:w="40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Mismo criterio del </w:t>
            </w:r>
            <w:r>
              <w:rPr>
                <w:sz w:val="18"/>
                <w:szCs w:val="18"/>
              </w:rPr>
              <w:t xml:space="preserve">conocimiento efectivo</w:t>
            </w:r>
            <w:r>
              <w:rPr>
                <w:sz w:val="18"/>
                <w:szCs w:val="18"/>
              </w:rPr>
              <w:t xml:space="preserve"> y la retirada diligente.</w:t>
            </w:r>
          </w:p>
        </w:tc>
      </w:tr>
    </w:tbl>
    <w:p>
      <w:pPr>
        <w:spacing w:after="120"/>
      </w:pPr>
    </w:p>
    <w:p>
      <w:pPr>
        <w:spacing w:after="120"/>
        <w:jc w:val="both"/>
      </w:pPr>
      <w:r>
        <w:t xml:space="preserve">Idea clave: </w:t>
      </w:r>
      <w:r>
        <w:rPr>
          <w:b/>
          <w:bCs/>
        </w:rPr>
        <w:t xml:space="preserve">no existe obligación general de supervisar</w:t>
      </w:r>
      <w:r>
        <w:t xml:space="preserve"> los contenidos; la responsabilidad nace del </w:t>
      </w:r>
      <w:r>
        <w:rPr>
          <w:b/>
          <w:bCs/>
        </w:rPr>
        <w:t xml:space="preserve">conocimiento efectivo</w:t>
      </w:r>
      <w:r>
        <w:t xml:space="preserve"> unido a la </w:t>
      </w:r>
      <w:r>
        <w:rPr>
          <w:b/>
          <w:bCs/>
        </w:rPr>
        <w:t xml:space="preserve">falta de reacción diligente</w:t>
      </w:r>
      <w:r>
        <w:t xml:space="preserve"> (</w:t>
      </w:r>
      <w:r>
        <w:rPr>
          <w:i/>
          <w:iCs/>
        </w:rPr>
        <w:t xml:space="preserve">notice and take down</w:t>
      </w:r>
      <w:r>
        <w:t xml:space="preserve">).</w:t>
      </w:r>
    </w:p>
    <w:p>
      <w:pPr>
        <w:pStyle w:val="Heading2"/>
        <w:keepNext/>
      </w:pPr>
      <w:r>
        <w:t xml:space="preserve">13.4 Comunicaciones comerciales (arts. 19-22)</w:t>
      </w:r>
    </w:p>
    <w:p>
      <w:pPr>
        <w:pStyle w:val="ListParagraph"/>
        <w:numPr>
          <w:ilvl w:val="0"/>
          <w:numId w:val="2"/>
        </w:numPr>
        <w:spacing w:after="60"/>
      </w:pPr>
      <w:r>
        <w:t xml:space="preserve">Deben ser </w:t>
      </w:r>
      <w:r>
        <w:rPr>
          <w:b/>
          <w:bCs/>
        </w:rPr>
        <w:t xml:space="preserve">claramente identificables</w:t>
      </w:r>
      <w:r>
        <w:t xml:space="preserve"> como tales y como del anunciante (art. 20).</w:t>
      </w:r>
    </w:p>
    <w:p>
      <w:pPr>
        <w:pStyle w:val="ListParagraph"/>
        <w:numPr>
          <w:ilvl w:val="0"/>
          <w:numId w:val="2"/>
        </w:numPr>
        <w:spacing w:after="60"/>
      </w:pPr>
      <w:r>
        <w:rPr>
          <w:b/>
          <w:bCs/>
        </w:rPr>
        <w:t xml:space="preserve">Prohibido el envío por correo electrónico u otro medio equivalente</w:t>
      </w:r>
      <w:r>
        <w:t xml:space="preserve"> de comunicaciones comerciales </w:t>
      </w:r>
      <w:r>
        <w:rPr>
          <w:b/>
          <w:bCs/>
        </w:rPr>
        <w:t xml:space="preserve">no solicitadas o no autorizadas expresamente</w:t>
      </w:r>
      <w:r>
        <w:t xml:space="preserve"> (art. 21.1), salvo </w:t>
      </w:r>
      <w:r>
        <w:rPr>
          <w:b/>
          <w:bCs/>
        </w:rPr>
        <w:t xml:space="preserve">relación contractual previa</w:t>
      </w:r>
      <w:r>
        <w:t xml:space="preserve"> con productos similares y posibilidad de oposición (21.2).</w:t>
      </w:r>
    </w:p>
    <w:p>
      <w:pPr>
        <w:pStyle w:val="ListParagraph"/>
        <w:numPr>
          <w:ilvl w:val="0"/>
          <w:numId w:val="2"/>
        </w:numPr>
        <w:spacing w:after="60"/>
      </w:pPr>
      <w:r>
        <w:t xml:space="preserve">Derecho a </w:t>
      </w:r>
      <w:r>
        <w:rPr>
          <w:b/>
          <w:bCs/>
        </w:rPr>
        <w:t xml:space="preserve">revocar</w:t>
      </w:r>
      <w:r>
        <w:t xml:space="preserve"> el consentimiento de forma sencilla y gratuita (art. 22.1).</w:t>
      </w:r>
    </w:p>
    <w:p>
      <w:pPr>
        <w:pStyle w:val="ListParagraph"/>
        <w:numPr>
          <w:ilvl w:val="0"/>
          <w:numId w:val="2"/>
        </w:numPr>
        <w:spacing w:after="60"/>
      </w:pPr>
      <w:r>
        <w:rPr>
          <w:b/>
          <w:bCs/>
        </w:rPr>
        <w:t xml:space="preserve">Cookies</w:t>
      </w:r>
      <w:r>
        <w:t xml:space="preserve"> y dispositivos de almacenamiento: </w:t>
      </w:r>
      <w:r>
        <w:rPr>
          <w:b/>
          <w:bCs/>
        </w:rPr>
        <w:t xml:space="preserve">art. 22.2</w:t>
      </w:r>
      <w:r>
        <w:t xml:space="preserve"> (apartado 15).</w:t>
      </w:r>
    </w:p>
    <w:p>
      <w:pPr>
        <w:pStyle w:val="Heading2"/>
        <w:keepNext/>
      </w:pPr>
      <w:r>
        <w:t xml:space="preserve">13.5 Infracciones y sanciones (arts. 37-45)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Tipo</w:t>
            </w:r>
          </w:p>
        </w:tc>
        <w:tc>
          <w:tcPr>
            <w:tcW w:type="dxa" w:w="602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Multa (art. 39)</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Muy graves</w:t>
            </w:r>
          </w:p>
        </w:tc>
        <w:tc>
          <w:tcPr>
            <w:tcW w:type="dxa" w:w="60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 150.001 a 600.000 €</w:t>
            </w:r>
          </w:p>
        </w:tc>
      </w:tr>
      <w:tr>
        <w:trPr>
          <w:cantSplit/>
        </w:trPr>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Graves</w:t>
            </w:r>
          </w:p>
        </w:tc>
        <w:tc>
          <w:tcPr>
            <w:tcW w:type="dxa" w:w="602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 30.001 a 150.000 €</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Leves</w:t>
            </w:r>
          </w:p>
        </w:tc>
        <w:tc>
          <w:tcPr>
            <w:tcW w:type="dxa" w:w="60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Hasta 30.000 €</w:t>
            </w:r>
          </w:p>
        </w:tc>
      </w:tr>
    </w:tbl>
    <w:p>
      <w:pPr>
        <w:spacing w:after="120"/>
      </w:pPr>
    </w:p>
    <w:p>
      <w:pPr>
        <w:spacing w:after="120"/>
        <w:jc w:val="both"/>
      </w:pPr>
      <w:r>
        <w:t xml:space="preserve">Competencia sancionadora: con carácter general el Ministerio competente en telecomunicaciones y sociedad de la información; la </w:t>
      </w:r>
      <w:r>
        <w:rPr>
          <w:b/>
          <w:bCs/>
        </w:rPr>
        <w:t xml:space="preserve">AEPD</w:t>
      </w:r>
      <w:r>
        <w:t xml:space="preserve"> es competente en materia de </w:t>
      </w:r>
      <w:r>
        <w:rPr>
          <w:b/>
          <w:bCs/>
        </w:rPr>
        <w:t xml:space="preserve">comunicaciones comerciales no solicitadas (art. 21)</w:t>
      </w:r>
      <w:r>
        <w:t xml:space="preserve"> y </w:t>
      </w:r>
      <w:r>
        <w:rPr>
          <w:b/>
          <w:bCs/>
        </w:rPr>
        <w:t xml:space="preserve">cookies (art. 22)</w:t>
      </w:r>
      <w:r>
        <w:t xml:space="preserve"> (art. 43).</w:t>
      </w:r>
    </w:p>
    <w:p>
      <w:pPr>
        <w:pStyle w:val="Heading1"/>
        <w:keepNext/>
        <w:spacing w:after="200" w:before="360"/>
      </w:pPr>
      <w:r>
        <w:t xml:space="preserve">14. Comercio electrónico y contratación electrónica</w:t>
      </w:r>
    </w:p>
    <w:p>
      <w:pPr>
        <w:pStyle w:val="Heading2"/>
        <w:keepNext/>
      </w:pPr>
      <w:r>
        <w:t xml:space="preserve">14.1 Régimen de la LSSI (arts. 23-29)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Aspecto</w:t>
            </w:r>
          </w:p>
        </w:tc>
        <w:tc>
          <w:tcPr>
            <w:tcW w:type="dxa" w:w="722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Regla</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Validez (art. 23)</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Los contratos electrónicos producen </w:t>
            </w:r>
            <w:r>
              <w:rPr>
                <w:sz w:val="18"/>
                <w:szCs w:val="18"/>
              </w:rPr>
              <w:t xml:space="preserve">todos los efectos</w:t>
            </w:r>
            <w:r>
              <w:rPr>
                <w:sz w:val="18"/>
                <w:szCs w:val="18"/>
              </w:rPr>
              <w:t xml:space="preserve"> cuando concurren consentimiento y requisitos de validez. </w:t>
            </w:r>
            <w:r>
              <w:rPr>
                <w:sz w:val="18"/>
                <w:szCs w:val="18"/>
              </w:rPr>
              <w:t xml:space="preserve">No es necesario el previo acuerdo</w:t>
            </w:r>
            <w:r>
              <w:rPr>
                <w:sz w:val="18"/>
                <w:szCs w:val="18"/>
              </w:rPr>
              <w:t xml:space="preserve"> de las partes sobre el uso de medios electrónicos. Cuando la ley exige forma escrita, se entiende cumplida con el soporte electrónico. Excluidos: Derecho de familia y sucesiones, y los que requieren intervención de notario/registro o autoridad.</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Prueba (art. 24)</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Se rige por las normas generales; el </w:t>
            </w:r>
            <w:r>
              <w:rPr>
                <w:sz w:val="18"/>
                <w:szCs w:val="18"/>
              </w:rPr>
              <w:t xml:space="preserve">soporte electrónico</w:t>
            </w:r>
            <w:r>
              <w:rPr>
                <w:sz w:val="18"/>
                <w:szCs w:val="18"/>
              </w:rPr>
              <w:t xml:space="preserve"> que contenga el contrato es </w:t>
            </w:r>
            <w:r>
              <w:rPr>
                <w:sz w:val="18"/>
                <w:szCs w:val="18"/>
              </w:rPr>
              <w:t xml:space="preserve">admisible como prueba documental</w:t>
            </w:r>
            <w:r>
              <w:rPr>
                <w:sz w:val="18"/>
                <w:szCs w:val="18"/>
              </w:rPr>
              <w:t xml:space="preserve">.</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Información previa (art. 27)</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Antes de iniciar la contratación: </w:t>
            </w:r>
            <w:r>
              <w:rPr>
                <w:sz w:val="18"/>
                <w:szCs w:val="18"/>
              </w:rPr>
              <w:t xml:space="preserve">trámites</w:t>
            </w:r>
            <w:r>
              <w:rPr>
                <w:sz w:val="18"/>
                <w:szCs w:val="18"/>
              </w:rPr>
              <w:t xml:space="preserve"> para celebrar el contrato, si se </w:t>
            </w:r>
            <w:r>
              <w:rPr>
                <w:sz w:val="18"/>
                <w:szCs w:val="18"/>
              </w:rPr>
              <w:t xml:space="preserve">archivará</w:t>
            </w:r>
            <w:r>
              <w:rPr>
                <w:sz w:val="18"/>
                <w:szCs w:val="18"/>
              </w:rPr>
              <w:t xml:space="preserve"> el documento y si será accesible, </w:t>
            </w:r>
            <w:r>
              <w:rPr>
                <w:sz w:val="18"/>
                <w:szCs w:val="18"/>
              </w:rPr>
              <w:t xml:space="preserve">medios técnicos para identificar y corregir errores</w:t>
            </w:r>
            <w:r>
              <w:rPr>
                <w:sz w:val="18"/>
                <w:szCs w:val="18"/>
              </w:rPr>
              <w:t xml:space="preserve"> de introducción, </w:t>
            </w:r>
            <w:r>
              <w:rPr>
                <w:sz w:val="18"/>
                <w:szCs w:val="18"/>
              </w:rPr>
              <w:t xml:space="preserve">lengua</w:t>
            </w:r>
            <w:r>
              <w:rPr>
                <w:sz w:val="18"/>
                <w:szCs w:val="18"/>
              </w:rPr>
              <w:t xml:space="preserve"> del contrato, y poner a disposición las </w:t>
            </w:r>
            <w:r>
              <w:rPr>
                <w:sz w:val="18"/>
                <w:szCs w:val="18"/>
              </w:rPr>
              <w:t xml:space="preserve">condiciones generales</w:t>
            </w:r>
            <w:r>
              <w:rPr>
                <w:sz w:val="18"/>
                <w:szCs w:val="18"/>
              </w:rPr>
              <w:t xml:space="preserve"> de forma que puedan almacenarse y reproducirse.</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Confirmación (art. 28)</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El oferente debe </w:t>
            </w:r>
            <w:r>
              <w:rPr>
                <w:sz w:val="18"/>
                <w:szCs w:val="18"/>
              </w:rPr>
              <w:t xml:space="preserve">confirmar la recepción de la aceptación</w:t>
            </w:r>
            <w:r>
              <w:rPr>
                <w:sz w:val="18"/>
                <w:szCs w:val="18"/>
              </w:rPr>
              <w:t xml:space="preserve"> por correo electrónico u otro medio equivalente en las </w:t>
            </w:r>
            <w:r>
              <w:rPr>
                <w:sz w:val="18"/>
                <w:szCs w:val="18"/>
              </w:rPr>
              <w:t xml:space="preserve">24 horas</w:t>
            </w:r>
            <w:r>
              <w:rPr>
                <w:sz w:val="18"/>
                <w:szCs w:val="18"/>
              </w:rPr>
              <w:t xml:space="preserve"> siguientes, o por medio equivalente en el propio procedimiento de contratación (pantalla) si el aceptante puede archivarla.</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Lugar de celebración (art. 29)</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 consumidores: su </w:t>
            </w:r>
            <w:r>
              <w:rPr>
                <w:sz w:val="18"/>
                <w:szCs w:val="18"/>
              </w:rPr>
              <w:t xml:space="preserve">residencia habitual</w:t>
            </w:r>
            <w:r>
              <w:rPr>
                <w:sz w:val="18"/>
                <w:szCs w:val="18"/>
              </w:rPr>
              <w:t xml:space="preserve">. Entre empresarios: salvo pacto, el lugar de </w:t>
            </w:r>
            <w:r>
              <w:rPr>
                <w:sz w:val="18"/>
                <w:szCs w:val="18"/>
              </w:rPr>
              <w:t xml:space="preserve">establecimiento del prestador</w:t>
            </w:r>
            <w:r>
              <w:rPr>
                <w:sz w:val="18"/>
                <w:szCs w:val="18"/>
              </w:rPr>
              <w:t xml:space="preserve">.</w:t>
            </w:r>
          </w:p>
        </w:tc>
      </w:tr>
    </w:tbl>
    <w:p>
      <w:pPr>
        <w:spacing w:after="120"/>
      </w:pPr>
    </w:p>
    <w:p>
      <w:pPr>
        <w:spacing w:after="120"/>
        <w:jc w:val="both"/>
      </w:pPr>
      <w:r>
        <w:t xml:space="preserve">Si el comprador es </w:t>
      </w:r>
      <w:r>
        <w:rPr>
          <w:b/>
          <w:bCs/>
        </w:rPr>
        <w:t xml:space="preserve">consumidor</w:t>
      </w:r>
      <w:r>
        <w:t xml:space="preserve">, además se aplica el </w:t>
      </w:r>
      <w:r>
        <w:rPr>
          <w:b/>
          <w:bCs/>
        </w:rPr>
        <w:t xml:space="preserve">TRLGDCU</w:t>
      </w:r>
      <w:r>
        <w:t xml:space="preserve">: información precontractual reforzada y </w:t>
      </w:r>
      <w:r>
        <w:rPr>
          <w:b/>
          <w:bCs/>
        </w:rPr>
        <w:t xml:space="preserve">derecho de desistimiento de 14 días naturales</w:t>
      </w:r>
      <w:r>
        <w:t xml:space="preserve"> en contratos a distancia, con las excepciones legales (p. ej., contenido digital suministrado con consentimiento expreso de inicio de la ejecución).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spacing w:after="60"/>
              <w:jc w:val="both"/>
            </w:pPr>
            <w:r>
              <w:rPr>
                <w:b/>
                <w:bCs/>
                <w:sz w:val="19"/>
                <w:szCs w:val="19"/>
              </w:rPr>
              <w:t xml:space="preserve">Contrato electrónico ≠ firma electrónica</w:t>
            </w:r>
            <w:r>
              <w:rPr>
                <w:sz w:val="19"/>
                <w:szCs w:val="19"/>
              </w:rPr>
              <w:t xml:space="preserve">. Un contrato celebrado por vía electrónica es válido </w:t>
            </w:r>
            <w:r>
              <w:rPr>
                <w:b/>
                <w:bCs/>
                <w:sz w:val="19"/>
                <w:szCs w:val="19"/>
              </w:rPr>
              <w:t xml:space="preserve">sin necesidad de firma electrónica</w:t>
            </w:r>
            <w:r>
              <w:rPr>
                <w:sz w:val="19"/>
                <w:szCs w:val="19"/>
              </w:rPr>
              <w:t xml:space="preserve"> (basta un clic de aceptación). La firma electrónica es un </w:t>
            </w:r>
            <w:r>
              <w:rPr>
                <w:b/>
                <w:bCs/>
                <w:sz w:val="19"/>
                <w:szCs w:val="19"/>
              </w:rPr>
              <w:t xml:space="preserve">mecanismo de identificación y de integridad</w:t>
            </w:r>
            <w:r>
              <w:rPr>
                <w:sz w:val="19"/>
                <w:szCs w:val="19"/>
              </w:rPr>
              <w:t xml:space="preserve"> que refuerza la </w:t>
            </w:r>
            <w:r>
              <w:rPr>
                <w:b/>
                <w:bCs/>
                <w:sz w:val="19"/>
                <w:szCs w:val="19"/>
              </w:rPr>
              <w:t xml:space="preserve">prueba</w:t>
            </w:r>
            <w:r>
              <w:rPr>
                <w:sz w:val="19"/>
                <w:szCs w:val="19"/>
              </w:rPr>
              <w:t xml:space="preserve">; es imprescindible solo cuando la ley exige una forma determinada.</w:t>
            </w:r>
          </w:p>
        </w:tc>
      </w:tr>
    </w:tbl>
    <w:p>
      <w:pPr>
        <w:spacing w:after="120"/>
      </w:pPr>
    </w:p>
    <w:p>
      <w:pPr>
        <w:pStyle w:val="Heading1"/>
        <w:keepNext/>
        <w:spacing w:after="200" w:before="360"/>
      </w:pPr>
      <w:r>
        <w:t xml:space="preserve">15. Cookies y tecnologías de seguimiento</w:t>
      </w:r>
    </w:p>
    <w:p>
      <w:pPr>
        <w:spacing w:after="120"/>
        <w:jc w:val="both"/>
      </w:pPr>
      <w:r>
        <w:t xml:space="preserve">El </w:t>
      </w:r>
      <w:r>
        <w:rPr>
          <w:b/>
          <w:bCs/>
        </w:rPr>
        <w:t xml:space="preserve">art. 22.2 LSSI</w:t>
      </w:r>
      <w:r>
        <w:t xml:space="preserve"> (transpone el art. 5.3 de la Directiva ePrivacy) exige que el </w:t>
      </w:r>
      <w:r>
        <w:rPr>
          <w:b/>
          <w:bCs/>
        </w:rPr>
        <w:t xml:space="preserve">almacenamiento o recuperación de datos en equipos terminales</w:t>
      </w:r>
      <w:r>
        <w:t xml:space="preserve"> de los usuarios (cookies, </w:t>
      </w:r>
      <w:r>
        <w:rPr>
          <w:i/>
          <w:iCs/>
        </w:rPr>
        <w:t xml:space="preserve">local storage</w:t>
      </w:r>
      <w:r>
        <w:t xml:space="preserve">, </w:t>
      </w:r>
      <w:r>
        <w:rPr>
          <w:i/>
          <w:iCs/>
        </w:rPr>
        <w:t xml:space="preserve">fingerprinting</w:t>
      </w:r>
      <w:r>
        <w:t xml:space="preserve">, píxeles) cuente con el </w:t>
      </w:r>
      <w:r>
        <w:rPr>
          <w:b/>
          <w:bCs/>
        </w:rPr>
        <w:t xml:space="preserve">consentimiento</w:t>
      </w:r>
      <w:r>
        <w:t xml:space="preserve"> del usuario </w:t>
      </w:r>
      <w:r>
        <w:rPr>
          <w:b/>
          <w:bCs/>
        </w:rPr>
        <w:t xml:space="preserve">tras información clara y completa</w:t>
      </w:r>
      <w:r>
        <w:t xml:space="preserve">, conforme a la normativa de protección de datos. El consentimiento debe cumplir los requisitos del RGPD: </w:t>
      </w:r>
      <w:r>
        <w:rPr>
          <w:b/>
          <w:bCs/>
        </w:rPr>
        <w:t xml:space="preserve">libre, específico, informado e inequívoco</w:t>
      </w:r>
      <w:r>
        <w:t xml:space="preserve">, mediante una </w:t>
      </w:r>
      <w:r>
        <w:rPr>
          <w:b/>
          <w:bCs/>
        </w:rPr>
        <w:t xml:space="preserve">acción afirmativa clara</w:t>
      </w:r>
      <w:r>
        <w:t xml:space="preserve"> (las casillas premarcadas o el simple desplazamiento no valen).</w:t>
      </w:r>
    </w:p>
    <w:p>
      <w:pPr>
        <w:spacing w:after="120"/>
        <w:jc w:val="both"/>
      </w:pPr>
      <w:r>
        <w:rPr>
          <w:b/>
          <w:bCs/>
        </w:rPr>
        <w:t xml:space="preserve">Exceptuadas</w:t>
      </w:r>
      <w:r>
        <w:t xml:space="preserve"> del consentimiento: las cookies </w:t>
      </w:r>
      <w:r>
        <w:rPr>
          <w:b/>
          <w:bCs/>
        </w:rPr>
        <w:t xml:space="preserve">técnicas</w:t>
      </w:r>
      <w:r>
        <w:t xml:space="preserve"> estrictamente necesarias para la transmisión de la comunicación o para prestar un servicio </w:t>
      </w:r>
      <w:r>
        <w:rPr>
          <w:b/>
          <w:bCs/>
        </w:rPr>
        <w:t xml:space="preserve">expresamente solicitado</w:t>
      </w:r>
      <w:r>
        <w:t xml:space="preserve"> por el usuario (sesión, carrito, seguridad, equilibrio de carga, preferencias de accesibilidad solicitadas).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Categoría</w:t>
            </w:r>
          </w:p>
        </w:tc>
        <w:tc>
          <w:tcPr>
            <w:tcW w:type="dxa" w:w="602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¿Requiere consentimiento?</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Técnicas / estrictamente necesarias</w:t>
            </w:r>
          </w:p>
        </w:tc>
        <w:tc>
          <w:tcPr>
            <w:tcW w:type="dxa" w:w="60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 (exentas del art. 22.2).</w:t>
            </w:r>
          </w:p>
        </w:tc>
      </w:tr>
      <w:tr>
        <w:trPr>
          <w:cantSplit/>
        </w:trPr>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Preferencias / personalización</w:t>
            </w:r>
          </w:p>
        </w:tc>
        <w:tc>
          <w:tcPr>
            <w:tcW w:type="dxa" w:w="602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Sí, salvo que las haya elegido expresamente el usuario para un servicio solicitado.</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Analítica / medición</w:t>
            </w:r>
          </w:p>
        </w:tc>
        <w:tc>
          <w:tcPr>
            <w:tcW w:type="dxa" w:w="60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Sí con carácter general. La </w:t>
            </w:r>
            <w:r>
              <w:rPr>
                <w:sz w:val="18"/>
                <w:szCs w:val="18"/>
              </w:rPr>
              <w:t xml:space="preserve">Guía de la AEPD</w:t>
            </w:r>
            <w:r>
              <w:rPr>
                <w:sz w:val="18"/>
                <w:szCs w:val="18"/>
              </w:rPr>
              <w:t xml:space="preserve"> admite supuestos de exención para analítica estrictamente limitada y de primera parte que cumpla condiciones; revisa la versión vigente.</w:t>
            </w:r>
          </w:p>
        </w:tc>
      </w:tr>
      <w:tr>
        <w:trPr>
          <w:cantSplit/>
        </w:trPr>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Publicidad comportamental</w:t>
            </w:r>
          </w:p>
        </w:tc>
        <w:tc>
          <w:tcPr>
            <w:tcW w:type="dxa" w:w="602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Sí.</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 terceros</w:t>
            </w:r>
          </w:p>
        </w:tc>
        <w:tc>
          <w:tcPr>
            <w:tcW w:type="dxa" w:w="60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Sí; además, deben identificarse los terceros en la información.</w:t>
            </w:r>
          </w:p>
        </w:tc>
      </w:tr>
    </w:tbl>
    <w:p>
      <w:pPr>
        <w:spacing w:after="120"/>
      </w:pPr>
    </w:p>
    <w:p>
      <w:pPr>
        <w:spacing w:after="120"/>
        <w:jc w:val="both"/>
      </w:pPr>
      <w:r>
        <w:t xml:space="preserve">La </w:t>
      </w:r>
      <w:r>
        <w:rPr>
          <w:b/>
          <w:bCs/>
        </w:rPr>
        <w:t xml:space="preserve">Guía sobre el uso de las cookies de la AEPD</w:t>
      </w:r>
      <w:r>
        <w:t xml:space="preserve"> (actualizada en julio de 2023 para adaptarse a las directrices del Comité Europeo de Protección de Datos) exige, entre otros aspectos, que </w:t>
      </w:r>
      <w:r>
        <w:rPr>
          <w:b/>
          <w:bCs/>
        </w:rPr>
        <w:t xml:space="preserve">rechazar</w:t>
      </w:r>
      <w:r>
        <w:t xml:space="preserve"> sea tan fácil como </w:t>
      </w:r>
      <w:r>
        <w:rPr>
          <w:b/>
          <w:bCs/>
        </w:rPr>
        <w:t xml:space="preserve">aceptar</w:t>
      </w:r>
      <w:r>
        <w:t xml:space="preserve"> (botón de rechazo en la primera capa), y considera que los </w:t>
      </w:r>
      <w:r>
        <w:rPr>
          <w:i/>
          <w:iCs/>
        </w:rPr>
        <w:t xml:space="preserve">cookie walls</w:t>
      </w:r>
      <w:r>
        <w:t xml:space="preserve"> solo son admisibles si se ofrece una alternativa equivalente. </w:t>
      </w:r>
      <w:r>
        <w:rPr>
          <w:b/>
          <w:bCs/>
        </w:rPr>
        <w:t xml:space="preserve">La AEPD es la autoridad sancionadora</w:t>
      </w:r>
      <w:r>
        <w:t xml:space="preserve"> (art. 43 LSSI).</w:t>
      </w:r>
    </w:p>
    <w:p>
      <w:pPr>
        <w:pStyle w:val="Heading1"/>
        <w:keepNext/>
        <w:spacing w:after="200" w:before="360"/>
      </w:pPr>
      <w:r>
        <w:t xml:space="preserve">16. Protección de datos en Internet</w:t>
      </w:r>
    </w:p>
    <w:p>
      <w:pPr>
        <w:pStyle w:val="Heading2"/>
        <w:keepNext/>
      </w:pPr>
      <w:r>
        <w:t xml:space="preserve">16.1 Marco</w:t>
      </w:r>
    </w:p>
    <w:p>
      <w:pPr>
        <w:spacing w:after="120"/>
        <w:jc w:val="both"/>
      </w:pPr>
      <w:r>
        <w:rPr>
          <w:b/>
          <w:bCs/>
        </w:rPr>
        <w:t xml:space="preserve">RGPD (Reglamento (UE) 2016/679)</w:t>
      </w:r>
      <w:r>
        <w:t xml:space="preserve">, aplicable desde el 25/05/2018; </w:t>
      </w:r>
      <w:r>
        <w:rPr>
          <w:b/>
          <w:bCs/>
        </w:rPr>
        <w:t xml:space="preserve">LO 3/2018, de 5 de diciembre (LOPDGDD)</w:t>
      </w:r>
      <w:r>
        <w:t xml:space="preserve">, que adapta el RGPD y regula los </w:t>
      </w:r>
      <w:r>
        <w:rPr>
          <w:b/>
          <w:bCs/>
        </w:rPr>
        <w:t xml:space="preserve">derechos digitales</w:t>
      </w:r>
      <w:r>
        <w:t xml:space="preserve"> (Título X, arts. 79-97); </w:t>
      </w:r>
      <w:r>
        <w:rPr>
          <w:b/>
          <w:bCs/>
        </w:rPr>
        <w:t xml:space="preserve">LO 7/2021</w:t>
      </w:r>
      <w:r>
        <w:t xml:space="preserve"> (transpone la Directiva (UE) 2016/680) para tratamientos con fines de </w:t>
      </w:r>
      <w:r>
        <w:rPr>
          <w:b/>
          <w:bCs/>
        </w:rPr>
        <w:t xml:space="preserve">prevención, detección, investigación y enjuiciamiento de infracciones penales</w:t>
      </w:r>
      <w:r>
        <w:t xml:space="preserve">.</w:t>
      </w:r>
    </w:p>
    <w:p>
      <w:pPr>
        <w:pStyle w:val="Heading2"/>
        <w:keepNext/>
      </w:pPr>
      <w:r>
        <w:t xml:space="preserve">16.2 Conceptos básicos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Concepto</w:t>
            </w:r>
          </w:p>
        </w:tc>
        <w:tc>
          <w:tcPr>
            <w:tcW w:type="dxa" w:w="722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Definición (art. 4 RGPD)</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Dato personal</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Toda información sobre una persona física </w:t>
            </w:r>
            <w:r>
              <w:rPr>
                <w:sz w:val="18"/>
                <w:szCs w:val="18"/>
              </w:rPr>
              <w:t xml:space="preserve">identificada o identificable</w:t>
            </w:r>
            <w:r>
              <w:rPr>
                <w:sz w:val="18"/>
                <w:szCs w:val="18"/>
              </w:rPr>
              <w:t xml:space="preserve"> (directa o indirectamente: nombre, número de identificación, localización, </w:t>
            </w:r>
            <w:r>
              <w:rPr>
                <w:sz w:val="18"/>
                <w:szCs w:val="18"/>
              </w:rPr>
              <w:t xml:space="preserve">identificador en línea</w:t>
            </w:r>
            <w:r>
              <w:rPr>
                <w:sz w:val="18"/>
                <w:szCs w:val="18"/>
              </w:rPr>
              <w:t xml:space="preserve"> como IP o cookie).</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Dato seudonimizado</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Ya no puede atribuirse a un interesado </w:t>
            </w:r>
            <w:r>
              <w:rPr>
                <w:sz w:val="18"/>
                <w:szCs w:val="18"/>
              </w:rPr>
              <w:t xml:space="preserve">sin información adicional</w:t>
            </w:r>
            <w:r>
              <w:rPr>
                <w:sz w:val="18"/>
                <w:szCs w:val="18"/>
              </w:rPr>
              <w:t xml:space="preserve"> que se conserva por separado. </w:t>
            </w:r>
            <w:r>
              <w:rPr>
                <w:sz w:val="18"/>
                <w:szCs w:val="18"/>
              </w:rPr>
              <w:t xml:space="preserve">Sigue siendo dato personal</w:t>
            </w:r>
            <w:r>
              <w:rPr>
                <w:sz w:val="18"/>
                <w:szCs w:val="18"/>
              </w:rPr>
              <w:t xml:space="preserve">.</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Dato anónimo</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 guarda relación con una persona identificada o identificable (considerando 26). </w:t>
            </w:r>
            <w:r>
              <w:rPr>
                <w:sz w:val="18"/>
                <w:szCs w:val="18"/>
              </w:rPr>
              <w:t xml:space="preserve">No es dato personal</w:t>
            </w:r>
            <w:r>
              <w:rPr>
                <w:sz w:val="18"/>
                <w:szCs w:val="18"/>
              </w:rPr>
              <w:t xml:space="preserve">: queda fuera del RGPD. La anonimización debe ser irreversible con medios razonables.</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Responsable</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Determina los </w:t>
            </w:r>
            <w:r>
              <w:rPr>
                <w:sz w:val="18"/>
                <w:szCs w:val="18"/>
              </w:rPr>
              <w:t xml:space="preserve">fines y medios</w:t>
            </w:r>
            <w:r>
              <w:rPr>
                <w:sz w:val="18"/>
                <w:szCs w:val="18"/>
              </w:rPr>
              <w:t xml:space="preserve"> del tratamiento (p. ej., el SAS respecto de la HCE).</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Encargado</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Trata datos </w:t>
            </w:r>
            <w:r>
              <w:rPr>
                <w:sz w:val="18"/>
                <w:szCs w:val="18"/>
              </w:rPr>
              <w:t xml:space="preserve">por cuenta del responsable</w:t>
            </w:r>
            <w:r>
              <w:rPr>
                <w:sz w:val="18"/>
                <w:szCs w:val="18"/>
              </w:rPr>
              <w:t xml:space="preserve"> (p. ej., una empresa de mantenimiento o un proveedor cloud), con contrato del art. 28 RGPD.</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Violación de seguridad (brecha)</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Incidente que ocasiona destrucción, pérdida, alteración, comunicación o acceso no autorizados a datos personales.</w:t>
            </w:r>
          </w:p>
        </w:tc>
      </w:tr>
    </w:tbl>
    <w:p>
      <w:pPr>
        <w:spacing w:after="120"/>
      </w:pPr>
    </w:p>
    <w:p>
      <w:pPr>
        <w:pStyle w:val="Heading2"/>
        <w:keepNext/>
      </w:pPr>
      <w:r>
        <w:t xml:space="preserve">16.3 Bases jurídicas, seguridad y brechas</w:t>
      </w:r>
    </w:p>
    <w:p>
      <w:pPr>
        <w:pStyle w:val="ListParagraph"/>
        <w:numPr>
          <w:ilvl w:val="0"/>
          <w:numId w:val="2"/>
        </w:numPr>
        <w:spacing w:after="60"/>
      </w:pPr>
      <w:r>
        <w:rPr>
          <w:b/>
          <w:bCs/>
        </w:rPr>
        <w:t xml:space="preserve">Bases de licitud</w:t>
      </w:r>
      <w:r>
        <w:t xml:space="preserve"> (art. 6): consentimiento, contrato, obligación legal, intereses vitales, </w:t>
      </w:r>
      <w:r>
        <w:rPr>
          <w:b/>
          <w:bCs/>
        </w:rPr>
        <w:t xml:space="preserve">misión de interés público o ejercicio de poderes públicos</w:t>
      </w:r>
      <w:r>
        <w:t xml:space="preserve"> (la habitual en la AP), interés legítimo (</w:t>
      </w:r>
      <w:r>
        <w:rPr>
          <w:b/>
          <w:bCs/>
        </w:rPr>
        <w:t xml:space="preserve">no aplicable</w:t>
      </w:r>
      <w:r>
        <w:t xml:space="preserve"> a las autoridades públicas en el ejercicio de sus funciones).</w:t>
      </w:r>
    </w:p>
    <w:p>
      <w:pPr>
        <w:pStyle w:val="ListParagraph"/>
        <w:numPr>
          <w:ilvl w:val="0"/>
          <w:numId w:val="2"/>
        </w:numPr>
        <w:spacing w:after="60"/>
      </w:pPr>
      <w:r>
        <w:rPr>
          <w:b/>
          <w:bCs/>
        </w:rPr>
        <w:t xml:space="preserve">Seguridad</w:t>
      </w:r>
      <w:r>
        <w:t xml:space="preserve"> (art. 32): medidas técnicas y organizativas apropiadas al riesgo (seudonimización, cifrado, confidencialidad, integridad, disponibilidad, resiliencia, restauración, verificación periódica). En el sector público, las medidas del </w:t>
      </w:r>
      <w:r>
        <w:rPr>
          <w:b/>
          <w:bCs/>
        </w:rPr>
        <w:t xml:space="preserve">ENS</w:t>
      </w:r>
      <w:r>
        <w:t xml:space="preserve"> (disp. adicional 1.ª LOPDGDD).</w:t>
      </w:r>
    </w:p>
    <w:p>
      <w:pPr>
        <w:pStyle w:val="ListParagraph"/>
        <w:numPr>
          <w:ilvl w:val="0"/>
          <w:numId w:val="2"/>
        </w:numPr>
        <w:spacing w:after="60"/>
      </w:pPr>
      <w:r>
        <w:rPr>
          <w:b/>
          <w:bCs/>
        </w:rPr>
        <w:t xml:space="preserve">Notificación de brechas</w:t>
      </w:r>
      <w:r>
        <w:t xml:space="preserve">: a la </w:t>
      </w:r>
      <w:r>
        <w:rPr>
          <w:b/>
          <w:bCs/>
        </w:rPr>
        <w:t xml:space="preserve">AEPD</w:t>
      </w:r>
      <w:r>
        <w:t xml:space="preserve"> (o autoridad autonómica competente) </w:t>
      </w:r>
      <w:r>
        <w:rPr>
          <w:b/>
          <w:bCs/>
        </w:rPr>
        <w:t xml:space="preserve">sin dilación y en 72 horas</w:t>
      </w:r>
      <w:r>
        <w:t xml:space="preserve"> si hay riesgo (art. 33); a los </w:t>
      </w:r>
      <w:r>
        <w:rPr>
          <w:b/>
          <w:bCs/>
        </w:rPr>
        <w:t xml:space="preserve">interesados</w:t>
      </w:r>
      <w:r>
        <w:t xml:space="preserve"> si hay </w:t>
      </w:r>
      <w:r>
        <w:rPr>
          <w:b/>
          <w:bCs/>
        </w:rPr>
        <w:t xml:space="preserve">alto riesgo</w:t>
      </w:r>
      <w:r>
        <w:t xml:space="preserve"> (art. 34).</w:t>
      </w:r>
    </w:p>
    <w:p>
      <w:pPr>
        <w:pStyle w:val="ListParagraph"/>
        <w:numPr>
          <w:ilvl w:val="0"/>
          <w:numId w:val="2"/>
        </w:numPr>
        <w:spacing w:after="60"/>
      </w:pPr>
      <w:r>
        <w:rPr>
          <w:b/>
          <w:bCs/>
        </w:rPr>
        <w:t xml:space="preserve">Transferencias internacionales</w:t>
      </w:r>
      <w:r>
        <w:t xml:space="preserve"> (arts. 44-49): decisión de adecuación (p. ej., </w:t>
      </w:r>
      <w:r>
        <w:rPr>
          <w:i/>
          <w:iCs/>
        </w:rPr>
        <w:t xml:space="preserve">EU-US Data Privacy Framework</w:t>
      </w:r>
      <w:r>
        <w:t xml:space="preserve">, 2023), garantías adecuadas (cláusulas contractuales tipo) o excepciones.</w:t>
      </w:r>
    </w:p>
    <w:p>
      <w:pPr>
        <w:pStyle w:val="Heading1"/>
        <w:keepNext/>
        <w:spacing w:after="200" w:before="360"/>
      </w:pPr>
      <w:r>
        <w:t xml:space="preserve">17. Firma electrónica y servicios de confianza</w:t>
      </w:r>
    </w:p>
    <w:p>
      <w:pPr>
        <w:pStyle w:val="Heading2"/>
        <w:keepNext/>
      </w:pPr>
      <w:r>
        <w:t xml:space="preserve">17.1 Marco normativo</w:t>
      </w:r>
    </w:p>
    <w:p>
      <w:pPr>
        <w:pStyle w:val="ListParagraph"/>
        <w:numPr>
          <w:ilvl w:val="0"/>
          <w:numId w:val="2"/>
        </w:numPr>
        <w:spacing w:after="60"/>
      </w:pPr>
      <w:r>
        <w:rPr>
          <w:b/>
          <w:bCs/>
        </w:rPr>
        <w:t xml:space="preserve">Reglamento (UE) 910/2014 (eIDAS)</w:t>
      </w:r>
      <w:r>
        <w:t xml:space="preserve">, de identificación electrónica y servicios de confianza, </w:t>
      </w:r>
      <w:r>
        <w:rPr>
          <w:b/>
          <w:bCs/>
        </w:rPr>
        <w:t xml:space="preserve">directamente aplicable</w:t>
      </w:r>
      <w:r>
        <w:t xml:space="preserve"> desde el 1/07/2016.</w:t>
      </w:r>
    </w:p>
    <w:p>
      <w:pPr>
        <w:pStyle w:val="ListParagraph"/>
        <w:numPr>
          <w:ilvl w:val="0"/>
          <w:numId w:val="2"/>
        </w:numPr>
        <w:spacing w:after="60"/>
      </w:pPr>
      <w:r>
        <w:rPr>
          <w:b/>
          <w:bCs/>
        </w:rPr>
        <w:t xml:space="preserve">Reglamento (UE) 2024/1183 (eIDAS2)</w:t>
      </w:r>
      <w:r>
        <w:t xml:space="preserve">, que lo modifica e introduce la </w:t>
      </w:r>
      <w:r>
        <w:rPr>
          <w:b/>
          <w:bCs/>
        </w:rPr>
        <w:t xml:space="preserve">Cartera Europea de Identidad Digital</w:t>
      </w:r>
      <w:r>
        <w:t xml:space="preserve"> (</w:t>
      </w:r>
      <w:r>
        <w:rPr>
          <w:i/>
          <w:iCs/>
        </w:rPr>
        <w:t xml:space="preserve">EUDI Wallet</w:t>
      </w:r>
      <w:r>
        <w:t xml:space="preserve">) y nuevos servicios de confianza (archivo electrónico, libros mayores electrónicos, declaración electrónica de atributos).</w:t>
      </w:r>
    </w:p>
    <w:p>
      <w:pPr>
        <w:pStyle w:val="ListParagraph"/>
        <w:numPr>
          <w:ilvl w:val="0"/>
          <w:numId w:val="2"/>
        </w:numPr>
        <w:spacing w:after="60"/>
      </w:pPr>
      <w:r>
        <w:rPr>
          <w:b/>
          <w:bCs/>
        </w:rPr>
        <w:t xml:space="preserve">Ley 6/2020, de 11 de noviembre</w:t>
      </w:r>
      <w:r>
        <w:t xml:space="preserve">, reguladora de determinados aspectos de los servicios electrónicos de confianza: </w:t>
      </w:r>
      <w:r>
        <w:rPr>
          <w:b/>
          <w:bCs/>
        </w:rPr>
        <w:t xml:space="preserve">complementa</w:t>
      </w:r>
      <w:r>
        <w:t xml:space="preserve"> eIDAS y </w:t>
      </w:r>
      <w:r>
        <w:rPr>
          <w:b/>
          <w:bCs/>
        </w:rPr>
        <w:t xml:space="preserve">derogó la Ley 59/2003</w:t>
      </w:r>
      <w:r>
        <w:t xml:space="preserve"> de firma electrónica.</w:t>
      </w:r>
    </w:p>
    <w:p>
      <w:pPr>
        <w:pStyle w:val="ListParagraph"/>
        <w:numPr>
          <w:ilvl w:val="0"/>
          <w:numId w:val="2"/>
        </w:numPr>
        <w:spacing w:after="60"/>
      </w:pPr>
      <w:r>
        <w:t xml:space="preserve">En el ámbito administrativo: </w:t>
      </w:r>
      <w:r>
        <w:rPr>
          <w:b/>
          <w:bCs/>
        </w:rPr>
        <w:t xml:space="preserve">Ley 39/2015</w:t>
      </w:r>
      <w:r>
        <w:t xml:space="preserve"> (arts. 9-10, sistemas de identificación y firma de los interesados) y </w:t>
      </w:r>
      <w:r>
        <w:rPr>
          <w:b/>
          <w:bCs/>
        </w:rPr>
        <w:t xml:space="preserve">Ley 40/2015</w:t>
      </w:r>
      <w:r>
        <w:t xml:space="preserve"> (arts. 40-43, sello electrónico y firma del personal).</w:t>
      </w:r>
    </w:p>
    <w:p>
      <w:pPr>
        <w:pStyle w:val="Heading2"/>
        <w:keepNext/>
      </w:pPr>
      <w:r>
        <w:t xml:space="preserve">17.2 Tipos y efectos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4457"/>
        <w:gridCol w:w="3013"/>
      </w:tblGrid>
      <w:tr>
        <w:trPr>
          <w:tblHeader/>
        </w:trPr>
        <w:tc>
          <w:tcPr>
            <w:tcW w:type="dxa" w:w="216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Figura</w:t>
            </w:r>
          </w:p>
        </w:tc>
        <w:tc>
          <w:tcPr>
            <w:tcW w:type="dxa" w:w="445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Definición</w:t>
            </w:r>
          </w:p>
        </w:tc>
        <w:tc>
          <w:tcPr>
            <w:tcW w:type="dxa" w:w="301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Efecto jurídico</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Firma electrónica (simple)</w:t>
            </w:r>
          </w:p>
        </w:tc>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Datos en formato electrónico anejos a otros o asociados lógicamente con ellos que utiliza el </w:t>
            </w:r>
            <w:r>
              <w:rPr>
                <w:sz w:val="18"/>
                <w:szCs w:val="18"/>
              </w:rPr>
              <w:t xml:space="preserve">firmante</w:t>
            </w:r>
            <w:r>
              <w:rPr>
                <w:sz w:val="18"/>
                <w:szCs w:val="18"/>
              </w:rPr>
              <w:t xml:space="preserve"> (persona física) para firmar.</w:t>
            </w:r>
          </w:p>
        </w:tc>
        <w:tc>
          <w:tcPr>
            <w:tcW w:type="dxa" w:w="30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 se le pueden negar efectos jurídicos ni admisibilidad como prueba por ser electrónica (art. 25.1 eIDAS).</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Firma electrónica avanzada</w:t>
            </w:r>
          </w:p>
        </w:tc>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Además: vinculada al firmante de </w:t>
            </w:r>
            <w:r>
              <w:rPr>
                <w:sz w:val="18"/>
                <w:szCs w:val="18"/>
              </w:rPr>
              <w:t xml:space="preserve">manera única</w:t>
            </w:r>
            <w:r>
              <w:rPr>
                <w:sz w:val="18"/>
                <w:szCs w:val="18"/>
              </w:rPr>
              <w:t xml:space="preserve">; permite </w:t>
            </w:r>
            <w:r>
              <w:rPr>
                <w:sz w:val="18"/>
                <w:szCs w:val="18"/>
              </w:rPr>
              <w:t xml:space="preserve">identificarlo</w:t>
            </w:r>
            <w:r>
              <w:rPr>
                <w:sz w:val="18"/>
                <w:szCs w:val="18"/>
              </w:rPr>
              <w:t xml:space="preserve">; creada con datos que el firmante puede usar </w:t>
            </w:r>
            <w:r>
              <w:rPr>
                <w:sz w:val="18"/>
                <w:szCs w:val="18"/>
              </w:rPr>
              <w:t xml:space="preserve">bajo su control exclusivo</w:t>
            </w:r>
            <w:r>
              <w:rPr>
                <w:sz w:val="18"/>
                <w:szCs w:val="18"/>
              </w:rPr>
              <w:t xml:space="preserve">; vinculada a los datos firmados de modo que </w:t>
            </w:r>
            <w:r>
              <w:rPr>
                <w:sz w:val="18"/>
                <w:szCs w:val="18"/>
              </w:rPr>
              <w:t xml:space="preserve">detecte cualquier modificación</w:t>
            </w:r>
            <w:r>
              <w:rPr>
                <w:sz w:val="18"/>
                <w:szCs w:val="18"/>
              </w:rPr>
              <w:t xml:space="preserve"> ulterior (art. 26).</w:t>
            </w:r>
          </w:p>
        </w:tc>
        <w:tc>
          <w:tcPr>
            <w:tcW w:type="dxa" w:w="30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Como la simple, con mayor valor probatorio.</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Firma electrónica cualificada</w:t>
            </w:r>
          </w:p>
        </w:tc>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Firma avanzada creada mediante un </w:t>
            </w:r>
            <w:r>
              <w:rPr>
                <w:sz w:val="18"/>
                <w:szCs w:val="18"/>
              </w:rPr>
              <w:t xml:space="preserve">dispositivo cualificado de creación de firma</w:t>
            </w:r>
            <w:r>
              <w:rPr>
                <w:sz w:val="18"/>
                <w:szCs w:val="18"/>
              </w:rPr>
              <w:t xml:space="preserve"> y basada en un </w:t>
            </w:r>
            <w:r>
              <w:rPr>
                <w:sz w:val="18"/>
                <w:szCs w:val="18"/>
              </w:rPr>
              <w:t xml:space="preserve">certificado cualificado</w:t>
            </w:r>
            <w:r>
              <w:rPr>
                <w:sz w:val="18"/>
                <w:szCs w:val="18"/>
              </w:rPr>
              <w:t xml:space="preserve">.</w:t>
            </w:r>
          </w:p>
        </w:tc>
        <w:tc>
          <w:tcPr>
            <w:tcW w:type="dxa" w:w="30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Efecto jurídico equivalente a la firma manuscrita</w:t>
            </w:r>
            <w:r>
              <w:rPr>
                <w:sz w:val="18"/>
                <w:szCs w:val="18"/>
              </w:rPr>
              <w:t xml:space="preserve"> (art. 25.2) y reconocimiento en toda la UE.</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Sello electrónico</w:t>
            </w:r>
          </w:p>
        </w:tc>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Equivalente de la firma para </w:t>
            </w:r>
            <w:r>
              <w:rPr>
                <w:sz w:val="18"/>
                <w:szCs w:val="18"/>
              </w:rPr>
              <w:t xml:space="preserve">personas jurídicas</w:t>
            </w:r>
            <w:r>
              <w:rPr>
                <w:sz w:val="18"/>
                <w:szCs w:val="18"/>
              </w:rPr>
              <w:t xml:space="preserve"> (creador de sello): garantiza </w:t>
            </w:r>
            <w:r>
              <w:rPr>
                <w:sz w:val="18"/>
                <w:szCs w:val="18"/>
              </w:rPr>
              <w:t xml:space="preserve">origen e integridad</w:t>
            </w:r>
            <w:r>
              <w:rPr>
                <w:sz w:val="18"/>
                <w:szCs w:val="18"/>
              </w:rPr>
              <w:t xml:space="preserve"> (arts. 35-40).</w:t>
            </w:r>
          </w:p>
        </w:tc>
        <w:tc>
          <w:tcPr>
            <w:tcW w:type="dxa" w:w="30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El cualificado goza de presunción de integridad y de corrección del origen.</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Sello de tiempo electrónico</w:t>
            </w:r>
          </w:p>
        </w:tc>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Vincula datos con un </w:t>
            </w:r>
            <w:r>
              <w:rPr>
                <w:sz w:val="18"/>
                <w:szCs w:val="18"/>
              </w:rPr>
              <w:t xml:space="preserve">instante concreto</w:t>
            </w:r>
            <w:r>
              <w:rPr>
                <w:sz w:val="18"/>
                <w:szCs w:val="18"/>
              </w:rPr>
              <w:t xml:space="preserve">, probando que existían en ese momento (arts. 41-42).</w:t>
            </w:r>
          </w:p>
        </w:tc>
        <w:tc>
          <w:tcPr>
            <w:tcW w:type="dxa" w:w="30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El cualificado goza de presunción de exactitud de fecha y hora e integridad de los datos.</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Certificado electrónico</w:t>
            </w:r>
          </w:p>
        </w:tc>
        <w:tc>
          <w:tcPr>
            <w:tcW w:type="dxa" w:w="445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Declaración electrónica que </w:t>
            </w:r>
            <w:r>
              <w:rPr>
                <w:sz w:val="18"/>
                <w:szCs w:val="18"/>
              </w:rPr>
              <w:t xml:space="preserve">vincula los datos de validación</w:t>
            </w:r>
            <w:r>
              <w:rPr>
                <w:sz w:val="18"/>
                <w:szCs w:val="18"/>
              </w:rPr>
              <w:t xml:space="preserve"> de firma/sello con una persona y confirma, al menos, su nombre o seudónimo. Lo emite un prestador.</w:t>
            </w:r>
          </w:p>
        </w:tc>
        <w:tc>
          <w:tcPr>
            <w:tcW w:type="dxa" w:w="301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Es la «identidad» que respalda la firma; </w:t>
            </w:r>
            <w:r>
              <w:rPr>
                <w:sz w:val="18"/>
                <w:szCs w:val="18"/>
              </w:rPr>
              <w:t xml:space="preserve">no es la firma</w:t>
            </w:r>
            <w:r>
              <w:rPr>
                <w:sz w:val="18"/>
                <w:szCs w:val="18"/>
              </w:rPr>
              <w:t xml:space="preserve">.</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Servicio de entrega electrónica certificada</w:t>
            </w:r>
          </w:p>
        </w:tc>
        <w:tc>
          <w:tcPr>
            <w:tcW w:type="dxa" w:w="445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Transmite datos entre partes aportando prueba del envío y recepción (arts. 43-44).</w:t>
            </w:r>
          </w:p>
        </w:tc>
        <w:tc>
          <w:tcPr>
            <w:tcW w:type="dxa" w:w="30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El cualificado presume integridad, envío, recepción y exactitud de fechas.</w:t>
            </w:r>
          </w:p>
        </w:tc>
      </w:tr>
    </w:tbl>
    <w:p>
      <w:pPr>
        <w:spacing w:after="120"/>
      </w:pPr>
    </w:p>
    <w:p>
      <w:pPr>
        <w:spacing w:after="120"/>
        <w:jc w:val="both"/>
      </w:pPr>
      <w:r>
        <w:rPr>
          <w:b/>
          <w:bCs/>
        </w:rPr>
        <w:t xml:space="preserve">Prestadores cualificados de servicios de confianza</w:t>
      </w:r>
      <w:r>
        <w:t xml:space="preserve">: supervisados en España por el ministerio competente en transformación digital; figuran en la </w:t>
      </w:r>
      <w:r>
        <w:rPr>
          <w:b/>
          <w:bCs/>
        </w:rPr>
        <w:t xml:space="preserve">Lista de confianza (TSL)</w:t>
      </w:r>
      <w:r>
        <w:t xml:space="preserve">. La Ley 6/2020 también regula la </w:t>
      </w:r>
      <w:r>
        <w:rPr>
          <w:b/>
          <w:bCs/>
        </w:rPr>
        <w:t xml:space="preserve">presunción</w:t>
      </w:r>
      <w:r>
        <w:t xml:space="preserve"> favorable al documento con firma cualificada y la carga de la prueba si se impugna (en coordinación con el art. 326 LEC).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pStyle w:val="ListParagraph"/>
              <w:numPr>
                <w:ilvl w:val="0"/>
                <w:numId w:val="2"/>
              </w:numPr>
              <w:spacing w:after="40"/>
            </w:pPr>
            <w:r>
              <w:rPr>
                <w:b/>
                <w:bCs/>
                <w:sz w:val="19"/>
                <w:szCs w:val="19"/>
              </w:rPr>
              <w:t xml:space="preserve">Firma ≠ certificado</w:t>
            </w:r>
            <w:r>
              <w:rPr>
                <w:sz w:val="19"/>
                <w:szCs w:val="19"/>
              </w:rPr>
              <w:t xml:space="preserve">: el certificado identifica; la firma es el resultado de firmar con la clave privada asociada.</w:t>
            </w:r>
          </w:p>
          <w:p>
            <w:pPr>
              <w:pStyle w:val="ListParagraph"/>
              <w:numPr>
                <w:ilvl w:val="0"/>
                <w:numId w:val="2"/>
              </w:numPr>
              <w:spacing w:after="40"/>
            </w:pPr>
            <w:r>
              <w:rPr>
                <w:b/>
                <w:bCs/>
                <w:sz w:val="19"/>
                <w:szCs w:val="19"/>
              </w:rPr>
              <w:t xml:space="preserve">Firma ≠ sello</w:t>
            </w:r>
            <w:r>
              <w:rPr>
                <w:sz w:val="19"/>
                <w:szCs w:val="19"/>
              </w:rPr>
              <w:t xml:space="preserve">: la firma es de </w:t>
            </w:r>
            <w:r>
              <w:rPr>
                <w:b/>
                <w:bCs/>
                <w:sz w:val="19"/>
                <w:szCs w:val="19"/>
              </w:rPr>
              <w:t xml:space="preserve">personas físicas</w:t>
            </w:r>
            <w:r>
              <w:rPr>
                <w:sz w:val="19"/>
                <w:szCs w:val="19"/>
              </w:rPr>
              <w:t xml:space="preserve">; el sello, de </w:t>
            </w:r>
            <w:r>
              <w:rPr>
                <w:b/>
                <w:bCs/>
                <w:sz w:val="19"/>
                <w:szCs w:val="19"/>
              </w:rPr>
              <w:t xml:space="preserve">personas jurídicas</w:t>
            </w:r>
            <w:r>
              <w:rPr>
                <w:sz w:val="19"/>
                <w:szCs w:val="19"/>
              </w:rPr>
              <w:t xml:space="preserve"> (incluidas Administraciones).</w:t>
            </w:r>
          </w:p>
          <w:p>
            <w:pPr>
              <w:pStyle w:val="ListParagraph"/>
              <w:numPr>
                <w:ilvl w:val="0"/>
                <w:numId w:val="2"/>
              </w:numPr>
              <w:spacing w:after="40"/>
            </w:pPr>
            <w:r>
              <w:rPr>
                <w:b/>
                <w:bCs/>
                <w:sz w:val="19"/>
                <w:szCs w:val="19"/>
              </w:rPr>
              <w:t xml:space="preserve">Hash ≠ firma</w:t>
            </w:r>
            <w:r>
              <w:rPr>
                <w:sz w:val="19"/>
                <w:szCs w:val="19"/>
              </w:rPr>
              <w:t xml:space="preserve">: un hash detecta cambios, pero </w:t>
            </w:r>
            <w:r>
              <w:rPr>
                <w:b/>
                <w:bCs/>
                <w:sz w:val="19"/>
                <w:szCs w:val="19"/>
              </w:rPr>
              <w:t xml:space="preserve">no identifica</w:t>
            </w:r>
            <w:r>
              <w:rPr>
                <w:sz w:val="19"/>
                <w:szCs w:val="19"/>
              </w:rPr>
              <w:t xml:space="preserve"> a nadie ni vincula a un firmante.</w:t>
            </w:r>
          </w:p>
          <w:p>
            <w:pPr>
              <w:pStyle w:val="ListParagraph"/>
              <w:numPr>
                <w:ilvl w:val="0"/>
                <w:numId w:val="2"/>
              </w:numPr>
              <w:spacing w:after="40"/>
            </w:pPr>
            <w:r>
              <w:rPr>
                <w:sz w:val="19"/>
                <w:szCs w:val="19"/>
              </w:rPr>
              <w:t xml:space="preserve">La Ley </w:t>
            </w:r>
            <w:r>
              <w:rPr>
                <w:b/>
                <w:bCs/>
                <w:sz w:val="19"/>
                <w:szCs w:val="19"/>
              </w:rPr>
              <w:t xml:space="preserve">59/2003</w:t>
            </w:r>
            <w:r>
              <w:rPr>
                <w:sz w:val="19"/>
                <w:szCs w:val="19"/>
              </w:rPr>
              <w:t xml:space="preserve"> está </w:t>
            </w:r>
            <w:r>
              <w:rPr>
                <w:b/>
                <w:bCs/>
                <w:sz w:val="19"/>
                <w:szCs w:val="19"/>
              </w:rPr>
              <w:t xml:space="preserve">derogada</w:t>
            </w:r>
            <w:r>
              <w:rPr>
                <w:sz w:val="19"/>
                <w:szCs w:val="19"/>
              </w:rPr>
              <w:t xml:space="preserve">.</w:t>
            </w:r>
          </w:p>
        </w:tc>
      </w:tr>
    </w:tbl>
    <w:p>
      <w:pPr>
        <w:spacing w:after="120"/>
      </w:pPr>
    </w:p>
    <w:p>
      <w:pPr>
        <w:pStyle w:val="Heading1"/>
        <w:keepNext/>
        <w:spacing w:after="200" w:before="360"/>
      </w:pPr>
      <w:r>
        <w:t xml:space="preserve">18. El delito informático</w:t>
      </w:r>
    </w:p>
    <w:p>
      <w:pPr>
        <w:spacing w:after="120"/>
        <w:jc w:val="both"/>
      </w:pPr>
      <w:r>
        <w:t xml:space="preserve">El Código Penal español </w:t>
      </w:r>
      <w:r>
        <w:rPr>
          <w:b/>
          <w:bCs/>
        </w:rPr>
        <w:t xml:space="preserve">no define ni recoge una categoría autónoma de «delito informático»</w:t>
      </w:r>
      <w:r>
        <w:t xml:space="preserve">. La expresión es </w:t>
      </w:r>
      <w:r>
        <w:rPr>
          <w:b/>
          <w:bCs/>
        </w:rPr>
        <w:t xml:space="preserve">doctrinal y criminológica</w:t>
      </w:r>
      <w:r>
        <w:t xml:space="preserve"> y agrupa tipos penales heterogéneos en los que el sistema informático o los datos desempeñan un papel relevante. Por eso se habla también de </w:t>
      </w:r>
      <w:r>
        <w:rPr>
          <w:b/>
          <w:bCs/>
        </w:rPr>
        <w:t xml:space="preserve">ciberdelincuencia</w:t>
      </w:r>
      <w:r>
        <w:t xml:space="preserve"> o </w:t>
      </w:r>
      <w:r>
        <w:rPr>
          <w:b/>
          <w:bCs/>
        </w:rPr>
        <w:t xml:space="preserve">delitos cometidos a través de las TIC</w:t>
      </w:r>
      <w:r>
        <w:t xml:space="preserve">.</w:t>
      </w:r>
    </w:p>
    <w:p>
      <w:pPr>
        <w:pStyle w:val="Heading2"/>
        <w:keepNext/>
      </w:pPr>
      <w:r>
        <w:t xml:space="preserve">18.1 Clasificaciones doctrinales (no oficiales)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6988"/>
      </w:tblGrid>
      <w:tr>
        <w:trPr>
          <w:tblHeader/>
        </w:trPr>
        <w:tc>
          <w:tcPr>
            <w:tcW w:type="dxa" w:w="2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Criterio</w:t>
            </w:r>
          </w:p>
        </w:tc>
        <w:tc>
          <w:tcPr>
            <w:tcW w:type="dxa" w:w="698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Categorías</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Papel del sistema informático</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Objeto</w:t>
            </w:r>
            <w:r>
              <w:rPr>
                <w:sz w:val="18"/>
                <w:szCs w:val="18"/>
              </w:rPr>
              <w:t xml:space="preserve"> del delito (daños informáticos, acceso ilícito); </w:t>
            </w:r>
            <w:r>
              <w:rPr>
                <w:sz w:val="18"/>
                <w:szCs w:val="18"/>
              </w:rPr>
              <w:t xml:space="preserve">instrumento o medio</w:t>
            </w:r>
            <w:r>
              <w:rPr>
                <w:sz w:val="18"/>
                <w:szCs w:val="18"/>
              </w:rPr>
              <w:t xml:space="preserve"> (estafa informática, amenazas por redes); </w:t>
            </w:r>
            <w:r>
              <w:rPr>
                <w:sz w:val="18"/>
                <w:szCs w:val="18"/>
              </w:rPr>
              <w:t xml:space="preserve">elemento probatorio</w:t>
            </w:r>
            <w:r>
              <w:rPr>
                <w:sz w:val="18"/>
                <w:szCs w:val="18"/>
              </w:rPr>
              <w:t xml:space="preserve"> (el dispositivo contiene pruebas de cualquier delito).</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Delitos «ciber» puros vs. réplicas</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Ciberdelitos en sentido estricto</w:t>
            </w:r>
            <w:r>
              <w:rPr>
                <w:sz w:val="18"/>
                <w:szCs w:val="18"/>
              </w:rPr>
              <w:t xml:space="preserve"> (solo pueden cometerse contra/por sistemas: acceso ilícito, interceptación, daños a datos, obstaculización de sistemas); </w:t>
            </w:r>
            <w:r>
              <w:rPr>
                <w:sz w:val="18"/>
                <w:szCs w:val="18"/>
              </w:rPr>
              <w:t xml:space="preserve">delitos tradicionales cometidos mediante TIC</w:t>
            </w:r>
            <w:r>
              <w:rPr>
                <w:sz w:val="18"/>
                <w:szCs w:val="18"/>
              </w:rPr>
              <w:t xml:space="preserve"> (estafa, amenazas, acoso, pornografía infantil, odio, propiedad intelectual).</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Convenio de Budapest (clasificación convencional internacional)</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 Delitos contra la </w:t>
            </w:r>
            <w:r>
              <w:rPr>
                <w:sz w:val="18"/>
                <w:szCs w:val="18"/>
              </w:rPr>
              <w:t xml:space="preserve">confidencialidad, integridad y disponibilidad</w:t>
            </w:r>
            <w:r>
              <w:rPr>
                <w:sz w:val="18"/>
                <w:szCs w:val="18"/>
              </w:rPr>
              <w:t xml:space="preserve"> de datos y sistemas; (2) delitos </w:t>
            </w:r>
            <w:r>
              <w:rPr>
                <w:sz w:val="18"/>
                <w:szCs w:val="18"/>
              </w:rPr>
              <w:t xml:space="preserve">informáticos</w:t>
            </w:r>
            <w:r>
              <w:rPr>
                <w:sz w:val="18"/>
                <w:szCs w:val="18"/>
              </w:rPr>
              <w:t xml:space="preserve"> (falsificación y fraude informáticos); (3) delitos relacionados con el </w:t>
            </w:r>
            <w:r>
              <w:rPr>
                <w:sz w:val="18"/>
                <w:szCs w:val="18"/>
              </w:rPr>
              <w:t xml:space="preserve">contenido</w:t>
            </w:r>
            <w:r>
              <w:rPr>
                <w:sz w:val="18"/>
                <w:szCs w:val="18"/>
              </w:rPr>
              <w:t xml:space="preserve"> (pornografía infantil; racismo y xenofobia en el Protocolo de 2003); (4) delitos contra la </w:t>
            </w:r>
            <w:r>
              <w:rPr>
                <w:sz w:val="18"/>
                <w:szCs w:val="18"/>
              </w:rPr>
              <w:t xml:space="preserve">propiedad intelectual</w:t>
            </w:r>
            <w:r>
              <w:rPr>
                <w:sz w:val="18"/>
                <w:szCs w:val="18"/>
              </w:rPr>
              <w:t xml:space="preserve"> y derechos afines.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DEEAF6" w:color="auto" w:val="clear"/>
            <w:tcMar>
              <w:top w:type="dxa" w:w="100"/>
              <w:left w:type="dxa" w:w="160"/>
              <w:bottom w:type="dxa" w:w="100"/>
              <w:right w:type="dxa" w:w="140"/>
            </w:tcMar>
          </w:tcPr>
          <w:p>
            <w:pPr>
              <w:spacing w:after="80"/>
            </w:pPr>
            <w:r>
              <w:rPr>
                <w:b/>
                <w:bCs/>
                <w:color w:val="2E75B6"/>
                <w:sz w:val="20"/>
                <w:szCs w:val="20"/>
              </w:rPr>
              <w:t xml:space="preserve">CLAVE PARA EL EXAMEN</w:t>
            </w:r>
          </w:p>
          <w:p>
            <w:pPr>
              <w:spacing w:after="60"/>
              <w:jc w:val="both"/>
            </w:pPr>
            <w:r>
              <w:rPr>
                <w:sz w:val="19"/>
                <w:szCs w:val="19"/>
              </w:rPr>
              <w:t xml:space="preserve">La clasificación del </w:t>
            </w:r>
            <w:r>
              <w:rPr>
                <w:b/>
                <w:bCs/>
                <w:sz w:val="19"/>
                <w:szCs w:val="19"/>
              </w:rPr>
              <w:t xml:space="preserve">Convenio de Budapest</w:t>
            </w:r>
            <w:r>
              <w:rPr>
                <w:sz w:val="19"/>
                <w:szCs w:val="19"/>
              </w:rPr>
              <w:t xml:space="preserve"> es la referencia internacional más citada en exámenes. Pero </w:t>
            </w:r>
            <w:r>
              <w:rPr>
                <w:b/>
                <w:bCs/>
                <w:sz w:val="19"/>
                <w:szCs w:val="19"/>
              </w:rPr>
              <w:t xml:space="preserve">no es una clasificación del Código Penal español</w:t>
            </w:r>
            <w:r>
              <w:rPr>
                <w:sz w:val="19"/>
                <w:szCs w:val="19"/>
              </w:rPr>
              <w:t xml:space="preserve">, que dispersa estos delitos en distintos títulos según el </w:t>
            </w:r>
            <w:r>
              <w:rPr>
                <w:b/>
                <w:bCs/>
                <w:sz w:val="19"/>
                <w:szCs w:val="19"/>
              </w:rPr>
              <w:t xml:space="preserve">bien jurídico</w:t>
            </w:r>
            <w:r>
              <w:rPr>
                <w:sz w:val="19"/>
                <w:szCs w:val="19"/>
              </w:rPr>
              <w:t xml:space="preserve"> protegido (intimidad, patrimonio, propiedad intelectual, libertad sexual, fe pública…).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pStyle w:val="ListParagraph"/>
              <w:numPr>
                <w:ilvl w:val="0"/>
                <w:numId w:val="2"/>
              </w:numPr>
              <w:spacing w:after="40"/>
            </w:pPr>
            <w:r>
              <w:rPr>
                <w:b/>
                <w:bCs/>
                <w:sz w:val="19"/>
                <w:szCs w:val="19"/>
              </w:rPr>
              <w:t xml:space="preserve">Phishing, malware, ransomware, DDoS</w:t>
            </w:r>
            <w:r>
              <w:rPr>
                <w:sz w:val="19"/>
                <w:szCs w:val="19"/>
              </w:rPr>
              <w:t xml:space="preserve"> son </w:t>
            </w:r>
            <w:r>
              <w:rPr>
                <w:b/>
                <w:bCs/>
                <w:sz w:val="19"/>
                <w:szCs w:val="19"/>
              </w:rPr>
              <w:t xml:space="preserve">técnicas o herramientas</w:t>
            </w:r>
            <w:r>
              <w:rPr>
                <w:sz w:val="19"/>
                <w:szCs w:val="19"/>
              </w:rPr>
              <w:t xml:space="preserve">, no tipos penales. El tipo aplicable depende de la conducta: estafa informática, acceso ilícito, daños informáticos, descubrimiento de secretos…</w:t>
            </w:r>
          </w:p>
          <w:p>
            <w:pPr>
              <w:pStyle w:val="ListParagraph"/>
              <w:numPr>
                <w:ilvl w:val="0"/>
                <w:numId w:val="2"/>
              </w:numPr>
              <w:spacing w:after="40"/>
            </w:pPr>
            <w:r>
              <w:rPr>
                <w:b/>
                <w:bCs/>
                <w:sz w:val="19"/>
                <w:szCs w:val="19"/>
              </w:rPr>
              <w:t xml:space="preserve">Una vulnerabilidad no es un delito</w:t>
            </w:r>
            <w:r>
              <w:rPr>
                <w:sz w:val="19"/>
                <w:szCs w:val="19"/>
              </w:rPr>
              <w:t xml:space="preserve">; explotarla sin autorización puede serlo (art. 197 bis).</w:t>
            </w:r>
          </w:p>
        </w:tc>
      </w:tr>
    </w:tbl>
    <w:p>
      <w:pPr>
        <w:spacing w:after="120"/>
      </w:pPr>
    </w:p>
    <w:p>
      <w:pPr>
        <w:pStyle w:val="Heading1"/>
        <w:keepNext/>
        <w:spacing w:after="200" w:before="360"/>
      </w:pPr>
      <w:r>
        <w:t xml:space="preserve">19. El Código Penal y los delitos informáticos</w:t>
      </w:r>
    </w:p>
    <w:p>
      <w:pPr>
        <w:spacing w:after="120"/>
        <w:jc w:val="both"/>
      </w:pPr>
      <w:r>
        <w:rPr>
          <w:b/>
          <w:bCs/>
        </w:rPr>
        <w:t xml:space="preserve">LO 10/1995, de 23 de noviembre, del Código Penal</w:t>
      </w:r>
      <w:r>
        <w:t xml:space="preserve">, vigente con numerosas reformas. Las que más han afectado a este tema: </w:t>
      </w:r>
      <w:r>
        <w:rPr>
          <w:b/>
          <w:bCs/>
        </w:rPr>
        <w:t xml:space="preserve">LO 5/2010</w:t>
      </w:r>
      <w:r>
        <w:t xml:space="preserve"> (primer acceso ilícito y daños informáticos, 197.3 y 264), </w:t>
      </w:r>
      <w:r>
        <w:rPr>
          <w:b/>
          <w:bCs/>
        </w:rPr>
        <w:t xml:space="preserve">LO 1/2015</w:t>
      </w:r>
      <w:r>
        <w:t xml:space="preserve"> (transposición de la </w:t>
      </w:r>
      <w:r>
        <w:rPr>
          <w:b/>
          <w:bCs/>
        </w:rPr>
        <w:t xml:space="preserve">Directiva 2013/40/UE</w:t>
      </w:r>
      <w:r>
        <w:t xml:space="preserve"> relativa a los ataques contra los sistemas de información: arts. 197 bis-quinquies, 264-264 quater, 270-271), </w:t>
      </w:r>
      <w:r>
        <w:rPr>
          <w:b/>
          <w:bCs/>
        </w:rPr>
        <w:t xml:space="preserve">LO 10/2022</w:t>
      </w:r>
      <w:r>
        <w:t xml:space="preserve"> (garantía integral de la libertad sexual: renumeración de delitos contra menores y reforma de la difusión de imágenes íntimas) y </w:t>
      </w:r>
      <w:r>
        <w:rPr>
          <w:b/>
          <w:bCs/>
        </w:rPr>
        <w:t xml:space="preserve">LO 14/2022</w:t>
      </w:r>
      <w:r>
        <w:t xml:space="preserve"> (reorganiza la estafa: la </w:t>
      </w:r>
      <w:r>
        <w:rPr>
          <w:b/>
          <w:bCs/>
        </w:rPr>
        <w:t xml:space="preserve">estafa informática</w:t>
      </w:r>
      <w:r>
        <w:t xml:space="preserve"> pasa al </w:t>
      </w:r>
      <w:r>
        <w:rPr>
          <w:b/>
          <w:bCs/>
        </w:rPr>
        <w:t xml:space="preserve">art. 249</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686"/>
        <w:gridCol w:w="5543"/>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Bien jurídico / delito</w:t>
            </w:r>
          </w:p>
        </w:tc>
        <w:tc>
          <w:tcPr>
            <w:tcW w:type="dxa" w:w="168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Artículos CP</w:t>
            </w:r>
          </w:p>
        </w:tc>
        <w:tc>
          <w:tcPr>
            <w:tcW w:type="dxa" w:w="554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Conducta relacionada con TIC</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Descubrimiento y revelación de secretos</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197</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Apoderarse de mensajes de correo electrónico, interceptar telecomunicaciones; apoderarse, utilizar o modificar datos reservados en ficheros o soportes; difundir lo obtenido.</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Acceso ilícito a sistemas</w:t>
            </w:r>
          </w:p>
        </w:tc>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197 bis.1</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Acceder o facilitar el acceso a un sistema de información </w:t>
            </w:r>
            <w:r>
              <w:rPr>
                <w:sz w:val="18"/>
                <w:szCs w:val="18"/>
              </w:rPr>
              <w:t xml:space="preserve">vulnerando medidas de seguridad</w:t>
            </w:r>
            <w:r>
              <w:rPr>
                <w:sz w:val="18"/>
                <w:szCs w:val="18"/>
              </w:rPr>
              <w:t xml:space="preserve"> y sin autorización, o mantenerse contra la voluntad de quien tiene derecho a excluirlo.</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Interceptación de transmisiones</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197 bis.2</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Interceptar transmisiones </w:t>
            </w:r>
            <w:r>
              <w:rPr>
                <w:sz w:val="18"/>
                <w:szCs w:val="18"/>
              </w:rPr>
              <w:t xml:space="preserve">no públicas</w:t>
            </w:r>
            <w:r>
              <w:rPr>
                <w:sz w:val="18"/>
                <w:szCs w:val="18"/>
              </w:rPr>
              <w:t xml:space="preserve"> de datos informáticos (incluidas emisiones electromagnéticas).</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Herramientas y contraseñas</w:t>
            </w:r>
          </w:p>
        </w:tc>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197 ter</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Producir, adquirir, importar o facilitar programas o contraseñas/códigos de acceso con intención de cometer 197 o 197 bis.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Funcionario público</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198</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Autoridad o funcionario que, fuera de los casos permitidos y </w:t>
            </w:r>
            <w:r>
              <w:rPr>
                <w:sz w:val="18"/>
                <w:szCs w:val="18"/>
              </w:rPr>
              <w:t xml:space="preserve">prevaliéndose de su cargo</w:t>
            </w:r>
            <w:r>
              <w:rPr>
                <w:sz w:val="18"/>
                <w:szCs w:val="18"/>
              </w:rPr>
              <w:t xml:space="preserve">, realiza las conductas del 197: pena agravada (mitad superior) e inhabilitación.</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Revelación de secretos profesionales/laborales</w:t>
            </w:r>
          </w:p>
        </w:tc>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199</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Revelar secretos ajenos conocidos por razón del </w:t>
            </w:r>
            <w:r>
              <w:rPr>
                <w:sz w:val="18"/>
                <w:szCs w:val="18"/>
              </w:rPr>
              <w:t xml:space="preserve">oficio o relaciones laborales</w:t>
            </w:r>
            <w:r>
              <w:rPr>
                <w:sz w:val="18"/>
                <w:szCs w:val="18"/>
              </w:rPr>
              <w:t xml:space="preserve"> (199.1) o del </w:t>
            </w:r>
            <w:r>
              <w:rPr>
                <w:sz w:val="18"/>
                <w:szCs w:val="18"/>
              </w:rPr>
              <w:t xml:space="preserve">ejercicio profesional</w:t>
            </w:r>
            <w:r>
              <w:rPr>
                <w:sz w:val="18"/>
                <w:szCs w:val="18"/>
              </w:rPr>
              <w:t xml:space="preserve"> con incumplimiento del deber de sigilo (199.2, p. ej., profesionales sanitarios).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Daños informáticos</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264</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Borrar, dañar, deteriorar, alterar, suprimir o hacer inaccesibles datos informáticos, programas o documentos electrónicos ajenos, sin autorización y cuando el resultado sea </w:t>
            </w:r>
            <w:r>
              <w:rPr>
                <w:sz w:val="18"/>
                <w:szCs w:val="18"/>
              </w:rPr>
              <w:t xml:space="preserve">grave</w:t>
            </w:r>
            <w:r>
              <w:rPr>
                <w:sz w:val="18"/>
                <w:szCs w:val="18"/>
              </w:rPr>
              <w:t xml:space="preserve">.</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Obstaculización de sistemas</w:t>
            </w:r>
          </w:p>
        </w:tc>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264 bis</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Obstaculizar o interrumpir </w:t>
            </w:r>
            <w:r>
              <w:rPr>
                <w:sz w:val="18"/>
                <w:szCs w:val="18"/>
              </w:rPr>
              <w:t xml:space="preserve">gravemente</w:t>
            </w:r>
            <w:r>
              <w:rPr>
                <w:sz w:val="18"/>
                <w:szCs w:val="18"/>
              </w:rPr>
              <w:t xml:space="preserve"> el funcionamiento de un sistema informático ajeno (p. ej., DDoS, ransomware sobre la disponibilidad).</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Herramientas para daños</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264 ter</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Producir, adquirir o facilitar programas o contraseñas para cometer 264/264 bis.</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Personas jurídicas</w:t>
            </w:r>
          </w:p>
        </w:tc>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197 quinquies, 264 quater</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Responsabilidad penal de la persona jurídica.</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Estafa / fraude informático</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248-249 (tras LO 14/2022)</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Manipulación informática o artificio semejante para obtener una transferencia no consentida; uso fraudulento de tarjetas o instrumentos de pago; fabricación/posesión de programas destinados a estas estafas.</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Uso de terminales sin consentimiento</w:t>
            </w:r>
          </w:p>
        </w:tc>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256</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Utilizar un equipo terminal de telecomunicación sin consentimiento de su titular causando perjuicio económico.</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Secretos de empresa</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278-280</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Apoderamiento de datos, documentos o soportes para descubrir un secreto de empresa.</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Propiedad intelectual</w:t>
            </w:r>
          </w:p>
        </w:tc>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270-272</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Reproducir, plagiar, distribuir, comunicar públicamente obras sin autorización </w:t>
            </w:r>
            <w:r>
              <w:rPr>
                <w:sz w:val="18"/>
                <w:szCs w:val="18"/>
              </w:rPr>
              <w:t xml:space="preserve">con ánimo de obtener un beneficio económico directo o indirecto y en perjuicio de tercero</w:t>
            </w:r>
            <w:r>
              <w:rPr>
                <w:sz w:val="18"/>
                <w:szCs w:val="18"/>
              </w:rPr>
              <w:t xml:space="preserve">; webs de enlaces; elusión de medidas tecnológicas.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Falsedades</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390-400 (y 26: concepto de documento)</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Alteración de documentos electrónicos; el art. 26 CP considera documento </w:t>
            </w:r>
            <w:r>
              <w:rPr>
                <w:sz w:val="18"/>
                <w:szCs w:val="18"/>
              </w:rPr>
              <w:t xml:space="preserve">todo soporte material</w:t>
            </w:r>
            <w:r>
              <w:rPr>
                <w:sz w:val="18"/>
                <w:szCs w:val="18"/>
              </w:rPr>
              <w:t xml:space="preserve"> que exprese o incorpore datos con eficacia probatoria.</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Usurpación del estado civil</w:t>
            </w:r>
          </w:p>
        </w:tc>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401</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Suplantar la identidad de otro (la mera creación de un perfil falso no siempre encaja; puede aplicarse 172 ter.5 u otros).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Amenazas, coacciones, acoso</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169-172 ter</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Amenazas por mensajería; </w:t>
            </w:r>
            <w:r>
              <w:rPr>
                <w:sz w:val="18"/>
                <w:szCs w:val="18"/>
              </w:rPr>
              <w:t xml:space="preserve">acoso (stalking)</w:t>
            </w:r>
            <w:r>
              <w:rPr>
                <w:sz w:val="18"/>
                <w:szCs w:val="18"/>
              </w:rPr>
              <w:t xml:space="preserve"> reiterado, incluido el uso de la imagen de otro para crear anuncios o perfiles falsos (172 ter).</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Menores</w:t>
            </w:r>
          </w:p>
        </w:tc>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183, 189</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Contacto con menores de 16 años por medios tecnológicos con fines sexuales (</w:t>
            </w:r>
            <w:r>
              <w:rPr>
                <w:i/>
                <w:iCs/>
                <w:sz w:val="18"/>
                <w:szCs w:val="18"/>
              </w:rPr>
              <w:t xml:space="preserve">online child grooming</w:t>
            </w:r>
            <w:r>
              <w:rPr>
                <w:sz w:val="18"/>
                <w:szCs w:val="18"/>
              </w:rPr>
              <w:t xml:space="preserve">, art. 183 tras LO 10/2022; antes 183 ter); pornografía infantil (189).</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Discurso de odio</w:t>
            </w:r>
          </w:p>
        </w:tc>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510</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Incitación al odio, incluida la difusión por Internet (agravado).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4"/>
              <w:left w:val="single" w:color="BF8F00" w:sz="24"/>
              <w:bottom w:val="single" w:color="BF8F00" w:sz="4"/>
              <w:right w:val="single" w:color="BF8F00" w:sz="4"/>
            </w:tcBorders>
            <w:shd w:fill="FFF2CC" w:color="auto" w:val="clear"/>
            <w:tcMar>
              <w:top w:type="dxa" w:w="100"/>
              <w:left w:type="dxa" w:w="160"/>
              <w:bottom w:type="dxa" w:w="100"/>
              <w:right w:type="dxa" w:w="140"/>
            </w:tcMar>
          </w:tcPr>
          <w:p>
            <w:pPr>
              <w:spacing w:after="80"/>
            </w:pPr>
            <w:r>
              <w:rPr>
                <w:b/>
                <w:bCs/>
                <w:color w:val="BF8F00"/>
                <w:sz w:val="20"/>
                <w:szCs w:val="20"/>
              </w:rPr>
              <w:t xml:space="preserve">NOTA</w:t>
            </w:r>
          </w:p>
          <w:p>
            <w:pPr>
              <w:spacing w:after="60"/>
              <w:jc w:val="both"/>
            </w:pPr>
            <w:r>
              <w:rPr>
                <w:sz w:val="19"/>
                <w:szCs w:val="19"/>
              </w:rPr>
              <w:t xml:space="preserve">Perseguibilidad (art. 201 CP): los delitos del capítulo de descubrimiento y revelación de secretos requieren, en general, </w:t>
            </w:r>
            <w:r>
              <w:rPr>
                <w:b/>
                <w:bCs/>
                <w:sz w:val="19"/>
                <w:szCs w:val="19"/>
              </w:rPr>
              <w:t xml:space="preserve">denuncia de la persona agraviada</w:t>
            </w:r>
            <w:r>
              <w:rPr>
                <w:sz w:val="19"/>
                <w:szCs w:val="19"/>
              </w:rPr>
              <w:t xml:space="preserve"> o de su representante, salvo que afecten a intereses generales o a una pluralidad de personas, o que los cometa autoridad o funcionario (art. 198).</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B2C83" w:sz="4"/>
              <w:left w:val="single" w:color="5B2C83" w:sz="24"/>
              <w:bottom w:val="single" w:color="5B2C83" w:sz="4"/>
              <w:right w:val="single" w:color="5B2C83" w:sz="4"/>
            </w:tcBorders>
            <w:shd w:fill="EDE4F5" w:color="auto" w:val="clear"/>
            <w:tcMar>
              <w:top w:type="dxa" w:w="100"/>
              <w:left w:type="dxa" w:w="160"/>
              <w:bottom w:type="dxa" w:w="100"/>
              <w:right w:type="dxa" w:w="140"/>
            </w:tcMar>
          </w:tcPr>
          <w:p>
            <w:pPr>
              <w:spacing w:after="80"/>
            </w:pPr>
            <w:r>
              <w:rPr>
                <w:b/>
                <w:bCs/>
                <w:color w:val="5B2C83"/>
                <w:sz w:val="20"/>
                <w:szCs w:val="20"/>
              </w:rPr>
              <w:t xml:space="preserve">NORMATIVA HISTÓRICA / VIGENCIA</w:t>
            </w:r>
          </w:p>
          <w:p>
            <w:pPr>
              <w:spacing w:after="60"/>
              <w:jc w:val="both"/>
            </w:pPr>
            <w:r>
              <w:rPr>
                <w:b/>
                <w:bCs/>
                <w:sz w:val="19"/>
                <w:szCs w:val="19"/>
              </w:rPr>
              <w:t xml:space="preserve">Fraude informático</w:t>
            </w:r>
            <w:r>
              <w:rPr>
                <w:sz w:val="19"/>
                <w:szCs w:val="19"/>
              </w:rPr>
              <w:t xml:space="preserve">: hasta la </w:t>
            </w:r>
            <w:r>
              <w:rPr>
                <w:b/>
                <w:bCs/>
                <w:sz w:val="19"/>
                <w:szCs w:val="19"/>
              </w:rPr>
              <w:t xml:space="preserve">LO 14/2022</w:t>
            </w:r>
            <w:r>
              <w:rPr>
                <w:sz w:val="19"/>
                <w:szCs w:val="19"/>
              </w:rPr>
              <w:t xml:space="preserve"> estaba en el </w:t>
            </w:r>
            <w:r>
              <w:rPr>
                <w:b/>
                <w:bCs/>
                <w:sz w:val="19"/>
                <w:szCs w:val="19"/>
              </w:rPr>
              <w:t xml:space="preserve">art. 248.2 CP</w:t>
            </w:r>
            <w:r>
              <w:rPr>
                <w:sz w:val="19"/>
                <w:szCs w:val="19"/>
              </w:rPr>
              <w:t xml:space="preserve">; ahora está en el </w:t>
            </w:r>
            <w:r>
              <w:rPr>
                <w:b/>
                <w:bCs/>
                <w:sz w:val="19"/>
                <w:szCs w:val="19"/>
              </w:rPr>
              <w:t xml:space="preserve">art. 249</w:t>
            </w:r>
            <w:r>
              <w:rPr>
                <w:sz w:val="19"/>
                <w:szCs w:val="19"/>
              </w:rPr>
              <w:t xml:space="preserve">. Preguntas antiguas que citen el 248.2 deben leerse con esa correspondencia.</w:t>
            </w:r>
          </w:p>
          <w:p>
            <w:pPr>
              <w:spacing w:after="60"/>
              <w:jc w:val="both"/>
            </w:pPr>
            <w:r>
              <w:rPr>
                <w:b/>
                <w:bCs/>
                <w:sz w:val="19"/>
                <w:szCs w:val="19"/>
              </w:rPr>
              <w:t xml:space="preserve">Grooming</w:t>
            </w:r>
            <w:r>
              <w:rPr>
                <w:sz w:val="19"/>
                <w:szCs w:val="19"/>
              </w:rPr>
              <w:t xml:space="preserve">: era el </w:t>
            </w:r>
            <w:r>
              <w:rPr>
                <w:b/>
                <w:bCs/>
                <w:sz w:val="19"/>
                <w:szCs w:val="19"/>
              </w:rPr>
              <w:t xml:space="preserve">art. 183 ter</w:t>
            </w:r>
            <w:r>
              <w:rPr>
                <w:sz w:val="19"/>
                <w:szCs w:val="19"/>
              </w:rPr>
              <w:t xml:space="preserve">; tras la </w:t>
            </w:r>
            <w:r>
              <w:rPr>
                <w:b/>
                <w:bCs/>
                <w:sz w:val="19"/>
                <w:szCs w:val="19"/>
              </w:rPr>
              <w:t xml:space="preserve">LO 10/2022</w:t>
            </w:r>
            <w:r>
              <w:rPr>
                <w:sz w:val="19"/>
                <w:szCs w:val="19"/>
              </w:rPr>
              <w:t xml:space="preserve"> es el </w:t>
            </w:r>
            <w:r>
              <w:rPr>
                <w:b/>
                <w:bCs/>
                <w:sz w:val="19"/>
                <w:szCs w:val="19"/>
              </w:rPr>
              <w:t xml:space="preserve">art. 183</w:t>
            </w:r>
            <w:r>
              <w:rPr>
                <w:sz w:val="19"/>
                <w:szCs w:val="19"/>
              </w:rPr>
              <w:t xml:space="preserve">.</w:t>
            </w:r>
          </w:p>
          <w:p>
            <w:pPr>
              <w:spacing w:after="60"/>
              <w:jc w:val="both"/>
            </w:pPr>
            <w:r>
              <w:rPr>
                <w:b/>
                <w:bCs/>
                <w:sz w:val="19"/>
                <w:szCs w:val="19"/>
              </w:rPr>
              <w:t xml:space="preserve">Acceso ilícito</w:t>
            </w:r>
            <w:r>
              <w:rPr>
                <w:sz w:val="19"/>
                <w:szCs w:val="19"/>
              </w:rPr>
              <w:t xml:space="preserve">: antes de 2015 estaba en el art. 197.3 (redacción LO 5/2010); desde la LO 1/2015, </w:t>
            </w:r>
            <w:r>
              <w:rPr>
                <w:b/>
                <w:bCs/>
                <w:sz w:val="19"/>
                <w:szCs w:val="19"/>
              </w:rPr>
              <w:t xml:space="preserve">art. 197 bis</w:t>
            </w:r>
            <w:r>
              <w:rPr>
                <w:sz w:val="19"/>
                <w:szCs w:val="19"/>
              </w:rPr>
              <w:t xml:space="preserve">.</w:t>
            </w:r>
          </w:p>
        </w:tc>
      </w:tr>
    </w:tbl>
    <w:p>
      <w:pPr>
        <w:spacing w:after="120"/>
      </w:pPr>
    </w:p>
    <w:p>
      <w:pPr>
        <w:pStyle w:val="Heading1"/>
        <w:keepNext/>
        <w:spacing w:after="200" w:before="360"/>
      </w:pPr>
      <w:r>
        <w:t xml:space="preserve">20. Delitos contra la intimidad</w:t>
      </w:r>
    </w:p>
    <w:p>
      <w:pPr>
        <w:spacing w:after="120"/>
        <w:jc w:val="both"/>
      </w:pPr>
      <w:r>
        <w:t xml:space="preserve">Capítulo I del Título X del Libro II («Del descubrimiento y revelación de secretos», arts. 197-201). Protegen la </w:t>
      </w:r>
      <w:r>
        <w:rPr>
          <w:b/>
          <w:bCs/>
        </w:rPr>
        <w:t xml:space="preserve">intimidad</w:t>
      </w:r>
      <w:r>
        <w:t xml:space="preserve"> y, en los tipos del 197 bis, la </w:t>
      </w:r>
      <w:r>
        <w:rPr>
          <w:b/>
          <w:bCs/>
        </w:rPr>
        <w:t xml:space="preserve">seguridad de los sistemas</w:t>
      </w:r>
      <w:r>
        <w:t xml:space="preserve"> como bien jurídico instrumental.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78"/>
        <w:gridCol w:w="1204"/>
        <w:gridCol w:w="3856"/>
      </w:tblGrid>
      <w:tr>
        <w:trPr>
          <w:tblHeader/>
        </w:trPr>
        <w:tc>
          <w:tcPr>
            <w:tcW w:type="dxa" w:w="457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Conducta</w:t>
            </w:r>
          </w:p>
        </w:tc>
        <w:tc>
          <w:tcPr>
            <w:tcW w:type="dxa" w:w="120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Precepto</w:t>
            </w:r>
          </w:p>
        </w:tc>
        <w:tc>
          <w:tcPr>
            <w:tcW w:type="dxa" w:w="385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Matiz</w:t>
            </w:r>
          </w:p>
        </w:tc>
      </w:tr>
      <w:tr>
        <w:trPr>
          <w:cantSplit/>
        </w:trPr>
        <w:tc>
          <w:tcPr>
            <w:tcW w:type="dxa" w:w="4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Apoderamiento de papeles, cartas, </w:t>
            </w:r>
            <w:r>
              <w:rPr>
                <w:sz w:val="18"/>
                <w:szCs w:val="18"/>
              </w:rPr>
              <w:t xml:space="preserve">mensajes de correo electrónico</w:t>
            </w:r>
            <w:r>
              <w:rPr>
                <w:sz w:val="18"/>
                <w:szCs w:val="18"/>
              </w:rPr>
              <w:t xml:space="preserve">, documentos o efectos personales; </w:t>
            </w:r>
            <w:r>
              <w:rPr>
                <w:sz w:val="18"/>
                <w:szCs w:val="18"/>
              </w:rPr>
              <w:t xml:space="preserve">interceptación</w:t>
            </w:r>
            <w:r>
              <w:rPr>
                <w:sz w:val="18"/>
                <w:szCs w:val="18"/>
              </w:rPr>
              <w:t xml:space="preserve"> de telecomunicaciones; uso de artificios de escucha o grabación</w:t>
            </w:r>
          </w:p>
        </w:tc>
        <w:tc>
          <w:tcPr>
            <w:tcW w:type="dxa" w:w="12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197.1</w:t>
            </w:r>
          </w:p>
        </w:tc>
        <w:tc>
          <w:tcPr>
            <w:tcW w:type="dxa" w:w="38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Exige finalidad de </w:t>
            </w:r>
            <w:r>
              <w:rPr>
                <w:sz w:val="18"/>
                <w:szCs w:val="18"/>
              </w:rPr>
              <w:t xml:space="preserve">descubrir secretos o vulnerar la intimidad</w:t>
            </w:r>
            <w:r>
              <w:rPr>
                <w:sz w:val="18"/>
                <w:szCs w:val="18"/>
              </w:rPr>
              <w:t xml:space="preserve"> sin consentimiento.</w:t>
            </w:r>
          </w:p>
        </w:tc>
      </w:tr>
      <w:tr>
        <w:trPr>
          <w:cantSplit/>
        </w:trPr>
        <w:tc>
          <w:tcPr>
            <w:tcW w:type="dxa" w:w="45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Apoderamiento, utilización o modificación</w:t>
            </w:r>
            <w:r>
              <w:rPr>
                <w:sz w:val="18"/>
                <w:szCs w:val="18"/>
              </w:rPr>
              <w:t xml:space="preserve"> de datos reservados de carácter personal o familiar registrados en ficheros o soportes informáticos; </w:t>
            </w:r>
            <w:r>
              <w:rPr>
                <w:sz w:val="18"/>
                <w:szCs w:val="18"/>
              </w:rPr>
              <w:t xml:space="preserve">acceso</w:t>
            </w:r>
            <w:r>
              <w:rPr>
                <w:sz w:val="18"/>
                <w:szCs w:val="18"/>
              </w:rPr>
              <w:t xml:space="preserve"> por cualquier medio y alteración o utilización en perjuicio</w:t>
            </w:r>
          </w:p>
        </w:tc>
        <w:tc>
          <w:tcPr>
            <w:tcW w:type="dxa" w:w="12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197.2</w:t>
            </w:r>
          </w:p>
        </w:tc>
        <w:tc>
          <w:tcPr>
            <w:tcW w:type="dxa" w:w="385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Protege los </w:t>
            </w:r>
            <w:r>
              <w:rPr>
                <w:sz w:val="18"/>
                <w:szCs w:val="18"/>
              </w:rPr>
              <w:t xml:space="preserve">datos personales reservados</w:t>
            </w:r>
            <w:r>
              <w:rPr>
                <w:sz w:val="18"/>
                <w:szCs w:val="18"/>
              </w:rPr>
              <w:t xml:space="preserve"> en ficheros (típico en sistemas corporativos).</w:t>
            </w:r>
          </w:p>
        </w:tc>
      </w:tr>
      <w:tr>
        <w:trPr>
          <w:cantSplit/>
        </w:trPr>
        <w:tc>
          <w:tcPr>
            <w:tcW w:type="dxa" w:w="4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Difusión</w:t>
            </w:r>
            <w:r>
              <w:rPr>
                <w:sz w:val="18"/>
                <w:szCs w:val="18"/>
              </w:rPr>
              <w:t xml:space="preserve">, revelación o cesión a terceros de lo descubierto</w:t>
            </w:r>
          </w:p>
        </w:tc>
        <w:tc>
          <w:tcPr>
            <w:tcW w:type="dxa" w:w="12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197.3</w:t>
            </w:r>
          </w:p>
        </w:tc>
        <w:tc>
          <w:tcPr>
            <w:tcW w:type="dxa" w:w="38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Pena superior; también quien, sin haber participado en el descubrimiento y conociendo su origen ilícito, difunde.</w:t>
            </w:r>
          </w:p>
        </w:tc>
      </w:tr>
      <w:tr>
        <w:trPr>
          <w:cantSplit/>
        </w:trPr>
        <w:tc>
          <w:tcPr>
            <w:tcW w:type="dxa" w:w="45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Hechos cometidos por </w:t>
            </w:r>
            <w:r>
              <w:rPr>
                <w:sz w:val="18"/>
                <w:szCs w:val="18"/>
              </w:rPr>
              <w:t xml:space="preserve">responsables o encargados</w:t>
            </w:r>
            <w:r>
              <w:rPr>
                <w:sz w:val="18"/>
                <w:szCs w:val="18"/>
              </w:rPr>
              <w:t xml:space="preserve"> de los ficheros o mediante uso no autorizado de datos personales de la víctima</w:t>
            </w:r>
          </w:p>
        </w:tc>
        <w:tc>
          <w:tcPr>
            <w:tcW w:type="dxa" w:w="12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197.4</w:t>
            </w:r>
          </w:p>
        </w:tc>
        <w:tc>
          <w:tcPr>
            <w:tcW w:type="dxa" w:w="385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Agravación.</w:t>
            </w:r>
          </w:p>
        </w:tc>
      </w:tr>
      <w:tr>
        <w:trPr>
          <w:cantSplit/>
        </w:trPr>
        <w:tc>
          <w:tcPr>
            <w:tcW w:type="dxa" w:w="4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Datos de </w:t>
            </w:r>
            <w:r>
              <w:rPr>
                <w:sz w:val="18"/>
                <w:szCs w:val="18"/>
              </w:rPr>
              <w:t xml:space="preserve">especial protección</w:t>
            </w:r>
            <w:r>
              <w:rPr>
                <w:sz w:val="18"/>
                <w:szCs w:val="18"/>
              </w:rPr>
              <w:t xml:space="preserve"> (ideología, religión, creencias, </w:t>
            </w:r>
            <w:r>
              <w:rPr>
                <w:sz w:val="18"/>
                <w:szCs w:val="18"/>
              </w:rPr>
              <w:t xml:space="preserve">salud</w:t>
            </w:r>
            <w:r>
              <w:rPr>
                <w:sz w:val="18"/>
                <w:szCs w:val="18"/>
              </w:rPr>
              <w:t xml:space="preserve">, origen racial, vida sexual) o víctima menor/persona con discapacidad</w:t>
            </w:r>
          </w:p>
        </w:tc>
        <w:tc>
          <w:tcPr>
            <w:tcW w:type="dxa" w:w="12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197.5</w:t>
            </w:r>
          </w:p>
        </w:tc>
        <w:tc>
          <w:tcPr>
            <w:tcW w:type="dxa" w:w="38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Pena en su </w:t>
            </w:r>
            <w:r>
              <w:rPr>
                <w:sz w:val="18"/>
                <w:szCs w:val="18"/>
              </w:rPr>
              <w:t xml:space="preserve">mitad superior</w:t>
            </w:r>
            <w:r>
              <w:rPr>
                <w:sz w:val="18"/>
                <w:szCs w:val="18"/>
              </w:rPr>
              <w:t xml:space="preserve">. Muy relevante en el SAS.</w:t>
            </w:r>
          </w:p>
        </w:tc>
      </w:tr>
      <w:tr>
        <w:trPr>
          <w:cantSplit/>
        </w:trPr>
        <w:tc>
          <w:tcPr>
            <w:tcW w:type="dxa" w:w="45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Fines lucrativos</w:t>
            </w:r>
          </w:p>
        </w:tc>
        <w:tc>
          <w:tcPr>
            <w:tcW w:type="dxa" w:w="12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197.6</w:t>
            </w:r>
          </w:p>
        </w:tc>
        <w:tc>
          <w:tcPr>
            <w:tcW w:type="dxa" w:w="385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Agravación.</w:t>
            </w:r>
          </w:p>
        </w:tc>
      </w:tr>
      <w:tr>
        <w:trPr>
          <w:cantSplit/>
        </w:trPr>
        <w:tc>
          <w:tcPr>
            <w:tcW w:type="dxa" w:w="4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Difusión de imágenes o grabaciones íntimas</w:t>
            </w:r>
            <w:r>
              <w:rPr>
                <w:sz w:val="18"/>
                <w:szCs w:val="18"/>
              </w:rPr>
              <w:t xml:space="preserve"> obtenidas </w:t>
            </w:r>
            <w:r>
              <w:rPr>
                <w:sz w:val="18"/>
                <w:szCs w:val="18"/>
              </w:rPr>
              <w:t xml:space="preserve">con consentimiento</w:t>
            </w:r>
            <w:r>
              <w:rPr>
                <w:sz w:val="18"/>
                <w:szCs w:val="18"/>
              </w:rPr>
              <w:t xml:space="preserve"> en ámbito privado, sin autorización, cuando menoscabe gravemente la intimidad</w:t>
            </w:r>
          </w:p>
        </w:tc>
        <w:tc>
          <w:tcPr>
            <w:tcW w:type="dxa" w:w="12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197.7</w:t>
            </w:r>
          </w:p>
        </w:tc>
        <w:tc>
          <w:tcPr>
            <w:tcW w:type="dxa" w:w="38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La LO 10/2022 amplió la punición a quien, habiéndolas recibido, las </w:t>
            </w:r>
            <w:r>
              <w:rPr>
                <w:sz w:val="18"/>
                <w:szCs w:val="18"/>
              </w:rPr>
              <w:t xml:space="preserve">reenvía</w:t>
            </w:r>
            <w:r>
              <w:rPr>
                <w:sz w:val="18"/>
                <w:szCs w:val="18"/>
              </w:rPr>
              <w:t xml:space="preserve">.</w:t>
            </w:r>
          </w:p>
        </w:tc>
      </w:tr>
      <w:tr>
        <w:trPr>
          <w:cantSplit/>
        </w:trPr>
        <w:tc>
          <w:tcPr>
            <w:tcW w:type="dxa" w:w="45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Acceso</w:t>
            </w:r>
            <w:r>
              <w:rPr>
                <w:sz w:val="18"/>
                <w:szCs w:val="18"/>
              </w:rPr>
              <w:t xml:space="preserve"> ilícito a sistemas / </w:t>
            </w:r>
            <w:r>
              <w:rPr>
                <w:sz w:val="18"/>
                <w:szCs w:val="18"/>
              </w:rPr>
              <w:t xml:space="preserve">interceptación</w:t>
            </w:r>
            <w:r>
              <w:rPr>
                <w:sz w:val="18"/>
                <w:szCs w:val="18"/>
              </w:rPr>
              <w:t xml:space="preserve"> de transmisiones no públicas</w:t>
            </w:r>
          </w:p>
        </w:tc>
        <w:tc>
          <w:tcPr>
            <w:tcW w:type="dxa" w:w="120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197 bis</w:t>
            </w:r>
          </w:p>
        </w:tc>
        <w:tc>
          <w:tcPr>
            <w:tcW w:type="dxa" w:w="385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 exige apoderarse de datos: basta el acceso vulnerando medidas de seguridad.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3614"/>
        <w:gridCol w:w="4338"/>
      </w:tblGrid>
      <w:tr>
        <w:trPr>
          <w:tblHeader/>
        </w:trPr>
        <w:tc>
          <w:tcPr>
            <w:tcW w:type="dxa" w:w="168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Acción</w:t>
            </w:r>
          </w:p>
        </w:tc>
        <w:tc>
          <w:tcPr>
            <w:tcW w:type="dxa" w:w="361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Qué significa</w:t>
            </w:r>
          </w:p>
        </w:tc>
        <w:tc>
          <w:tcPr>
            <w:tcW w:type="dxa" w:w="433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Ejemplo sanitario</w:t>
            </w:r>
          </w:p>
        </w:tc>
      </w:tr>
      <w:tr>
        <w:trPr>
          <w:cantSplit/>
        </w:trPr>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Acceso</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Entrar en el sistema o en los datos.</w:t>
            </w:r>
          </w:p>
        </w:tc>
        <w:tc>
          <w:tcPr>
            <w:tcW w:type="dxa" w:w="43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Consultar sin motivo asistencial la historia clínica de un vecino.</w:t>
            </w:r>
          </w:p>
        </w:tc>
      </w:tr>
      <w:tr>
        <w:trPr>
          <w:cantSplit/>
        </w:trPr>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Apoderamiento</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Hacerse con los datos (copiar, capturar, descargar).</w:t>
            </w:r>
          </w:p>
        </w:tc>
        <w:tc>
          <w:tcPr>
            <w:tcW w:type="dxa" w:w="4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Exportar a un USB listados de pacientes.</w:t>
            </w:r>
          </w:p>
        </w:tc>
      </w:tr>
      <w:tr>
        <w:trPr>
          <w:cantSplit/>
        </w:trPr>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Utilización</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Emplear los datos para un fin no legítimo.</w:t>
            </w:r>
          </w:p>
        </w:tc>
        <w:tc>
          <w:tcPr>
            <w:tcW w:type="dxa" w:w="43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Usar datos clínicos para chantajear.</w:t>
            </w:r>
          </w:p>
        </w:tc>
      </w:tr>
      <w:tr>
        <w:trPr>
          <w:cantSplit/>
        </w:trPr>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Difusión / revelación</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Comunicarlos a terceros o al público.</w:t>
            </w:r>
          </w:p>
        </w:tc>
        <w:tc>
          <w:tcPr>
            <w:tcW w:type="dxa" w:w="433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Publicar en redes el diagnóstico de un famoso.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75623" w:sz="4"/>
              <w:left w:val="single" w:color="375623" w:sz="24"/>
              <w:bottom w:val="single" w:color="375623" w:sz="4"/>
              <w:right w:val="single" w:color="375623" w:sz="4"/>
            </w:tcBorders>
            <w:shd w:fill="E2EFDA" w:color="auto" w:val="clear"/>
            <w:tcMar>
              <w:top w:type="dxa" w:w="100"/>
              <w:left w:type="dxa" w:w="160"/>
              <w:bottom w:type="dxa" w:w="100"/>
              <w:right w:type="dxa" w:w="140"/>
            </w:tcMar>
          </w:tcPr>
          <w:p>
            <w:pPr>
              <w:spacing w:after="80"/>
            </w:pPr>
            <w:r>
              <w:rPr>
                <w:b/>
                <w:bCs/>
                <w:color w:val="375623"/>
                <w:sz w:val="20"/>
                <w:szCs w:val="20"/>
              </w:rPr>
              <w:t xml:space="preserve">EJEMPLO EN EL ÁMBITO SANITARIO / AP</w:t>
            </w:r>
          </w:p>
          <w:p>
            <w:pPr>
              <w:spacing w:after="60"/>
              <w:jc w:val="both"/>
            </w:pPr>
            <w:r>
              <w:rPr>
                <w:sz w:val="19"/>
                <w:szCs w:val="19"/>
              </w:rPr>
              <w:t xml:space="preserve">Los accesos indebidos a la historia clínica por profesionales pueden dar lugar a responsabilidad </w:t>
            </w:r>
            <w:r>
              <w:rPr>
                <w:b/>
                <w:bCs/>
                <w:sz w:val="19"/>
                <w:szCs w:val="19"/>
              </w:rPr>
              <w:t xml:space="preserve">disciplinaria</w:t>
            </w:r>
            <w:r>
              <w:rPr>
                <w:sz w:val="19"/>
                <w:szCs w:val="19"/>
              </w:rPr>
              <w:t xml:space="preserve">, </w:t>
            </w:r>
            <w:r>
              <w:rPr>
                <w:b/>
                <w:bCs/>
                <w:sz w:val="19"/>
                <w:szCs w:val="19"/>
              </w:rPr>
              <w:t xml:space="preserve">administrativa</w:t>
            </w:r>
            <w:r>
              <w:rPr>
                <w:sz w:val="19"/>
                <w:szCs w:val="19"/>
              </w:rPr>
              <w:t xml:space="preserve"> (RGPD/LOPDGDD, frente al responsable del tratamiento) y </w:t>
            </w:r>
            <w:r>
              <w:rPr>
                <w:b/>
                <w:bCs/>
                <w:sz w:val="19"/>
                <w:szCs w:val="19"/>
              </w:rPr>
              <w:t xml:space="preserve">penal</w:t>
            </w:r>
            <w:r>
              <w:rPr>
                <w:sz w:val="19"/>
                <w:szCs w:val="19"/>
              </w:rPr>
              <w:t xml:space="preserve"> (arts. 197.2 y 197.5, y 198 si es funcionario prevaliéndose del cargo; 199 si revela secretos conocidos por su profesión). La </w:t>
            </w:r>
            <w:r>
              <w:rPr>
                <w:b/>
                <w:bCs/>
                <w:sz w:val="19"/>
                <w:szCs w:val="19"/>
              </w:rPr>
              <w:t xml:space="preserve">trazabilidad de accesos (logs)</w:t>
            </w:r>
            <w:r>
              <w:rPr>
                <w:sz w:val="19"/>
                <w:szCs w:val="19"/>
              </w:rPr>
              <w:t xml:space="preserve"> es la principal prueba.</w:t>
            </w:r>
          </w:p>
        </w:tc>
      </w:tr>
    </w:tbl>
    <w:p>
      <w:pPr>
        <w:spacing w:after="120"/>
      </w:pPr>
    </w:p>
    <w:p>
      <w:pPr>
        <w:pStyle w:val="Heading1"/>
        <w:keepNext/>
        <w:spacing w:after="200" w:before="360"/>
      </w:pPr>
      <w:r>
        <w:t xml:space="preserve">21. Daños informáticos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963"/>
        <w:gridCol w:w="4578"/>
        <w:gridCol w:w="2411"/>
      </w:tblGrid>
      <w:tr>
        <w:trPr>
          <w:tblHeader/>
        </w:trPr>
        <w:tc>
          <w:tcPr>
            <w:tcW w:type="dxa" w:w="168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Tipo</w:t>
            </w:r>
          </w:p>
        </w:tc>
        <w:tc>
          <w:tcPr>
            <w:tcW w:type="dxa" w:w="96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Art.</w:t>
            </w:r>
          </w:p>
        </w:tc>
        <w:tc>
          <w:tcPr>
            <w:tcW w:type="dxa" w:w="457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Conducta</w:t>
            </w:r>
          </w:p>
        </w:tc>
        <w:tc>
          <w:tcPr>
            <w:tcW w:type="dxa" w:w="2411"/>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Relación técnica</w:t>
            </w:r>
          </w:p>
        </w:tc>
      </w:tr>
      <w:tr>
        <w:trPr>
          <w:cantSplit/>
        </w:trPr>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Daños sobre datos</w:t>
            </w:r>
          </w:p>
        </w:tc>
        <w:tc>
          <w:tcPr>
            <w:tcW w:type="dxa" w:w="96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264.1</w:t>
            </w:r>
          </w:p>
        </w:tc>
        <w:tc>
          <w:tcPr>
            <w:tcW w:type="dxa" w:w="4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Por cualquier medio, sin autorización y de manera grave, </w:t>
            </w:r>
            <w:r>
              <w:rPr>
                <w:sz w:val="18"/>
                <w:szCs w:val="18"/>
              </w:rPr>
              <w:t xml:space="preserve">borrar, dañar, deteriorar, alterar, suprimir o hacer inaccesibles</w:t>
            </w:r>
            <w:r>
              <w:rPr>
                <w:sz w:val="18"/>
                <w:szCs w:val="18"/>
              </w:rPr>
              <w:t xml:space="preserve"> datos informáticos, programas o documentos electrónicos ajenos, cuando el resultado sea grave.</w:t>
            </w:r>
          </w:p>
        </w:tc>
        <w:tc>
          <w:tcPr>
            <w:tcW w:type="dxa" w:w="24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Borrado de bases de datos, cifrado por </w:t>
            </w:r>
            <w:r>
              <w:rPr>
                <w:sz w:val="18"/>
                <w:szCs w:val="18"/>
              </w:rPr>
              <w:t xml:space="preserve">ransomware</w:t>
            </w:r>
            <w:r>
              <w:rPr>
                <w:sz w:val="18"/>
                <w:szCs w:val="18"/>
              </w:rPr>
              <w:t xml:space="preserve">, </w:t>
            </w:r>
            <w:r>
              <w:rPr>
                <w:i/>
                <w:iCs/>
                <w:sz w:val="18"/>
                <w:szCs w:val="18"/>
              </w:rPr>
              <w:t xml:space="preserve">wipers</w:t>
            </w:r>
            <w:r>
              <w:rPr>
                <w:sz w:val="18"/>
                <w:szCs w:val="18"/>
              </w:rPr>
              <w:t xml:space="preserve">.</w:t>
            </w:r>
          </w:p>
        </w:tc>
      </w:tr>
      <w:tr>
        <w:trPr>
          <w:cantSplit/>
        </w:trPr>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Agravados</w:t>
            </w:r>
          </w:p>
        </w:tc>
        <w:tc>
          <w:tcPr>
            <w:tcW w:type="dxa" w:w="96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264.2-3</w:t>
            </w:r>
          </w:p>
        </w:tc>
        <w:tc>
          <w:tcPr>
            <w:tcW w:type="dxa" w:w="45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Organización criminal, perjuicios de especial gravedad o afectación a </w:t>
            </w:r>
            <w:r>
              <w:rPr>
                <w:sz w:val="18"/>
                <w:szCs w:val="18"/>
              </w:rPr>
              <w:t xml:space="preserve">infraestructuras críticas</w:t>
            </w:r>
            <w:r>
              <w:rPr>
                <w:sz w:val="18"/>
                <w:szCs w:val="18"/>
              </w:rPr>
              <w:t xml:space="preserve"> o servicios esenciales; uso ilícito de datos personales de otro para ganarse la confianza de un tercero.</w:t>
            </w:r>
          </w:p>
        </w:tc>
        <w:tc>
          <w:tcPr>
            <w:tcW w:type="dxa" w:w="24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Ataque a un hospital.</w:t>
            </w:r>
          </w:p>
        </w:tc>
      </w:tr>
      <w:tr>
        <w:trPr>
          <w:cantSplit/>
        </w:trPr>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Obstaculización de sistemas</w:t>
            </w:r>
          </w:p>
        </w:tc>
        <w:tc>
          <w:tcPr>
            <w:tcW w:type="dxa" w:w="96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264 bis</w:t>
            </w:r>
          </w:p>
        </w:tc>
        <w:tc>
          <w:tcPr>
            <w:tcW w:type="dxa" w:w="4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Obstaculizar o interrumpir gravemente el funcionamiento de un sistema ajeno introduciendo, transmitiendo, dañando, borrando, alterando o haciendo inaccesibles datos, o destruyendo/dañando el sistema.</w:t>
            </w:r>
          </w:p>
        </w:tc>
        <w:tc>
          <w:tcPr>
            <w:tcW w:type="dxa" w:w="24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DDoS</w:t>
            </w:r>
            <w:r>
              <w:rPr>
                <w:sz w:val="18"/>
                <w:szCs w:val="18"/>
              </w:rPr>
              <w:t xml:space="preserve">, saturación, sabotaje.</w:t>
            </w:r>
          </w:p>
        </w:tc>
      </w:tr>
      <w:tr>
        <w:trPr>
          <w:cantSplit/>
        </w:trPr>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Herramientas</w:t>
            </w:r>
          </w:p>
        </w:tc>
        <w:tc>
          <w:tcPr>
            <w:tcW w:type="dxa" w:w="96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264 ter</w:t>
            </w:r>
          </w:p>
        </w:tc>
        <w:tc>
          <w:tcPr>
            <w:tcW w:type="dxa" w:w="457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Producir, adquirir para su uso, importar o facilitar a terceros programas concebidos o adaptados para cometer estos delitos, o contraseñas/códigos de acceso.</w:t>
            </w:r>
          </w:p>
        </w:tc>
        <w:tc>
          <w:tcPr>
            <w:tcW w:type="dxa" w:w="241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Kits de malware, botnets de alquiler.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DEEAF6" w:color="auto" w:val="clear"/>
            <w:tcMar>
              <w:top w:type="dxa" w:w="100"/>
              <w:left w:type="dxa" w:w="160"/>
              <w:bottom w:type="dxa" w:w="100"/>
              <w:right w:type="dxa" w:w="140"/>
            </w:tcMar>
          </w:tcPr>
          <w:p>
            <w:pPr>
              <w:spacing w:after="80"/>
            </w:pPr>
            <w:r>
              <w:rPr>
                <w:b/>
                <w:bCs/>
                <w:color w:val="2E75B6"/>
                <w:sz w:val="20"/>
                <w:szCs w:val="20"/>
              </w:rPr>
              <w:t xml:space="preserve">CLAVE PARA EL EXAMEN</w:t>
            </w:r>
          </w:p>
          <w:p>
            <w:pPr>
              <w:spacing w:after="60"/>
              <w:jc w:val="both"/>
            </w:pPr>
            <w:r>
              <w:rPr>
                <w:b/>
                <w:bCs/>
                <w:sz w:val="19"/>
                <w:szCs w:val="19"/>
              </w:rPr>
              <w:t xml:space="preserve">Daño informático ≠ acceso ilícito</w:t>
            </w:r>
            <w:r>
              <w:rPr>
                <w:sz w:val="19"/>
                <w:szCs w:val="19"/>
              </w:rPr>
              <w:t xml:space="preserve">. El </w:t>
            </w:r>
            <w:r>
              <w:rPr>
                <w:b/>
                <w:bCs/>
                <w:sz w:val="19"/>
                <w:szCs w:val="19"/>
              </w:rPr>
              <w:t xml:space="preserve">197 bis</w:t>
            </w:r>
            <w:r>
              <w:rPr>
                <w:sz w:val="19"/>
                <w:szCs w:val="19"/>
              </w:rPr>
              <w:t xml:space="preserve"> castiga </w:t>
            </w:r>
            <w:r>
              <w:rPr>
                <w:b/>
                <w:bCs/>
                <w:sz w:val="19"/>
                <w:szCs w:val="19"/>
              </w:rPr>
              <w:t xml:space="preserve">entrar</w:t>
            </w:r>
            <w:r>
              <w:rPr>
                <w:sz w:val="19"/>
                <w:szCs w:val="19"/>
              </w:rPr>
              <w:t xml:space="preserve"> (afecta a la confidencialidad); el </w:t>
            </w:r>
            <w:r>
              <w:rPr>
                <w:b/>
                <w:bCs/>
                <w:sz w:val="19"/>
                <w:szCs w:val="19"/>
              </w:rPr>
              <w:t xml:space="preserve">264</w:t>
            </w:r>
            <w:r>
              <w:rPr>
                <w:sz w:val="19"/>
                <w:szCs w:val="19"/>
              </w:rPr>
              <w:t xml:space="preserve"> castiga </w:t>
            </w:r>
            <w:r>
              <w:rPr>
                <w:b/>
                <w:bCs/>
                <w:sz w:val="19"/>
                <w:szCs w:val="19"/>
              </w:rPr>
              <w:t xml:space="preserve">destruir/alterar/inutilizar</w:t>
            </w:r>
            <w:r>
              <w:rPr>
                <w:sz w:val="19"/>
                <w:szCs w:val="19"/>
              </w:rPr>
              <w:t xml:space="preserve"> datos (integridad); el </w:t>
            </w:r>
            <w:r>
              <w:rPr>
                <w:b/>
                <w:bCs/>
                <w:sz w:val="19"/>
                <w:szCs w:val="19"/>
              </w:rPr>
              <w:t xml:space="preserve">264 bis</w:t>
            </w:r>
            <w:r>
              <w:rPr>
                <w:sz w:val="19"/>
                <w:szCs w:val="19"/>
              </w:rPr>
              <w:t xml:space="preserve"> castiga </w:t>
            </w:r>
            <w:r>
              <w:rPr>
                <w:b/>
                <w:bCs/>
                <w:sz w:val="19"/>
                <w:szCs w:val="19"/>
              </w:rPr>
              <w:t xml:space="preserve">impedir el funcionamiento</w:t>
            </w:r>
            <w:r>
              <w:rPr>
                <w:sz w:val="19"/>
                <w:szCs w:val="19"/>
              </w:rPr>
              <w:t xml:space="preserve"> del sistema (disponibilidad). Un ataque de ransomware puede concurrir con varios.</w:t>
            </w:r>
          </w:p>
        </w:tc>
      </w:tr>
    </w:tbl>
    <w:p>
      <w:pPr>
        <w:spacing w:after="120"/>
      </w:pPr>
    </w:p>
    <w:p>
      <w:pPr>
        <w:pStyle w:val="Heading1"/>
        <w:keepNext/>
        <w:spacing w:after="200" w:before="360"/>
      </w:pPr>
      <w:r>
        <w:t xml:space="preserve">22. Fraude y estafa informática</w:t>
      </w:r>
    </w:p>
    <w:p>
      <w:pPr>
        <w:spacing w:after="120"/>
        <w:jc w:val="both"/>
      </w:pPr>
      <w:r>
        <w:t xml:space="preserve">Tras la </w:t>
      </w:r>
      <w:r>
        <w:rPr>
          <w:b/>
          <w:bCs/>
        </w:rPr>
        <w:t xml:space="preserve">LO 14/2022</w:t>
      </w:r>
      <w:r>
        <w:t xml:space="preserve">, el </w:t>
      </w:r>
      <w:r>
        <w:rPr>
          <w:b/>
          <w:bCs/>
        </w:rPr>
        <w:t xml:space="preserve">art. 248</w:t>
      </w:r>
      <w:r>
        <w:t xml:space="preserve"> recoge la estafa básica (engaño bastante que produce error y disposición patrimonial) y el </w:t>
      </w:r>
      <w:r>
        <w:rPr>
          <w:b/>
          <w:bCs/>
        </w:rPr>
        <w:t xml:space="preserve">art. 249</w:t>
      </w:r>
      <w:r>
        <w:t xml:space="preserve"> los supuestos equiparados, entre ellos: </w:t>
      </w:r>
      <w:r>
        <w:rPr>
          <w:b/>
          <w:bCs/>
        </w:rPr>
        <w:t xml:space="preserve">(a)</w:t>
      </w:r>
      <w:r>
        <w:t xml:space="preserve"> quien, con ánimo de lucro, obstaculizando o interfiriendo indebidamente en un sistema de información o </w:t>
      </w:r>
      <w:r>
        <w:rPr>
          <w:b/>
          <w:bCs/>
        </w:rPr>
        <w:t xml:space="preserve">introduciendo, alterando, borrando o suprimiendo datos</w:t>
      </w:r>
      <w:r>
        <w:t xml:space="preserve"> informáticos, o valiéndose de cualquier otra </w:t>
      </w:r>
      <w:r>
        <w:rPr>
          <w:b/>
          <w:bCs/>
        </w:rPr>
        <w:t xml:space="preserve">manipulación informática o artificio semejante</w:t>
      </w:r>
      <w:r>
        <w:t xml:space="preserve">, consiga una </w:t>
      </w:r>
      <w:r>
        <w:rPr>
          <w:b/>
          <w:bCs/>
        </w:rPr>
        <w:t xml:space="preserve">transferencia no consentida</w:t>
      </w:r>
      <w:r>
        <w:t xml:space="preserve"> de activo patrimonial en perjuicio de otro; </w:t>
      </w:r>
      <w:r>
        <w:rPr>
          <w:b/>
          <w:bCs/>
        </w:rPr>
        <w:t xml:space="preserve">(b)</w:t>
      </w:r>
      <w:r>
        <w:t xml:space="preserve"> quien utilice de forma fraudulenta </w:t>
      </w:r>
      <w:r>
        <w:rPr>
          <w:b/>
          <w:bCs/>
        </w:rPr>
        <w:t xml:space="preserve">tarjetas de crédito o débito, cheques de viaje u otros instrumentos de pago</w:t>
      </w:r>
      <w:r>
        <w:t xml:space="preserve"> materiales o inmateriales; y quien </w:t>
      </w:r>
      <w:r>
        <w:rPr>
          <w:b/>
          <w:bCs/>
        </w:rPr>
        <w:t xml:space="preserve">fabrique, importe, obtenga, posea o facilite</w:t>
      </w:r>
      <w:r>
        <w:t xml:space="preserve"> programas u otros instrumentos destinados a cometer estas estafas o datos de instrumentos de pago obtenidos ilícitamente.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Técnica</w:t>
            </w:r>
          </w:p>
        </w:tc>
        <w:tc>
          <w:tcPr>
            <w:tcW w:type="dxa" w:w="385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Descripción</w:t>
            </w:r>
          </w:p>
        </w:tc>
        <w:tc>
          <w:tcPr>
            <w:tcW w:type="dxa" w:w="385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Posibles tipos penales</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Phishing</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Suplantación de una entidad (correo, SMS = </w:t>
            </w:r>
            <w:r>
              <w:rPr>
                <w:i/>
                <w:iCs/>
                <w:sz w:val="18"/>
                <w:szCs w:val="18"/>
              </w:rPr>
              <w:t xml:space="preserve">smishing</w:t>
            </w:r>
            <w:r>
              <w:rPr>
                <w:sz w:val="18"/>
                <w:szCs w:val="18"/>
              </w:rPr>
              <w:t xml:space="preserve">, voz = </w:t>
            </w:r>
            <w:r>
              <w:rPr>
                <w:i/>
                <w:iCs/>
                <w:sz w:val="18"/>
                <w:szCs w:val="18"/>
              </w:rPr>
              <w:t xml:space="preserve">vishing</w:t>
            </w:r>
            <w:r>
              <w:rPr>
                <w:sz w:val="18"/>
                <w:szCs w:val="18"/>
              </w:rPr>
              <w:t xml:space="preserve">) para obtener credenciales.</w:t>
            </w:r>
          </w:p>
        </w:tc>
        <w:tc>
          <w:tcPr>
            <w:tcW w:type="dxa" w:w="38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Estafa (248/249), usurpación de identidad (401), acceso ilícito (197 bis), falsedad; las «</w:t>
            </w:r>
            <w:r>
              <w:rPr>
                <w:sz w:val="18"/>
                <w:szCs w:val="18"/>
              </w:rPr>
              <w:t xml:space="preserve">mulas</w:t>
            </w:r>
            <w:r>
              <w:rPr>
                <w:sz w:val="18"/>
                <w:szCs w:val="18"/>
              </w:rPr>
              <w:t xml:space="preserve">» pueden responder por blanqueo (301) o estafa.</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Pharming</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Redirigir al usuario a una web falsa manipulando DNS o el fichero </w:t>
            </w:r>
            <w:r>
              <w:rPr>
                <w:i/>
                <w:iCs/>
                <w:sz w:val="18"/>
                <w:szCs w:val="18"/>
              </w:rPr>
              <w:t xml:space="preserve">hosts</w:t>
            </w:r>
            <w:r>
              <w:rPr>
                <w:sz w:val="18"/>
                <w:szCs w:val="18"/>
              </w:rPr>
              <w:t xml:space="preserve">.</w:t>
            </w:r>
          </w:p>
        </w:tc>
        <w:tc>
          <w:tcPr>
            <w:tcW w:type="dxa" w:w="385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Estafa informática (249), daños/alteración de datos (264), acceso ilícito.</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Malware bancario / troyanos</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Captura de credenciales o manipulación de transacciones.</w:t>
            </w:r>
          </w:p>
        </w:tc>
        <w:tc>
          <w:tcPr>
            <w:tcW w:type="dxa" w:w="38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249, 197 bis, 197 ter / 264 ter (herramientas).</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Ingeniería social</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Manipulación psicológica para obtener información o acciones (fraude del CEO, falso técnico).</w:t>
            </w:r>
          </w:p>
        </w:tc>
        <w:tc>
          <w:tcPr>
            <w:tcW w:type="dxa" w:w="385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Estafa (248) o 249 según haya o no engaño a persona o manipulación del sistema.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spacing w:after="60"/>
              <w:jc w:val="both"/>
            </w:pPr>
            <w:r>
              <w:rPr>
                <w:b/>
                <w:bCs/>
                <w:sz w:val="19"/>
                <w:szCs w:val="19"/>
              </w:rPr>
              <w:t xml:space="preserve">Técnica de ataque ≠ tipo penal</w:t>
            </w:r>
            <w:r>
              <w:rPr>
                <w:sz w:val="19"/>
                <w:szCs w:val="19"/>
              </w:rPr>
              <w:t xml:space="preserve">. «El phishing está tipificado como delito autónomo en el CP» → FALSO. Es una </w:t>
            </w:r>
            <w:r>
              <w:rPr>
                <w:b/>
                <w:bCs/>
                <w:sz w:val="19"/>
                <w:szCs w:val="19"/>
              </w:rPr>
              <w:t xml:space="preserve">técnica</w:t>
            </w:r>
            <w:r>
              <w:rPr>
                <w:sz w:val="19"/>
                <w:szCs w:val="19"/>
              </w:rPr>
              <w:t xml:space="preserve"> que puede integrar distintos delitos.</w:t>
            </w:r>
          </w:p>
        </w:tc>
      </w:tr>
    </w:tbl>
    <w:p>
      <w:pPr>
        <w:spacing w:after="120"/>
      </w:pPr>
    </w:p>
    <w:p>
      <w:pPr>
        <w:pStyle w:val="Heading1"/>
        <w:keepNext/>
        <w:spacing w:after="200" w:before="360"/>
      </w:pPr>
      <w:r>
        <w:t xml:space="preserve">23. Propiedad intelectual, piratería y delito</w:t>
      </w:r>
    </w:p>
    <w:p>
      <w:pPr>
        <w:pStyle w:val="Heading2"/>
        <w:keepNext/>
      </w:pPr>
      <w:r>
        <w:t xml:space="preserve">23.1 Usos ilícitos del software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3614"/>
        <w:gridCol w:w="3374"/>
      </w:tblGrid>
      <w:tr>
        <w:trPr>
          <w:tblHeader/>
        </w:trPr>
        <w:tc>
          <w:tcPr>
            <w:tcW w:type="dxa" w:w="2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Conducta</w:t>
            </w:r>
          </w:p>
        </w:tc>
        <w:tc>
          <w:tcPr>
            <w:tcW w:type="dxa" w:w="361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Calificación civil / administrativa</w:t>
            </w:r>
          </w:p>
        </w:tc>
        <w:tc>
          <w:tcPr>
            <w:tcW w:type="dxa" w:w="337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Posible calificación penal</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Instalar más copias de las licenciadas (sobre-despliegue)</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Incumplimiento contractual e </w:t>
            </w:r>
            <w:r>
              <w:rPr>
                <w:sz w:val="18"/>
                <w:szCs w:val="18"/>
              </w:rPr>
              <w:t xml:space="preserve">infracción</w:t>
            </w:r>
            <w:r>
              <w:rPr>
                <w:sz w:val="18"/>
                <w:szCs w:val="18"/>
              </w:rPr>
              <w:t xml:space="preserve"> de derechos (reproducción no autorizada, art. 99.a LPI): cese e indemnización.</w:t>
            </w:r>
          </w:p>
        </w:tc>
        <w:tc>
          <w:tcPr>
            <w:tcW w:type="dxa" w:w="33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Normalmente </w:t>
            </w:r>
            <w:r>
              <w:rPr>
                <w:sz w:val="18"/>
                <w:szCs w:val="18"/>
              </w:rPr>
              <w:t xml:space="preserve">no</w:t>
            </w:r>
            <w:r>
              <w:rPr>
                <w:sz w:val="18"/>
                <w:szCs w:val="18"/>
              </w:rPr>
              <w:t xml:space="preserve"> es delito (falta el ánimo de beneficio en perjuicio de tercero en el sentido del 270 o la entidad suficiente), aunque podría serlo en casos de uso empresarial masivo según la jurisprudencia.</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Copias ilícitas para venta («piratería»)</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Infracción (art. 102 LPI).</w:t>
            </w:r>
          </w:p>
        </w:tc>
        <w:tc>
          <w:tcPr>
            <w:tcW w:type="dxa" w:w="33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Art. 270.1 CP</w:t>
            </w:r>
            <w:r>
              <w:rPr>
                <w:sz w:val="18"/>
                <w:szCs w:val="18"/>
              </w:rPr>
              <w:t xml:space="preserve"> (reproducción/distribución con ánimo de beneficio económico directo o indirecto y en perjuicio de tercero).</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Webs de enlaces o descargas</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Procedimiento ante la Sección Segunda de la CPI (art. 195 LPI); responsabilidad del prestador si tiene conocimiento efectivo.</w:t>
            </w:r>
          </w:p>
        </w:tc>
        <w:tc>
          <w:tcPr>
            <w:tcW w:type="dxa" w:w="33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Art. 270.2 CP</w:t>
            </w:r>
            <w:r>
              <w:rPr>
                <w:sz w:val="18"/>
                <w:szCs w:val="18"/>
              </w:rPr>
              <w:t xml:space="preserve">: facilitar de modo activo y no neutral el acceso o localización de obras ofrecidas ilícitamente.</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Cracks, keygens, activadores</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Infracción de medidas tecnológicas (arts. 102.c y 160 LPI).</w:t>
            </w:r>
          </w:p>
        </w:tc>
        <w:tc>
          <w:tcPr>
            <w:tcW w:type="dxa" w:w="33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Art. 270.6 CP</w:t>
            </w:r>
            <w:r>
              <w:rPr>
                <w:sz w:val="18"/>
                <w:szCs w:val="18"/>
              </w:rPr>
              <w:t xml:space="preserve"> (fabricar, importar, poner en circulación o poseer con fines comerciales medios destinados a suprimir o neutralizar dispositivos técnicos de protección).</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Uso de números de serie no autorizados</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Infracción de la licencia.</w:t>
            </w:r>
          </w:p>
        </w:tc>
        <w:tc>
          <w:tcPr>
            <w:tcW w:type="dxa" w:w="33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Según el caso, 270 o incluso estafa si se engaña al sistema de activación con perjuicio patrimonial.</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Ingeniería inversa fuera del art. 100</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Infracción de reproducción/transformación.</w:t>
            </w:r>
          </w:p>
        </w:tc>
        <w:tc>
          <w:tcPr>
            <w:tcW w:type="dxa" w:w="33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Solo si encaja en 270 (difusión/explotación) o 278 (secretos de empresa).</w:t>
            </w:r>
          </w:p>
        </w:tc>
      </w:tr>
    </w:tbl>
    <w:p>
      <w:pPr>
        <w:spacing w:after="120"/>
      </w:pPr>
    </w:p>
    <w:p>
      <w:pPr>
        <w:pStyle w:val="Heading2"/>
        <w:keepNext/>
      </w:pPr>
      <w:r>
        <w:t xml:space="preserve">23.2 Infracción frente a delito</w:t>
      </w:r>
    </w:p>
    <w:p>
      <w:pPr>
        <w:spacing w:after="120"/>
        <w:jc w:val="both"/>
      </w:pPr>
      <w:r>
        <w:t xml:space="preserve">La </w:t>
      </w:r>
      <w:r>
        <w:rPr>
          <w:b/>
          <w:bCs/>
        </w:rPr>
        <w:t xml:space="preserve">infracción de propiedad intelectual</w:t>
      </w:r>
      <w:r>
        <w:t xml:space="preserve"> es cualquier acto de explotación sin autorización y genera </w:t>
      </w:r>
      <w:r>
        <w:rPr>
          <w:b/>
          <w:bCs/>
        </w:rPr>
        <w:t xml:space="preserve">responsabilidad civil</w:t>
      </w:r>
      <w:r>
        <w:t xml:space="preserve"> (LPI Libro III). El </w:t>
      </w:r>
      <w:r>
        <w:rPr>
          <w:b/>
          <w:bCs/>
        </w:rPr>
        <w:t xml:space="preserve">delito contra la propiedad intelectual</w:t>
      </w:r>
      <w:r>
        <w:t xml:space="preserve"> exige además los elementos del </w:t>
      </w:r>
      <w:r>
        <w:rPr>
          <w:b/>
          <w:bCs/>
        </w:rPr>
        <w:t xml:space="preserve">art. 270 CP</w:t>
      </w:r>
      <w:r>
        <w:t xml:space="preserve">: conducta típica, </w:t>
      </w:r>
      <w:r>
        <w:rPr>
          <w:b/>
          <w:bCs/>
        </w:rPr>
        <w:t xml:space="preserve">ánimo de obtener un beneficio económico directo o indirecto</w:t>
      </w:r>
      <w:r>
        <w:t xml:space="preserve">, </w:t>
      </w:r>
      <w:r>
        <w:rPr>
          <w:b/>
          <w:bCs/>
        </w:rPr>
        <w:t xml:space="preserve">perjuicio de tercero</w:t>
      </w:r>
      <w:r>
        <w:t xml:space="preserve"> y lesividad suficiente. La reforma de 2015 sustituyó el antiguo «ánimo de lucro» por esta fórmula para abarcar modelos basados en publicidad. </w:t>
      </w:r>
      <w:r>
        <w:rPr>
          <w:b/>
          <w:bCs/>
        </w:rPr>
        <w:t xml:space="preserve">Principio de intervención mínima</w:t>
      </w:r>
      <w:r>
        <w:t xml:space="preserve">: el Derecho penal se reserva para los ataques más graves.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spacing w:after="60"/>
              <w:jc w:val="both"/>
            </w:pPr>
            <w:r>
              <w:rPr>
                <w:sz w:val="19"/>
                <w:szCs w:val="19"/>
              </w:rPr>
              <w:t xml:space="preserve">«Todo uso de software sin licencia es delito» → FALSO. Es, en todo caso, una </w:t>
            </w:r>
            <w:r>
              <w:rPr>
                <w:b/>
                <w:bCs/>
                <w:sz w:val="19"/>
                <w:szCs w:val="19"/>
              </w:rPr>
              <w:t xml:space="preserve">infracción civil</w:t>
            </w:r>
            <w:r>
              <w:rPr>
                <w:sz w:val="19"/>
                <w:szCs w:val="19"/>
              </w:rPr>
              <w:t xml:space="preserve">; solo es </w:t>
            </w:r>
            <w:r>
              <w:rPr>
                <w:b/>
                <w:bCs/>
                <w:sz w:val="19"/>
                <w:szCs w:val="19"/>
              </w:rPr>
              <w:t xml:space="preserve">delito</w:t>
            </w:r>
            <w:r>
              <w:rPr>
                <w:sz w:val="19"/>
                <w:szCs w:val="19"/>
              </w:rPr>
              <w:t xml:space="preserve"> si concurren los requisitos del art. 270 CP.</w:t>
            </w:r>
          </w:p>
        </w:tc>
      </w:tr>
    </w:tbl>
    <w:p>
      <w:pPr>
        <w:spacing w:after="120"/>
      </w:pPr>
    </w:p>
    <w:p>
      <w:pPr>
        <w:pStyle w:val="Heading1"/>
        <w:keepNext/>
        <w:spacing w:after="200" w:before="360"/>
      </w:pPr>
      <w:r>
        <w:t xml:space="preserve">24. El Convenio de Budapest sobre la Ciberdelincuencia</w:t>
      </w:r>
    </w:p>
    <w:p>
      <w:pPr>
        <w:spacing w:after="120"/>
        <w:jc w:val="both"/>
      </w:pPr>
      <w:r>
        <w:rPr>
          <w:b/>
          <w:bCs/>
        </w:rPr>
        <w:t xml:space="preserve">Convenio del Consejo de Europa sobre la Ciberdelincuencia</w:t>
      </w:r>
      <w:r>
        <w:t xml:space="preserve">, hecho en </w:t>
      </w:r>
      <w:r>
        <w:rPr>
          <w:b/>
          <w:bCs/>
        </w:rPr>
        <w:t xml:space="preserve">Budapest el 23 de noviembre de 2001</w:t>
      </w:r>
      <w:r>
        <w:t xml:space="preserve">, en vigor internacionalmente desde el </w:t>
      </w:r>
      <w:r>
        <w:rPr>
          <w:b/>
          <w:bCs/>
        </w:rPr>
        <w:t xml:space="preserve">1 de julio de 2004</w:t>
      </w:r>
      <w:r>
        <w:t xml:space="preserve">. Es el </w:t>
      </w:r>
      <w:r>
        <w:rPr>
          <w:b/>
          <w:bCs/>
        </w:rPr>
        <w:t xml:space="preserve">primer tratado internacional</w:t>
      </w:r>
      <w:r>
        <w:t xml:space="preserve"> sobre delitos cometidos a través de Internet y otras redes, abierto también a Estados no miembros (EE. UU., Japón, etc.). </w:t>
      </w:r>
      <w:r>
        <w:rPr>
          <w:b/>
          <w:bCs/>
        </w:rPr>
        <w:t xml:space="preserve">España lo ratificó en 2010</w:t>
      </w:r>
      <w:r>
        <w:t xml:space="preserve"> (en vigor para España desde el 1 de octubre de 2010).</w:t>
      </w:r>
    </w:p>
    <w:p>
      <w:pPr>
        <w:pStyle w:val="Heading2"/>
        <w:keepNext/>
      </w:pPr>
      <w:r>
        <w:t xml:space="preserve">24.1 Contenido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Parte</w:t>
            </w:r>
          </w:p>
        </w:tc>
        <w:tc>
          <w:tcPr>
            <w:tcW w:type="dxa" w:w="674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Contenido</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Derecho penal sustantivo (arts. 2-13)</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Acceso ilícito (2), interceptación ilícita (3), ataques a la integridad de los datos (4) y del sistema (5), abuso de dispositivos (6), falsificación informática (7), fraude informático (8), pornografía infantil (9), infracciones de propiedad intelectual (10); tentativa y complicidad, responsabilidad de personas jurídicas, sanciones.</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Derecho procesal (arts. 14-21)</w:t>
            </w:r>
          </w:p>
        </w:tc>
        <w:tc>
          <w:tcPr>
            <w:tcW w:type="dxa" w:w="67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Conservación rápida</w:t>
            </w:r>
            <w:r>
              <w:rPr>
                <w:sz w:val="18"/>
                <w:szCs w:val="18"/>
              </w:rPr>
              <w:t xml:space="preserve"> de datos almacenados (16) y de datos de tráfico con revelación parcial (17), </w:t>
            </w:r>
            <w:r>
              <w:rPr>
                <w:sz w:val="18"/>
                <w:szCs w:val="18"/>
              </w:rPr>
              <w:t xml:space="preserve">orden de presentación</w:t>
            </w:r>
            <w:r>
              <w:rPr>
                <w:sz w:val="18"/>
                <w:szCs w:val="18"/>
              </w:rPr>
              <w:t xml:space="preserve"> (18), </w:t>
            </w:r>
            <w:r>
              <w:rPr>
                <w:sz w:val="18"/>
                <w:szCs w:val="18"/>
              </w:rPr>
              <w:t xml:space="preserve">registro y confiscación</w:t>
            </w:r>
            <w:r>
              <w:rPr>
                <w:sz w:val="18"/>
                <w:szCs w:val="18"/>
              </w:rPr>
              <w:t xml:space="preserve"> de datos (19), obtención en tiempo real de datos de tráfico (20) e interceptación de contenido (21), con salvaguardas (15).</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Cooperación internacional (arts. 23-35)</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Extradición, asistencia mutua, solicitudes urgentes, conservación rápida a petición de otro Estado, acceso transfronterizo a datos públicos o con consentimiento (32), </w:t>
            </w:r>
            <w:r>
              <w:rPr>
                <w:sz w:val="18"/>
                <w:szCs w:val="18"/>
              </w:rPr>
              <w:t xml:space="preserve">red 24/7</w:t>
            </w:r>
            <w:r>
              <w:rPr>
                <w:sz w:val="18"/>
                <w:szCs w:val="18"/>
              </w:rPr>
              <w:t xml:space="preserve"> de puntos de contacto (35).</w:t>
            </w:r>
          </w:p>
        </w:tc>
      </w:tr>
    </w:tbl>
    <w:p>
      <w:pPr>
        <w:spacing w:after="120"/>
      </w:pPr>
    </w:p>
    <w:p>
      <w:pPr>
        <w:pStyle w:val="Heading2"/>
        <w:keepNext/>
      </w:pPr>
      <w:r>
        <w:t xml:space="preserve">24.2 Instrumentos posteriores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41"/>
        <w:gridCol w:w="4097"/>
      </w:tblGrid>
      <w:tr>
        <w:trPr>
          <w:tblHeader/>
        </w:trPr>
        <w:tc>
          <w:tcPr>
            <w:tcW w:type="dxa" w:w="5541"/>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Instrumento</w:t>
            </w:r>
          </w:p>
        </w:tc>
        <w:tc>
          <w:tcPr>
            <w:tcW w:type="dxa" w:w="409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Situación</w:t>
            </w:r>
          </w:p>
        </w:tc>
      </w:tr>
      <w:tr>
        <w:trPr>
          <w:cantSplit/>
        </w:trPr>
        <w:tc>
          <w:tcPr>
            <w:tcW w:type="dxa" w:w="554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Primer Protocolo adicional (Estrasburgo, 28/01/2003): actos de índole </w:t>
            </w:r>
            <w:r>
              <w:rPr>
                <w:sz w:val="18"/>
                <w:szCs w:val="18"/>
              </w:rPr>
              <w:t xml:space="preserve">racista y xenófoba</w:t>
            </w:r>
            <w:r>
              <w:rPr>
                <w:sz w:val="18"/>
                <w:szCs w:val="18"/>
              </w:rPr>
              <w:t xml:space="preserve"> cometidos mediante sistemas informáticos</w:t>
            </w:r>
          </w:p>
        </w:tc>
        <w:tc>
          <w:tcPr>
            <w:tcW w:type="dxa" w:w="40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Ratificado por España (BOE de 30/01/2015).</w:t>
            </w:r>
          </w:p>
        </w:tc>
      </w:tr>
      <w:tr>
        <w:trPr>
          <w:cantSplit/>
        </w:trPr>
        <w:tc>
          <w:tcPr>
            <w:tcW w:type="dxa" w:w="554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Segundo Protocolo adicional (adoptado el 17/11/2021; abierto a firma el 12/05/2022): </w:t>
            </w:r>
            <w:r>
              <w:rPr>
                <w:sz w:val="18"/>
                <w:szCs w:val="18"/>
              </w:rPr>
              <w:t xml:space="preserve">cooperación reforzada y revelación de pruebas electrónicas</w:t>
            </w:r>
            <w:r>
              <w:rPr>
                <w:sz w:val="18"/>
                <w:szCs w:val="18"/>
              </w:rPr>
              <w:t xml:space="preserve"> (cooperación directa con proveedores, solicitudes de datos de registro de dominios, órdenes de producción, asistencia de urgencia, equipos conjuntos)</w:t>
            </w:r>
          </w:p>
        </w:tc>
        <w:tc>
          <w:tcPr>
            <w:tcW w:type="dxa" w:w="40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Firmado por España el 12/05/2022</w:t>
            </w:r>
            <w:r>
              <w:rPr>
                <w:sz w:val="18"/>
                <w:szCs w:val="18"/>
              </w:rPr>
              <w:t xml:space="preserve">. Comprueba el estado de ratificación en la Oficina de Tratados del Consejo de Europa antes del examen.</w:t>
            </w:r>
          </w:p>
        </w:tc>
      </w:tr>
      <w:tr>
        <w:trPr>
          <w:cantSplit/>
        </w:trPr>
        <w:tc>
          <w:tcPr>
            <w:tcW w:type="dxa" w:w="554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Convención de las Naciones Unidas contra la Ciberdelincuencia</w:t>
            </w:r>
          </w:p>
        </w:tc>
        <w:tc>
          <w:tcPr>
            <w:tcW w:type="dxa" w:w="40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Adoptada por la Asamblea General en diciembre de 2024 y abierta a la firma en Hanói en 2025. Verifica su estado de firma/ratificación y entrada en vigor.</w:t>
            </w:r>
          </w:p>
        </w:tc>
      </w:tr>
      <w:tr>
        <w:trPr>
          <w:cantSplit/>
        </w:trPr>
        <w:tc>
          <w:tcPr>
            <w:tcW w:type="dxa" w:w="554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Reglamento (UE) 2023/1543 (órdenes europeas de producción y conservación de pruebas electrónicas) y Directiva (UE) 2023/1544</w:t>
            </w:r>
          </w:p>
        </w:tc>
        <w:tc>
          <w:tcPr>
            <w:tcW w:type="dxa" w:w="40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Aplicable desde el 18/08/2026</w:t>
            </w:r>
            <w:r>
              <w:rPr>
                <w:sz w:val="18"/>
                <w:szCs w:val="18"/>
              </w:rPr>
              <w:t xml:space="preserve">. Permite a una autoridad judicial dirigirse directamente a un proveedor de otro Estado miembro (plazo general de </w:t>
            </w:r>
            <w:r>
              <w:rPr>
                <w:sz w:val="18"/>
                <w:szCs w:val="18"/>
              </w:rPr>
              <w:t xml:space="preserve">10 días</w:t>
            </w:r>
            <w:r>
              <w:rPr>
                <w:sz w:val="18"/>
                <w:szCs w:val="18"/>
              </w:rPr>
              <w:t xml:space="preserve">, </w:t>
            </w:r>
            <w:r>
              <w:rPr>
                <w:sz w:val="18"/>
                <w:szCs w:val="18"/>
              </w:rPr>
              <w:t xml:space="preserve">8 horas</w:t>
            </w:r>
            <w:r>
              <w:rPr>
                <w:sz w:val="18"/>
                <w:szCs w:val="18"/>
              </w:rPr>
              <w:t xml:space="preserve"> en urgencias). España tramita un anteproyecto de ley de adaptación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DEEAF6" w:color="auto" w:val="clear"/>
            <w:tcMar>
              <w:top w:type="dxa" w:w="100"/>
              <w:left w:type="dxa" w:w="160"/>
              <w:bottom w:type="dxa" w:w="100"/>
              <w:right w:type="dxa" w:w="140"/>
            </w:tcMar>
          </w:tcPr>
          <w:p>
            <w:pPr>
              <w:spacing w:after="80"/>
            </w:pPr>
            <w:r>
              <w:rPr>
                <w:b/>
                <w:bCs/>
                <w:color w:val="2E75B6"/>
                <w:sz w:val="20"/>
                <w:szCs w:val="20"/>
              </w:rPr>
              <w:t xml:space="preserve">CLAVE PARA EL EXAMEN</w:t>
            </w:r>
          </w:p>
          <w:p>
            <w:pPr>
              <w:pStyle w:val="ListParagraph"/>
              <w:numPr>
                <w:ilvl w:val="0"/>
                <w:numId w:val="2"/>
              </w:numPr>
              <w:spacing w:after="40"/>
            </w:pPr>
            <w:r>
              <w:rPr>
                <w:sz w:val="19"/>
                <w:szCs w:val="19"/>
              </w:rPr>
              <w:t xml:space="preserve">Budapest, </w:t>
            </w:r>
            <w:r>
              <w:rPr>
                <w:b/>
                <w:bCs/>
                <w:sz w:val="19"/>
                <w:szCs w:val="19"/>
              </w:rPr>
              <w:t xml:space="preserve">23/11/2001</w:t>
            </w:r>
            <w:r>
              <w:rPr>
                <w:sz w:val="19"/>
                <w:szCs w:val="19"/>
              </w:rPr>
              <w:t xml:space="preserve">; en vigor </w:t>
            </w:r>
            <w:r>
              <w:rPr>
                <w:b/>
                <w:bCs/>
                <w:sz w:val="19"/>
                <w:szCs w:val="19"/>
              </w:rPr>
              <w:t xml:space="preserve">01/07/2004</w:t>
            </w:r>
            <w:r>
              <w:rPr>
                <w:sz w:val="19"/>
                <w:szCs w:val="19"/>
              </w:rPr>
              <w:t xml:space="preserve">; España, ratificado en </w:t>
            </w:r>
            <w:r>
              <w:rPr>
                <w:b/>
                <w:bCs/>
                <w:sz w:val="19"/>
                <w:szCs w:val="19"/>
              </w:rPr>
              <w:t xml:space="preserve">2010</w:t>
            </w:r>
            <w:r>
              <w:rPr>
                <w:sz w:val="19"/>
                <w:szCs w:val="19"/>
              </w:rPr>
              <w:t xml:space="preserve">.</w:t>
            </w:r>
          </w:p>
          <w:p>
            <w:pPr>
              <w:pStyle w:val="ListParagraph"/>
              <w:numPr>
                <w:ilvl w:val="0"/>
                <w:numId w:val="2"/>
              </w:numPr>
              <w:spacing w:after="40"/>
            </w:pPr>
            <w:r>
              <w:rPr>
                <w:sz w:val="19"/>
                <w:szCs w:val="19"/>
              </w:rPr>
              <w:t xml:space="preserve">4 bloques de delitos: </w:t>
            </w:r>
            <w:r>
              <w:rPr>
                <w:b/>
                <w:bCs/>
                <w:sz w:val="19"/>
                <w:szCs w:val="19"/>
              </w:rPr>
              <w:t xml:space="preserve">CID de datos y sistemas</w:t>
            </w:r>
            <w:r>
              <w:rPr>
                <w:sz w:val="19"/>
                <w:szCs w:val="19"/>
              </w:rPr>
              <w:t xml:space="preserve">, </w:t>
            </w:r>
            <w:r>
              <w:rPr>
                <w:b/>
                <w:bCs/>
                <w:sz w:val="19"/>
                <w:szCs w:val="19"/>
              </w:rPr>
              <w:t xml:space="preserve">informáticos</w:t>
            </w:r>
            <w:r>
              <w:rPr>
                <w:sz w:val="19"/>
                <w:szCs w:val="19"/>
              </w:rPr>
              <w:t xml:space="preserve"> (falsificación y fraude), </w:t>
            </w:r>
            <w:r>
              <w:rPr>
                <w:b/>
                <w:bCs/>
                <w:sz w:val="19"/>
                <w:szCs w:val="19"/>
              </w:rPr>
              <w:t xml:space="preserve">contenido</w:t>
            </w:r>
            <w:r>
              <w:rPr>
                <w:sz w:val="19"/>
                <w:szCs w:val="19"/>
              </w:rPr>
              <w:t xml:space="preserve"> (pornografía infantil), </w:t>
            </w:r>
            <w:r>
              <w:rPr>
                <w:b/>
                <w:bCs/>
                <w:sz w:val="19"/>
                <w:szCs w:val="19"/>
              </w:rPr>
              <w:t xml:space="preserve">propiedad intelectual</w:t>
            </w:r>
            <w:r>
              <w:rPr>
                <w:sz w:val="19"/>
                <w:szCs w:val="19"/>
              </w:rPr>
              <w:t xml:space="preserve">.</w:t>
            </w:r>
          </w:p>
          <w:p>
            <w:pPr>
              <w:pStyle w:val="ListParagraph"/>
              <w:numPr>
                <w:ilvl w:val="0"/>
                <w:numId w:val="2"/>
              </w:numPr>
              <w:spacing w:after="40"/>
            </w:pPr>
            <w:r>
              <w:rPr>
                <w:sz w:val="19"/>
                <w:szCs w:val="19"/>
              </w:rPr>
              <w:t xml:space="preserve">Herramientas procesales clave: </w:t>
            </w:r>
            <w:r>
              <w:rPr>
                <w:b/>
                <w:bCs/>
                <w:sz w:val="19"/>
                <w:szCs w:val="19"/>
              </w:rPr>
              <w:t xml:space="preserve">conservación rápida</w:t>
            </w:r>
            <w:r>
              <w:rPr>
                <w:sz w:val="19"/>
                <w:szCs w:val="19"/>
              </w:rPr>
              <w:t xml:space="preserve">, </w:t>
            </w:r>
            <w:r>
              <w:rPr>
                <w:b/>
                <w:bCs/>
                <w:sz w:val="19"/>
                <w:szCs w:val="19"/>
              </w:rPr>
              <w:t xml:space="preserve">orden de presentación</w:t>
            </w:r>
            <w:r>
              <w:rPr>
                <w:sz w:val="19"/>
                <w:szCs w:val="19"/>
              </w:rPr>
              <w:t xml:space="preserve">, </w:t>
            </w:r>
            <w:r>
              <w:rPr>
                <w:b/>
                <w:bCs/>
                <w:sz w:val="19"/>
                <w:szCs w:val="19"/>
              </w:rPr>
              <w:t xml:space="preserve">red 24/7</w:t>
            </w:r>
            <w:r>
              <w:rPr>
                <w:sz w:val="19"/>
                <w:szCs w:val="19"/>
              </w:rPr>
              <w:t xml:space="preserve">.</w:t>
            </w:r>
          </w:p>
        </w:tc>
      </w:tr>
    </w:tbl>
    <w:p>
      <w:pPr>
        <w:spacing w:after="120"/>
      </w:pPr>
    </w:p>
    <w:p>
      <w:pPr>
        <w:pStyle w:val="Heading1"/>
        <w:keepNext/>
        <w:spacing w:after="200" w:before="360"/>
      </w:pPr>
      <w:r>
        <w:t xml:space="preserve">25. Prueba digital</w:t>
      </w:r>
    </w:p>
    <w:p>
      <w:pPr>
        <w:pStyle w:val="Heading2"/>
        <w:keepNext/>
      </w:pPr>
      <w:r>
        <w:t xml:space="preserve">25.1 Conceptos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Término</w:t>
            </w:r>
          </w:p>
        </w:tc>
        <w:tc>
          <w:tcPr>
            <w:tcW w:type="dxa" w:w="722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Significado</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Evidencia digital (electrónica)</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Información de valor probatorio </w:t>
            </w:r>
            <w:r>
              <w:rPr>
                <w:sz w:val="18"/>
                <w:szCs w:val="18"/>
              </w:rPr>
              <w:t xml:space="preserve">almacenada o transmitida en forma digital</w:t>
            </w:r>
            <w:r>
              <w:rPr>
                <w:sz w:val="18"/>
                <w:szCs w:val="18"/>
              </w:rPr>
              <w:t xml:space="preserve"> (ISO/IEC 27037 la define como información o datos almacenados o transmitidos en formato binario que pueden usarse como evidencia).</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Fuente de prueba</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El soporte o sistema donde está la evidencia (disco, móvil, servidor, cuenta en la nube).</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Medio de prueba</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Cauce procesal para incorporarla al proceso: documento, dictamen pericial, reconocimiento judicial, testifical, instrumentos de archivo (arts. 299 y 382-384 LEC).</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Prueba electrónica / informática</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La evidencia digital </w:t>
            </w:r>
            <w:r>
              <w:rPr>
                <w:sz w:val="18"/>
                <w:szCs w:val="18"/>
              </w:rPr>
              <w:t xml:space="preserve">incorporada válidamente al proceso</w:t>
            </w:r>
            <w:r>
              <w:rPr>
                <w:sz w:val="18"/>
                <w:szCs w:val="18"/>
              </w:rPr>
              <w:t xml:space="preserve"> y sometida a contradicción y valoración judicial.</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Indicio</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Hecho o dato del que, por inferencia, puede deducirse otro; en el proceso penal, varios indicios pueden fundar una condena si cumplen los requisitos jurisprudenciales de la prueba indiciaria.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spacing w:after="60"/>
              <w:jc w:val="both"/>
            </w:pPr>
            <w:r>
              <w:rPr>
                <w:b/>
                <w:bCs/>
                <w:sz w:val="19"/>
                <w:szCs w:val="19"/>
              </w:rPr>
              <w:t xml:space="preserve">Evidencia digital ≠ prueba judicialmente válida</w:t>
            </w:r>
            <w:r>
              <w:rPr>
                <w:sz w:val="19"/>
                <w:szCs w:val="19"/>
              </w:rPr>
              <w:t xml:space="preserve">. Que exista un fichero, un log o un mensaje no significa que valga como prueba: su </w:t>
            </w:r>
            <w:r>
              <w:rPr>
                <w:b/>
                <w:bCs/>
                <w:sz w:val="19"/>
                <w:szCs w:val="19"/>
              </w:rPr>
              <w:t xml:space="preserve">admisibilidad</w:t>
            </w:r>
            <w:r>
              <w:rPr>
                <w:sz w:val="19"/>
                <w:szCs w:val="19"/>
              </w:rPr>
              <w:t xml:space="preserve"> depende de la </w:t>
            </w:r>
            <w:r>
              <w:rPr>
                <w:b/>
                <w:bCs/>
                <w:sz w:val="19"/>
                <w:szCs w:val="19"/>
              </w:rPr>
              <w:t xml:space="preserve">licitud en su obtención</w:t>
            </w:r>
            <w:r>
              <w:rPr>
                <w:sz w:val="19"/>
                <w:szCs w:val="19"/>
              </w:rPr>
              <w:t xml:space="preserve"> (art. 11.1 LOPJ: no surten efecto las pruebas obtenidas violentando derechos fundamentales) y del procedimiento; su </w:t>
            </w:r>
            <w:r>
              <w:rPr>
                <w:b/>
                <w:bCs/>
                <w:sz w:val="19"/>
                <w:szCs w:val="19"/>
              </w:rPr>
              <w:t xml:space="preserve">valoración</w:t>
            </w:r>
            <w:r>
              <w:rPr>
                <w:sz w:val="19"/>
                <w:szCs w:val="19"/>
              </w:rPr>
              <w:t xml:space="preserve"> corresponde al juez.</w:t>
            </w:r>
          </w:p>
        </w:tc>
      </w:tr>
    </w:tbl>
    <w:p>
      <w:pPr>
        <w:spacing w:after="120"/>
      </w:pPr>
    </w:p>
    <w:p>
      <w:pPr>
        <w:pStyle w:val="Heading2"/>
        <w:keepNext/>
      </w:pPr>
      <w:r>
        <w:t xml:space="preserve">25.2 Propiedades exigibles a la evidencia digital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3614"/>
        <w:gridCol w:w="3856"/>
      </w:tblGrid>
      <w:tr>
        <w:trPr>
          <w:tblHeader/>
        </w:trPr>
        <w:tc>
          <w:tcPr>
            <w:tcW w:type="dxa" w:w="216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Propiedad</w:t>
            </w:r>
          </w:p>
        </w:tc>
        <w:tc>
          <w:tcPr>
            <w:tcW w:type="dxa" w:w="361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Qué garantiza</w:t>
            </w:r>
          </w:p>
        </w:tc>
        <w:tc>
          <w:tcPr>
            <w:tcW w:type="dxa" w:w="385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Cómo se consigue</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Autenticidad</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Que procede de la fuente que se dice y es lo que parece.</w:t>
            </w:r>
          </w:p>
        </w:tc>
        <w:tc>
          <w:tcPr>
            <w:tcW w:type="dxa" w:w="38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Documentación de origen, metadatos, firma/sello, testimonio técnico.</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Integridad</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Que no ha sido alterada desde su obtención.</w:t>
            </w:r>
          </w:p>
        </w:tc>
        <w:tc>
          <w:tcPr>
            <w:tcW w:type="dxa" w:w="385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Funciones hash</w:t>
            </w:r>
            <w:r>
              <w:rPr>
                <w:sz w:val="18"/>
                <w:szCs w:val="18"/>
              </w:rPr>
              <w:t xml:space="preserve">, bloqueadores de escritura, sellado, cadena de custodia.</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Trazabilidad</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Que se conoce todo su recorrido y quién la manejó.</w:t>
            </w:r>
          </w:p>
        </w:tc>
        <w:tc>
          <w:tcPr>
            <w:tcW w:type="dxa" w:w="38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Cadena de custodia documentada.</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Disponibilidad / conservación</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Que puede presentarse y reexaminarse.</w:t>
            </w:r>
          </w:p>
        </w:tc>
        <w:tc>
          <w:tcPr>
            <w:tcW w:type="dxa" w:w="385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Almacenamiento seguro, copias de trabajo.</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Reproducibilidad / repetibilidad</w:t>
            </w:r>
          </w:p>
        </w:tc>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Que otro perito, con el mismo método, obtiene el mismo resultado.</w:t>
            </w:r>
          </w:p>
        </w:tc>
        <w:tc>
          <w:tcPr>
            <w:tcW w:type="dxa" w:w="38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Metodología documentada y validada (ISO/IEC 27041), herramientas verificadas.</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Completitud y proporcionalidad</w:t>
            </w:r>
          </w:p>
        </w:tc>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Que no se ha seleccionado sesgadamente y que se ha obtenido solo lo necesario.</w:t>
            </w:r>
          </w:p>
        </w:tc>
        <w:tc>
          <w:tcPr>
            <w:tcW w:type="dxa" w:w="385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Criterios de adquisición, triaje documentado.</w:t>
            </w:r>
          </w:p>
        </w:tc>
      </w:tr>
    </w:tbl>
    <w:p>
      <w:pPr>
        <w:spacing w:after="120"/>
      </w:pPr>
    </w:p>
    <w:p>
      <w:pPr>
        <w:pStyle w:val="Heading2"/>
        <w:keepNext/>
      </w:pPr>
      <w:r>
        <w:t xml:space="preserve">25.3 Marco procesal español</w:t>
      </w:r>
    </w:p>
    <w:p>
      <w:pPr>
        <w:pStyle w:val="ListParagraph"/>
        <w:numPr>
          <w:ilvl w:val="0"/>
          <w:numId w:val="2"/>
        </w:numPr>
        <w:spacing w:after="60"/>
      </w:pPr>
      <w:r>
        <w:rPr>
          <w:b/>
          <w:bCs/>
        </w:rPr>
        <w:t xml:space="preserve">LEC (Ley 1/2000)</w:t>
      </w:r>
      <w:r>
        <w:t xml:space="preserve">: arts. 299.2 (medios de reproducción de la palabra, imagen y sonido e </w:t>
      </w:r>
      <w:r>
        <w:rPr>
          <w:b/>
          <w:bCs/>
        </w:rPr>
        <w:t xml:space="preserve">instrumentos que permiten archivar datos</w:t>
      </w:r>
      <w:r>
        <w:t xml:space="preserve">), 326 (fuerza probatoria de documentos privados y documentos electrónicos, con remisión a la normativa de firma), 382-384 (reproducción e instrumentos de archivo), 335-352 (dictamen pericial).</w:t>
      </w:r>
    </w:p>
    <w:p>
      <w:pPr>
        <w:pStyle w:val="ListParagraph"/>
        <w:numPr>
          <w:ilvl w:val="0"/>
          <w:numId w:val="2"/>
        </w:numPr>
        <w:spacing w:after="60"/>
      </w:pPr>
      <w:r>
        <w:rPr>
          <w:b/>
          <w:bCs/>
        </w:rPr>
        <w:t xml:space="preserve">LECrim</w:t>
      </w:r>
      <w:r>
        <w:t xml:space="preserve">, reformada por la </w:t>
      </w:r>
      <w:r>
        <w:rPr>
          <w:b/>
          <w:bCs/>
        </w:rPr>
        <w:t xml:space="preserve">LO 13/2015</w:t>
      </w:r>
      <w:r>
        <w:t xml:space="preserve">: medidas de </w:t>
      </w:r>
      <w:r>
        <w:rPr>
          <w:b/>
          <w:bCs/>
        </w:rPr>
        <w:t xml:space="preserve">investigación tecnológica</w:t>
      </w:r>
      <w:r>
        <w:t xml:space="preserve"> (arts. 588 bis a-588 octies) con principios de </w:t>
      </w:r>
      <w:r>
        <w:rPr>
          <w:b/>
          <w:bCs/>
        </w:rPr>
        <w:t xml:space="preserve">especialidad, idoneidad, excepcionalidad, necesidad y proporcionalidad</w:t>
      </w:r>
      <w:r>
        <w:t xml:space="preserve"> (588 bis a): interceptación de comunicaciones telefónicas y telemáticas (588 ter), captación de comunicaciones orales (588 quater), dispositivos de seguimiento y localización (588 quinquies), </w:t>
      </w:r>
      <w:r>
        <w:rPr>
          <w:b/>
          <w:bCs/>
        </w:rPr>
        <w:t xml:space="preserve">registro de dispositivos de almacenamiento masivo</w:t>
      </w:r>
      <w:r>
        <w:t xml:space="preserve"> (588 sexies), </w:t>
      </w:r>
      <w:r>
        <w:rPr>
          <w:b/>
          <w:bCs/>
        </w:rPr>
        <w:t xml:space="preserve">registros remotos</w:t>
      </w:r>
      <w:r>
        <w:t xml:space="preserve"> sobre equipos informáticos (588 septies) y </w:t>
      </w:r>
      <w:r>
        <w:rPr>
          <w:b/>
          <w:bCs/>
        </w:rPr>
        <w:t xml:space="preserve">orden de conservación de datos</w:t>
      </w:r>
      <w:r>
        <w:t xml:space="preserve"> (588 octies: hasta </w:t>
      </w:r>
      <w:r>
        <w:rPr>
          <w:b/>
          <w:bCs/>
        </w:rPr>
        <w:t xml:space="preserve">90 días</w:t>
      </w:r>
      <w:r>
        <w:t xml:space="preserve"> prorrogable una vez).</w:t>
      </w:r>
    </w:p>
    <w:p>
      <w:pPr>
        <w:pStyle w:val="ListParagraph"/>
        <w:numPr>
          <w:ilvl w:val="0"/>
          <w:numId w:val="2"/>
        </w:numPr>
        <w:spacing w:after="60"/>
      </w:pPr>
      <w:r>
        <w:rPr>
          <w:b/>
          <w:bCs/>
        </w:rPr>
        <w:t xml:space="preserve">Jurisprudencia</w:t>
      </w:r>
      <w:r>
        <w:t xml:space="preserve"> (no ley): la </w:t>
      </w:r>
      <w:r>
        <w:rPr>
          <w:b/>
          <w:bCs/>
        </w:rPr>
        <w:t xml:space="preserve">STS 300/2015, de 19 de mayo</w:t>
      </w:r>
      <w:r>
        <w:t xml:space="preserve">, sobre conversaciones de mensajería instantánea, establece que, </w:t>
      </w:r>
      <w:r>
        <w:rPr>
          <w:b/>
          <w:bCs/>
        </w:rPr>
        <w:t xml:space="preserve">si se impugna su autenticidad</w:t>
      </w:r>
      <w:r>
        <w:t xml:space="preserve">, la carga de la prueba se desplaza a quien la aporta y es indispensable, en su caso, una </w:t>
      </w:r>
      <w:r>
        <w:rPr>
          <w:b/>
          <w:bCs/>
        </w:rPr>
        <w:t xml:space="preserve">prueba pericial</w:t>
      </w:r>
      <w:r>
        <w:t xml:space="preserve"> que acredite origen, identidad de interlocutores e integridad.</w:t>
      </w:r>
    </w:p>
    <w:p>
      <w:pPr>
        <w:pStyle w:val="Heading1"/>
        <w:keepNext/>
        <w:spacing w:after="200" w:before="360"/>
      </w:pPr>
      <w:r>
        <w:t xml:space="preserve">26. Cadena de custodia</w:t>
      </w:r>
    </w:p>
    <w:p>
      <w:pPr>
        <w:spacing w:after="120"/>
        <w:jc w:val="both"/>
      </w:pPr>
      <w:r>
        <w:t xml:space="preserve">La </w:t>
      </w:r>
      <w:r>
        <w:rPr>
          <w:b/>
          <w:bCs/>
        </w:rPr>
        <w:t xml:space="preserve">cadena de custodia</w:t>
      </w:r>
      <w:r>
        <w:t xml:space="preserve"> es el </w:t>
      </w:r>
      <w:r>
        <w:rPr>
          <w:b/>
          <w:bCs/>
        </w:rPr>
        <w:t xml:space="preserve">procedimiento documentado</w:t>
      </w:r>
      <w:r>
        <w:t xml:space="preserve"> que registra la </w:t>
      </w:r>
      <w:r>
        <w:rPr>
          <w:b/>
          <w:bCs/>
        </w:rPr>
        <w:t xml:space="preserve">identificación, recogida, transporte, almacenamiento, acceso, análisis y entrega</w:t>
      </w:r>
      <w:r>
        <w:t xml:space="preserve"> de una evidencia, de forma que pueda </w:t>
      </w:r>
      <w:r>
        <w:rPr>
          <w:b/>
          <w:bCs/>
        </w:rPr>
        <w:t xml:space="preserve">demostrarse en cualquier momento quién la ha tenido, cuándo, dónde, para qué y en qué condiciones</w:t>
      </w:r>
      <w:r>
        <w:t xml:space="preserve">, y que es </w:t>
      </w:r>
      <w:r>
        <w:rPr>
          <w:b/>
          <w:bCs/>
        </w:rPr>
        <w:t xml:space="preserve">la misma</w:t>
      </w:r>
      <w:r>
        <w:t xml:space="preserve"> evidencia recogida y </w:t>
      </w:r>
      <w:r>
        <w:rPr>
          <w:b/>
          <w:bCs/>
        </w:rPr>
        <w:t xml:space="preserve">no ha sido alterada</w:t>
      </w:r>
      <w:r>
        <w:t xml:space="preserve">, sustituida ni contaminada. Su ruptura no invalida automáticamente la prueba, pero debilita su fiabilidad y puede llevar a su exclusión o a restarle valor (doctrina jurisprudencial).</w:t>
      </w:r>
    </w:p>
    <w:p>
      <w:pPr>
        <w:spacing w:after="80"/>
        <w:jc w:val="center"/>
      </w:pPr>
      <w:r>
        <w:rPr>
          <w:b/>
          <w:bCs/>
          <w:color w:val="1F3864"/>
          <w:sz w:val="20"/>
          <w:szCs w:val="20"/>
        </w:rPr>
        <w:t xml:space="preserve">Esquema de la cadena de custodia digital</w:t>
      </w:r>
    </w:p>
    <w:tbl>
      <w:tblPr>
        <w:tblW w:type="dxa" w:w="9996"/>
        <w:jc w:val="center"/>
        <w:tblBorders>
          <w:top w:val="single" w:color="auto" w:sz="4"/>
          <w:left w:val="single" w:color="auto" w:sz="4"/>
          <w:bottom w:val="single" w:color="auto" w:sz="4"/>
          <w:right w:val="single" w:color="auto" w:sz="4"/>
          <w:insideH w:val="single" w:color="auto" w:sz="4"/>
          <w:insideV w:val="single" w:color="auto" w:sz="4"/>
        </w:tblBorders>
      </w:tblPr>
      <w:tblGrid>
        <w:gridCol w:w="2139"/>
        <w:gridCol w:w="360"/>
        <w:gridCol w:w="2139"/>
        <w:gridCol w:w="360"/>
        <w:gridCol w:w="2139"/>
        <w:gridCol w:w="360"/>
        <w:gridCol w:w="2139"/>
        <w:gridCol w:w="360"/>
      </w:tblGrid>
      <w:tr>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Identificación</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Adquisición</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Cálculo de hash</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Sellado / documentación</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r>
    </w:tbl>
    <w:p>
      <w:pPr>
        <w:spacing w:after="60"/>
      </w:pP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Pr>
      <w:tblGrid>
        <w:gridCol w:w="2139"/>
        <w:gridCol w:w="360"/>
        <w:gridCol w:w="2139"/>
        <w:gridCol w:w="360"/>
        <w:gridCol w:w="2139"/>
        <w:gridCol w:w="360"/>
        <w:gridCol w:w="2139"/>
      </w:tblGrid>
      <w:tr>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Almacenamiento seguro</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Análisis (sobre copia)</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Informe</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Presentación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Fase</w:t>
            </w:r>
          </w:p>
        </w:tc>
        <w:tc>
          <w:tcPr>
            <w:tcW w:type="dxa" w:w="722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Qué se documenta</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Identificación</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Descripción del dispositivo (marca, modelo, n.º de serie), ubicación, estado, fotografías, persona que lo localiza, fecha y hora.</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Recogida / adquisición</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Método, herramienta y versión, bloqueador de escritura, </w:t>
            </w:r>
            <w:r>
              <w:rPr>
                <w:sz w:val="18"/>
                <w:szCs w:val="18"/>
              </w:rPr>
              <w:t xml:space="preserve">hash</w:t>
            </w:r>
            <w:r>
              <w:rPr>
                <w:sz w:val="18"/>
                <w:szCs w:val="18"/>
              </w:rPr>
              <w:t xml:space="preserve"> de origen y de la copia, testigos (p. ej., Letrado de la Administración de Justicia o fedatario).</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Embalaje y transporte</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Bolsas antiestáticas o </w:t>
            </w:r>
            <w:r>
              <w:rPr>
                <w:sz w:val="18"/>
                <w:szCs w:val="18"/>
              </w:rPr>
              <w:t xml:space="preserve">Faraday</w:t>
            </w:r>
            <w:r>
              <w:rPr>
                <w:sz w:val="18"/>
                <w:szCs w:val="18"/>
              </w:rPr>
              <w:t xml:space="preserve"> (móviles), precintos numerados, formulario de entrega/recepción firmado.</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Almacenamiento</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Lugar con acceso restringido, condiciones ambientales, registro de accesos.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Acceso y análisis</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Quién accede, cuándo y con qué fin; el análisis se hace sobre </w:t>
            </w:r>
            <w:r>
              <w:rPr>
                <w:sz w:val="18"/>
                <w:szCs w:val="18"/>
              </w:rPr>
              <w:t xml:space="preserve">copias verificadas</w:t>
            </w:r>
            <w:r>
              <w:rPr>
                <w:sz w:val="18"/>
                <w:szCs w:val="18"/>
              </w:rPr>
              <w:t xml:space="preserve">, nunca sobre el original.</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Presentación y conservación/devolución</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Entrega al órgano judicial; conservación o destrucción según resolución.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pStyle w:val="ListParagraph"/>
              <w:numPr>
                <w:ilvl w:val="0"/>
                <w:numId w:val="2"/>
              </w:numPr>
              <w:spacing w:after="40"/>
            </w:pPr>
            <w:r>
              <w:rPr>
                <w:b/>
                <w:bCs/>
                <w:sz w:val="19"/>
                <w:szCs w:val="19"/>
              </w:rPr>
              <w:t xml:space="preserve">Cadena de custodia ≠ copia de seguridad</w:t>
            </w:r>
            <w:r>
              <w:rPr>
                <w:sz w:val="19"/>
                <w:szCs w:val="19"/>
              </w:rPr>
              <w:t xml:space="preserve">: la copia de seguridad es una medida de </w:t>
            </w:r>
            <w:r>
              <w:rPr>
                <w:b/>
                <w:bCs/>
                <w:sz w:val="19"/>
                <w:szCs w:val="19"/>
              </w:rPr>
              <w:t xml:space="preserve">disponibilidad</w:t>
            </w:r>
            <w:r>
              <w:rPr>
                <w:sz w:val="19"/>
                <w:szCs w:val="19"/>
              </w:rPr>
              <w:t xml:space="preserve">; la cadena de custodia es una </w:t>
            </w:r>
            <w:r>
              <w:rPr>
                <w:b/>
                <w:bCs/>
                <w:sz w:val="19"/>
                <w:szCs w:val="19"/>
              </w:rPr>
              <w:t xml:space="preserve">garantía de trazabilidad</w:t>
            </w:r>
            <w:r>
              <w:rPr>
                <w:sz w:val="19"/>
                <w:szCs w:val="19"/>
              </w:rPr>
              <w:t xml:space="preserve"> probatoria.</w:t>
            </w:r>
          </w:p>
          <w:p>
            <w:pPr>
              <w:pStyle w:val="ListParagraph"/>
              <w:numPr>
                <w:ilvl w:val="0"/>
                <w:numId w:val="2"/>
              </w:numPr>
              <w:spacing w:after="40"/>
            </w:pPr>
            <w:r>
              <w:rPr>
                <w:b/>
                <w:bCs/>
                <w:sz w:val="19"/>
                <w:szCs w:val="19"/>
              </w:rPr>
              <w:t xml:space="preserve">Cadena de custodia ≠ integridad criptográfica</w:t>
            </w:r>
            <w:r>
              <w:rPr>
                <w:sz w:val="19"/>
                <w:szCs w:val="19"/>
              </w:rPr>
              <w:t xml:space="preserve">: el hash demuestra que la copia </w:t>
            </w:r>
            <w:r>
              <w:rPr>
                <w:b/>
                <w:bCs/>
                <w:sz w:val="19"/>
                <w:szCs w:val="19"/>
              </w:rPr>
              <w:t xml:space="preserve">coincide</w:t>
            </w:r>
            <w:r>
              <w:rPr>
                <w:sz w:val="19"/>
                <w:szCs w:val="19"/>
              </w:rPr>
              <w:t xml:space="preserve">; la cadena de custodia demuestra </w:t>
            </w:r>
            <w:r>
              <w:rPr>
                <w:b/>
                <w:bCs/>
                <w:sz w:val="19"/>
                <w:szCs w:val="19"/>
              </w:rPr>
              <w:t xml:space="preserve">quién, cuándo y cómo</w:t>
            </w:r>
            <w:r>
              <w:rPr>
                <w:sz w:val="19"/>
                <w:szCs w:val="19"/>
              </w:rPr>
              <w:t xml:space="preserve"> se manejó. Se complementan.</w:t>
            </w:r>
          </w:p>
        </w:tc>
      </w:tr>
    </w:tbl>
    <w:p>
      <w:pPr>
        <w:spacing w:after="120"/>
      </w:pPr>
    </w:p>
    <w:p>
      <w:pPr>
        <w:pStyle w:val="Heading1"/>
        <w:keepNext/>
        <w:spacing w:after="200" w:before="360"/>
      </w:pPr>
      <w:r>
        <w:t xml:space="preserve">27. Informática forense</w:t>
      </w:r>
    </w:p>
    <w:p>
      <w:pPr>
        <w:pStyle w:val="Heading2"/>
        <w:keepNext/>
      </w:pPr>
      <w:r>
        <w:t xml:space="preserve">27.1 Definición</w:t>
      </w:r>
    </w:p>
    <w:p>
      <w:pPr>
        <w:spacing w:after="120"/>
        <w:jc w:val="both"/>
      </w:pPr>
      <w:r>
        <w:t xml:space="preserve">La definición clásica procede del </w:t>
      </w:r>
      <w:r>
        <w:rPr>
          <w:b/>
          <w:bCs/>
        </w:rPr>
        <w:t xml:space="preserve">Digital Forensic Research Workshop (DFRWS, 2001)</w:t>
      </w:r>
      <w:r>
        <w:t xml:space="preserve">: la ciencia forense digital es </w:t>
      </w:r>
      <w:r>
        <w:rPr>
          <w:b/>
          <w:bCs/>
        </w:rPr>
        <w:t xml:space="preserve">el uso de métodos científicamente derivados y probados para la preservación, recolección, validación, identificación, análisis, interpretación, documentación y presentación de evidencia digital derivada de fuentes digitales, con el propósito de facilitar o promover la reconstrucción de eventos considerados delictivos</w:t>
      </w:r>
      <w:r>
        <w:t xml:space="preserve">, o de ayudar a anticipar acciones no autorizadas que se muestren perturbadoras para operaciones planificadas. Es exactamente la definición de la </w:t>
      </w:r>
      <w:r>
        <w:rPr>
          <w:b/>
          <w:bCs/>
        </w:rPr>
        <w:t xml:space="preserve">pregunta 585</w:t>
      </w:r>
      <w:r>
        <w:t xml:space="preserve"> del CSV → </w:t>
      </w:r>
      <w:r>
        <w:rPr>
          <w:b/>
          <w:bCs/>
        </w:rPr>
        <w:t xml:space="preserve">informática forense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Término</w:t>
            </w:r>
          </w:p>
        </w:tc>
        <w:tc>
          <w:tcPr>
            <w:tcW w:type="dxa" w:w="674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Alcance</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Informática forense (</w:t>
            </w:r>
            <w:r>
              <w:rPr>
                <w:i/>
                <w:iCs/>
                <w:sz w:val="18"/>
                <w:szCs w:val="18"/>
              </w:rPr>
              <w:t xml:space="preserve">computer forensics</w:t>
            </w:r>
            <w:r>
              <w:rPr>
                <w:sz w:val="18"/>
                <w:szCs w:val="18"/>
              </w:rPr>
              <w:t xml:space="preserve">)</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Disciplina que aplica técnicas científicas y analíticas a sistemas informáticos para obtener evidencia con validez legal.</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Análisis forense digital</w:t>
            </w:r>
          </w:p>
        </w:tc>
        <w:tc>
          <w:tcPr>
            <w:tcW w:type="dxa" w:w="67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La fase o actividad de examinar e interpretar la evidencia adquirida.</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Investigación forense</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El proceso completo orientado a responder preguntas (qué, quién, cuándo, cómo, desde dónde) sobre un incidente o delito.</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Ciencia forense digital</w:t>
            </w:r>
          </w:p>
        </w:tc>
        <w:tc>
          <w:tcPr>
            <w:tcW w:type="dxa" w:w="67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Término paraguas que incluye subdisciplinas: sistemas, redes, móviles, cloud, memoria, multimedia.</w:t>
            </w:r>
          </w:p>
        </w:tc>
      </w:tr>
    </w:tbl>
    <w:p>
      <w:pPr>
        <w:spacing w:after="120"/>
      </w:pPr>
    </w:p>
    <w:p>
      <w:pPr>
        <w:pStyle w:val="Heading2"/>
        <w:keepNext/>
      </w:pPr>
      <w:r>
        <w:t xml:space="preserve">27.2 Objetivos</w:t>
      </w:r>
    </w:p>
    <w:p>
      <w:pPr>
        <w:spacing w:after="120"/>
        <w:jc w:val="both"/>
      </w:pPr>
      <w:r>
        <w:rPr>
          <w:b/>
          <w:bCs/>
        </w:rPr>
        <w:t xml:space="preserve">Identificar</w:t>
      </w:r>
      <w:r>
        <w:t xml:space="preserve"> fuentes de evidencia, </w:t>
      </w:r>
      <w:r>
        <w:rPr>
          <w:b/>
          <w:bCs/>
        </w:rPr>
        <w:t xml:space="preserve">preservar</w:t>
      </w:r>
      <w:r>
        <w:t xml:space="preserve"> su integridad, </w:t>
      </w:r>
      <w:r>
        <w:rPr>
          <w:b/>
          <w:bCs/>
        </w:rPr>
        <w:t xml:space="preserve">adquirir</w:t>
      </w:r>
      <w:r>
        <w:t xml:space="preserve"> copias fiables, </w:t>
      </w:r>
      <w:r>
        <w:rPr>
          <w:b/>
          <w:bCs/>
        </w:rPr>
        <w:t xml:space="preserve">examinar</w:t>
      </w:r>
      <w:r>
        <w:t xml:space="preserve"> y </w:t>
      </w:r>
      <w:r>
        <w:rPr>
          <w:b/>
          <w:bCs/>
        </w:rPr>
        <w:t xml:space="preserve">analizar</w:t>
      </w:r>
      <w:r>
        <w:t xml:space="preserve"> su contenido, </w:t>
      </w:r>
      <w:r>
        <w:rPr>
          <w:b/>
          <w:bCs/>
        </w:rPr>
        <w:t xml:space="preserve">interpretar</w:t>
      </w:r>
      <w:r>
        <w:t xml:space="preserve"> los hallazgos, </w:t>
      </w:r>
      <w:r>
        <w:rPr>
          <w:b/>
          <w:bCs/>
        </w:rPr>
        <w:t xml:space="preserve">documentar</w:t>
      </w:r>
      <w:r>
        <w:t xml:space="preserve"> todo el proceso y </w:t>
      </w:r>
      <w:r>
        <w:rPr>
          <w:b/>
          <w:bCs/>
        </w:rPr>
        <w:t xml:space="preserve">presentar</w:t>
      </w:r>
      <w:r>
        <w:t xml:space="preserve"> conclusiones comprensibles y defendibles ante terceros (juez, dirección, autoridad de control).</w:t>
      </w:r>
    </w:p>
    <w:p>
      <w:pPr>
        <w:pStyle w:val="Heading2"/>
        <w:keepNext/>
      </w:pPr>
      <w:r>
        <w:t xml:space="preserve">27.3 Análisis forense frente a respuesta a incidentes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096"/>
        <w:gridCol w:w="4097"/>
      </w:tblGrid>
      <w:tr>
        <w:trPr>
          <w:tblHeader/>
        </w:trPr>
        <w:tc>
          <w:tcPr>
            <w:tcW w:type="dxa" w:w="144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p>
        </w:tc>
        <w:tc>
          <w:tcPr>
            <w:tcW w:type="dxa" w:w="409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Respuesta a incidentes (IR)</w:t>
            </w:r>
          </w:p>
        </w:tc>
        <w:tc>
          <w:tcPr>
            <w:tcW w:type="dxa" w:w="409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Análisis forense</w:t>
            </w:r>
          </w:p>
        </w:tc>
      </w:tr>
      <w:tr>
        <w:trPr>
          <w:cantSplit/>
        </w:trPr>
        <w:tc>
          <w:tcPr>
            <w:tcW w:type="dxa" w:w="14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Objetivo</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Contener, erradicar y recuperar</w:t>
            </w:r>
            <w:r>
              <w:rPr>
                <w:sz w:val="18"/>
                <w:szCs w:val="18"/>
              </w:rPr>
              <w:t xml:space="preserve"> el servicio lo antes posible.</w:t>
            </w:r>
          </w:p>
        </w:tc>
        <w:tc>
          <w:tcPr>
            <w:tcW w:type="dxa" w:w="40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Reconstruir los hechos</w:t>
            </w:r>
            <w:r>
              <w:rPr>
                <w:sz w:val="18"/>
                <w:szCs w:val="18"/>
              </w:rPr>
              <w:t xml:space="preserve"> con garantías y obtener evidencia defendible.</w:t>
            </w:r>
          </w:p>
        </w:tc>
      </w:tr>
      <w:tr>
        <w:trPr>
          <w:cantSplit/>
        </w:trPr>
        <w:tc>
          <w:tcPr>
            <w:tcW w:type="dxa" w:w="144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Prioridad</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Continuidad del servicio.</w:t>
            </w:r>
          </w:p>
        </w:tc>
        <w:tc>
          <w:tcPr>
            <w:tcW w:type="dxa" w:w="40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Integridad de la evidencia.</w:t>
            </w:r>
          </w:p>
        </w:tc>
      </w:tr>
      <w:tr>
        <w:trPr>
          <w:cantSplit/>
        </w:trPr>
        <w:tc>
          <w:tcPr>
            <w:tcW w:type="dxa" w:w="14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Tiempo</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Inmediato.</w:t>
            </w:r>
          </w:p>
        </w:tc>
        <w:tc>
          <w:tcPr>
            <w:tcW w:type="dxa" w:w="40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Puede prolongarse.</w:t>
            </w:r>
          </w:p>
        </w:tc>
      </w:tr>
      <w:tr>
        <w:trPr>
          <w:cantSplit/>
        </w:trPr>
        <w:tc>
          <w:tcPr>
            <w:tcW w:type="dxa" w:w="144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Referencia</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NIST SP 800-61 (Rev. 3, 2025); guías CCN-STIC; ENS (op.exp.7).</w:t>
            </w:r>
          </w:p>
        </w:tc>
        <w:tc>
          <w:tcPr>
            <w:tcW w:type="dxa" w:w="409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NIST SP 800-86; ISO/IEC 27037/27041/27042/27043; UNE 71506.</w:t>
            </w:r>
          </w:p>
        </w:tc>
      </w:tr>
      <w:tr>
        <w:trPr>
          <w:cantSplit/>
        </w:trPr>
        <w:tc>
          <w:tcPr>
            <w:tcW w:type="dxa" w:w="14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Relación</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Las acciones de IR (reiniciar, reinstalar) pueden </w:t>
            </w:r>
            <w:r>
              <w:rPr>
                <w:sz w:val="18"/>
                <w:szCs w:val="18"/>
              </w:rPr>
              <w:t xml:space="preserve">destruir evidencia</w:t>
            </w:r>
            <w:r>
              <w:rPr>
                <w:sz w:val="18"/>
                <w:szCs w:val="18"/>
              </w:rPr>
              <w:t xml:space="preserve">: por eso debe integrarse la </w:t>
            </w:r>
            <w:r>
              <w:rPr>
                <w:sz w:val="18"/>
                <w:szCs w:val="18"/>
              </w:rPr>
              <w:t xml:space="preserve">preparación forense</w:t>
            </w:r>
            <w:r>
              <w:rPr>
                <w:sz w:val="18"/>
                <w:szCs w:val="18"/>
              </w:rPr>
              <w:t xml:space="preserve"> (</w:t>
            </w:r>
            <w:r>
              <w:rPr>
                <w:i/>
                <w:iCs/>
                <w:sz w:val="18"/>
                <w:szCs w:val="18"/>
              </w:rPr>
              <w:t xml:space="preserve">forensic readiness</w:t>
            </w:r>
            <w:r>
              <w:rPr>
                <w:sz w:val="18"/>
                <w:szCs w:val="18"/>
              </w:rPr>
              <w:t xml:space="preserve">) y preservar antes de erradicar cuando sea posible.</w:t>
            </w:r>
          </w:p>
        </w:tc>
        <w:tc>
          <w:tcPr>
            <w:tcW w:type="dxa" w:w="40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Se nutre de la IR y aporta lecciones aprendidas.</w:t>
            </w:r>
          </w:p>
        </w:tc>
      </w:tr>
    </w:tbl>
    <w:p>
      <w:pPr>
        <w:spacing w:after="120"/>
      </w:pPr>
    </w:p>
    <w:p>
      <w:pPr>
        <w:pStyle w:val="Heading1"/>
        <w:keepNext/>
        <w:spacing w:after="200" w:before="360"/>
      </w:pPr>
      <w:r>
        <w:t xml:space="preserve">28. Fases del análisis forense</w:t>
      </w:r>
    </w:p>
    <w:p>
      <w:pPr>
        <w:spacing w:after="120"/>
        <w:jc w:val="both"/>
      </w:pPr>
      <w:r>
        <w:t xml:space="preserve">No existe una única metodología oficial: cada estándar usa sus propios nombres y número de fases. Lo importante es la </w:t>
      </w:r>
      <w:r>
        <w:rPr>
          <w:b/>
          <w:bCs/>
        </w:rPr>
        <w:t xml:space="preserve">secuencia lógica</w:t>
      </w:r>
      <w:r>
        <w:t xml:space="preserve"> y los </w:t>
      </w:r>
      <w:r>
        <w:rPr>
          <w:b/>
          <w:bCs/>
        </w:rPr>
        <w:t xml:space="preserve">principios</w:t>
      </w:r>
      <w:r>
        <w:t xml:space="preserve">: minimizar la alteración del original, trabajar sobre copias verificadas, documentarlo todo y poder reproducir los resultados.</w:t>
      </w:r>
    </w:p>
    <w:p>
      <w:pPr>
        <w:spacing w:after="80"/>
        <w:jc w:val="center"/>
      </w:pPr>
      <w:r>
        <w:rPr>
          <w:b/>
          <w:bCs/>
          <w:color w:val="1F3864"/>
          <w:sz w:val="20"/>
          <w:szCs w:val="20"/>
        </w:rPr>
        <w:t xml:space="preserve">Metodología general del análisis forense</w:t>
      </w:r>
    </w:p>
    <w:tbl>
      <w:tblPr>
        <w:tblW w:type="dxa" w:w="9996"/>
        <w:jc w:val="center"/>
        <w:tblBorders>
          <w:top w:val="single" w:color="auto" w:sz="4"/>
          <w:left w:val="single" w:color="auto" w:sz="4"/>
          <w:bottom w:val="single" w:color="auto" w:sz="4"/>
          <w:right w:val="single" w:color="auto" w:sz="4"/>
          <w:insideH w:val="single" w:color="auto" w:sz="4"/>
          <w:insideV w:val="single" w:color="auto" w:sz="4"/>
        </w:tblBorders>
      </w:tblPr>
      <w:tblGrid>
        <w:gridCol w:w="2139"/>
        <w:gridCol w:w="360"/>
        <w:gridCol w:w="2139"/>
        <w:gridCol w:w="360"/>
        <w:gridCol w:w="2139"/>
        <w:gridCol w:w="360"/>
        <w:gridCol w:w="2139"/>
        <w:gridCol w:w="360"/>
      </w:tblGrid>
      <w:tr>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Identificación</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Preservación</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Adquisición</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Verificación (hash)</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r>
    </w:tbl>
    <w:p>
      <w:pPr>
        <w:spacing w:after="60"/>
      </w:pP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Pr>
      <w:tblGrid>
        <w:gridCol w:w="2139"/>
        <w:gridCol w:w="360"/>
        <w:gridCol w:w="2139"/>
        <w:gridCol w:w="360"/>
        <w:gridCol w:w="2139"/>
        <w:gridCol w:w="360"/>
        <w:gridCol w:w="2139"/>
      </w:tblGrid>
      <w:tr>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Examen</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Análisis</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Informe</w:t>
            </w:r>
          </w:p>
        </w:tc>
        <w:tc>
          <w:tcPr>
            <w:tcW w:type="dxa" w:w="360"/>
            <w:tcBorders>
              <w:top w:val="none" w:color="FFFFFF" w:sz="0"/>
              <w:left w:val="none" w:color="FFFFFF" w:sz="0"/>
              <w:bottom w:val="none" w:color="FFFFFF" w:sz="0"/>
              <w:right w:val="none" w:color="FFFFFF" w:sz="0"/>
            </w:tcBorders>
            <w:tcMar>
              <w:top w:type="dxa" w:w="60"/>
              <w:left w:type="dxa" w:w="90"/>
              <w:bottom w:type="dxa" w:w="60"/>
              <w:right w:type="dxa" w:w="90"/>
            </w:tcMar>
          </w:tcPr>
          <w:p>
            <w:pPr>
              <w:spacing w:after="40"/>
              <w:jc w:val="center"/>
            </w:pPr>
            <w:r>
              <w:rPr>
                <w:b/>
                <w:bCs/>
                <w:color w:val="2E75B6"/>
                <w:sz w:val="24"/>
                <w:szCs w:val="24"/>
              </w:rPr>
              <w:t xml:space="preserve">→</w:t>
            </w:r>
          </w:p>
        </w:tc>
        <w:tc>
          <w:tcPr>
            <w:tcW w:type="dxa" w:w="2139"/>
            <w:tcBorders>
              <w:top w:val="single" w:color="2E75B6" w:sz="4"/>
              <w:left w:val="single" w:color="2E75B6" w:sz="4"/>
              <w:bottom w:val="single" w:color="2E75B6" w:sz="4"/>
              <w:right w:val="single" w:color="2E75B6" w:sz="4"/>
            </w:tcBorders>
            <w:shd w:fill="DEEAF6" w:color="auto" w:val="clear"/>
            <w:tcMar>
              <w:top w:type="dxa" w:w="60"/>
              <w:left w:type="dxa" w:w="90"/>
              <w:bottom w:type="dxa" w:w="60"/>
              <w:right w:type="dxa" w:w="90"/>
            </w:tcMar>
          </w:tcPr>
          <w:p>
            <w:pPr>
              <w:spacing w:after="40"/>
              <w:jc w:val="center"/>
            </w:pPr>
            <w:r>
              <w:rPr>
                <w:b/>
                <w:bCs/>
                <w:sz w:val="17"/>
                <w:szCs w:val="17"/>
              </w:rPr>
              <w:t xml:space="preserve">Presentación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
        <w:gridCol w:w="2168"/>
        <w:gridCol w:w="6748"/>
      </w:tblGrid>
      <w:tr>
        <w:trPr>
          <w:tblHeader/>
        </w:trPr>
        <w:tc>
          <w:tcPr>
            <w:tcW w:type="dxa" w:w="722"/>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N.º</w:t>
            </w:r>
          </w:p>
        </w:tc>
        <w:tc>
          <w:tcPr>
            <w:tcW w:type="dxa" w:w="216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Fase</w:t>
            </w:r>
          </w:p>
        </w:tc>
        <w:tc>
          <w:tcPr>
            <w:tcW w:type="dxa" w:w="674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Contenido</w:t>
            </w:r>
          </w:p>
        </w:tc>
      </w:tr>
      <w:tr>
        <w:trPr>
          <w:cantSplit/>
        </w:trPr>
        <w:tc>
          <w:tcPr>
            <w:tcW w:type="dxa" w:w="72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w:t>
            </w:r>
          </w:p>
        </w:tc>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Identificación</w:t>
            </w:r>
          </w:p>
        </w:tc>
        <w:tc>
          <w:tcPr>
            <w:tcW w:type="dxa" w:w="67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Determinar qué ha ocurrido, alcance, qué dispositivos y datos pueden contener evidencia y su volatilidad.</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2</w:t>
            </w:r>
          </w:p>
        </w:tc>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Preparación</w:t>
            </w:r>
          </w:p>
        </w:tc>
        <w:tc>
          <w:tcPr>
            <w:tcW w:type="dxa" w:w="674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Autorizaciones (judiciales o internas), equipo, herramientas validadas, soportes estériles, formularios.</w:t>
            </w:r>
          </w:p>
        </w:tc>
      </w:tr>
      <w:tr>
        <w:trPr>
          <w:cantSplit/>
        </w:trPr>
        <w:tc>
          <w:tcPr>
            <w:tcW w:type="dxa" w:w="72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3</w:t>
            </w:r>
          </w:p>
        </w:tc>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Aseguramiento de la escena</w:t>
            </w:r>
          </w:p>
        </w:tc>
        <w:tc>
          <w:tcPr>
            <w:tcW w:type="dxa" w:w="67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Evitar manipulación; fotografiar; decidir si el equipo se apaga o se adquiere en vivo; aislar de la red si procede.</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4</w:t>
            </w:r>
          </w:p>
        </w:tc>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Preservación</w:t>
            </w:r>
          </w:p>
        </w:tc>
        <w:tc>
          <w:tcPr>
            <w:tcW w:type="dxa" w:w="674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Proteger el original frente a alteraciones (bloqueadores, Faraday, precintos).</w:t>
            </w:r>
          </w:p>
        </w:tc>
      </w:tr>
      <w:tr>
        <w:trPr>
          <w:cantSplit/>
        </w:trPr>
        <w:tc>
          <w:tcPr>
            <w:tcW w:type="dxa" w:w="72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5</w:t>
            </w:r>
          </w:p>
        </w:tc>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Adquisición</w:t>
            </w:r>
          </w:p>
        </w:tc>
        <w:tc>
          <w:tcPr>
            <w:tcW w:type="dxa" w:w="67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Obtener copias forenses siguiendo el </w:t>
            </w:r>
            <w:r>
              <w:rPr>
                <w:sz w:val="18"/>
                <w:szCs w:val="18"/>
              </w:rPr>
              <w:t xml:space="preserve">orden de volatilidad</w:t>
            </w:r>
            <w:r>
              <w:rPr>
                <w:sz w:val="18"/>
                <w:szCs w:val="18"/>
              </w:rPr>
              <w:t xml:space="preserve">.</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6</w:t>
            </w:r>
          </w:p>
        </w:tc>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Verificación</w:t>
            </w:r>
          </w:p>
        </w:tc>
        <w:tc>
          <w:tcPr>
            <w:tcW w:type="dxa" w:w="674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Calcular y comparar </w:t>
            </w:r>
            <w:r>
              <w:rPr>
                <w:sz w:val="18"/>
                <w:szCs w:val="18"/>
              </w:rPr>
              <w:t xml:space="preserve">hashes</w:t>
            </w:r>
            <w:r>
              <w:rPr>
                <w:sz w:val="18"/>
                <w:szCs w:val="18"/>
              </w:rPr>
              <w:t xml:space="preserve"> de original y copia.</w:t>
            </w:r>
          </w:p>
        </w:tc>
      </w:tr>
      <w:tr>
        <w:trPr>
          <w:cantSplit/>
        </w:trPr>
        <w:tc>
          <w:tcPr>
            <w:tcW w:type="dxa" w:w="72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7</w:t>
            </w:r>
          </w:p>
        </w:tc>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Examen</w:t>
            </w:r>
          </w:p>
        </w:tc>
        <w:tc>
          <w:tcPr>
            <w:tcW w:type="dxa" w:w="67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Extraer y filtrar datos relevantes (recuperación de borrados, búsquedas, indexado).</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8</w:t>
            </w:r>
          </w:p>
        </w:tc>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Análisis</w:t>
            </w:r>
          </w:p>
        </w:tc>
        <w:tc>
          <w:tcPr>
            <w:tcW w:type="dxa" w:w="674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Correlacionar datos, construir la línea temporal, responder a las preguntas de la investigación.</w:t>
            </w:r>
          </w:p>
        </w:tc>
      </w:tr>
      <w:tr>
        <w:trPr>
          <w:cantSplit/>
        </w:trPr>
        <w:tc>
          <w:tcPr>
            <w:tcW w:type="dxa" w:w="72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9</w:t>
            </w:r>
          </w:p>
        </w:tc>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Interpretación</w:t>
            </w:r>
          </w:p>
        </w:tc>
        <w:tc>
          <w:tcPr>
            <w:tcW w:type="dxa" w:w="67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Dar significado técnico a los hallazgos, valorando hipótesis alternativas.</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10</w:t>
            </w:r>
          </w:p>
        </w:tc>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Documentación</w:t>
            </w:r>
          </w:p>
        </w:tc>
        <w:tc>
          <w:tcPr>
            <w:tcW w:type="dxa" w:w="674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Registro continuo de todas las acciones (cuaderno de trabajo).</w:t>
            </w:r>
          </w:p>
        </w:tc>
      </w:tr>
      <w:tr>
        <w:trPr>
          <w:cantSplit/>
        </w:trPr>
        <w:tc>
          <w:tcPr>
            <w:tcW w:type="dxa" w:w="72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11</w:t>
            </w:r>
          </w:p>
        </w:tc>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Informe</w:t>
            </w:r>
          </w:p>
        </w:tc>
        <w:tc>
          <w:tcPr>
            <w:tcW w:type="dxa" w:w="67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Documento técnico con hechos, métodos, resultados, limitaciones y conclusiones.</w:t>
            </w:r>
          </w:p>
        </w:tc>
      </w:tr>
      <w:tr>
        <w:trPr>
          <w:cantSplit/>
        </w:trPr>
        <w:tc>
          <w:tcPr>
            <w:tcW w:type="dxa" w:w="72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12</w:t>
            </w:r>
          </w:p>
        </w:tc>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Presentación</w:t>
            </w:r>
          </w:p>
        </w:tc>
        <w:tc>
          <w:tcPr>
            <w:tcW w:type="dxa" w:w="674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Defensa del informe ante el órgano judicial o administrativo (ratificación, contradicción).</w:t>
            </w:r>
          </w:p>
        </w:tc>
      </w:tr>
      <w:tr>
        <w:trPr>
          <w:cantSplit/>
        </w:trPr>
        <w:tc>
          <w:tcPr>
            <w:tcW w:type="dxa" w:w="72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13</w:t>
            </w:r>
          </w:p>
        </w:tc>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Conservación</w:t>
            </w:r>
          </w:p>
        </w:tc>
        <w:tc>
          <w:tcPr>
            <w:tcW w:type="dxa" w:w="67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Custodia de originales y copias durante el plazo necesario; devolución o destrucción segura.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Referencia</w:t>
            </w:r>
          </w:p>
        </w:tc>
        <w:tc>
          <w:tcPr>
            <w:tcW w:type="dxa" w:w="674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Fases que propone</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NIST SP 800-86 (2006)</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Recolección → Examen → Análisis → Informe</w:t>
            </w:r>
            <w:r>
              <w:rPr>
                <w:sz w:val="18"/>
                <w:szCs w:val="18"/>
              </w:rPr>
              <w:t xml:space="preserve"> (</w:t>
            </w:r>
            <w:r>
              <w:rPr>
                <w:i/>
                <w:iCs/>
                <w:sz w:val="18"/>
                <w:szCs w:val="18"/>
              </w:rPr>
              <w:t xml:space="preserve">collection, examination, analysis, reporting</w:t>
            </w:r>
            <w:r>
              <w:rPr>
                <w:sz w:val="18"/>
                <w:szCs w:val="18"/>
              </w:rPr>
              <w:t xml:space="preserve">).</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ISO/IEC 27037:2012</w:t>
            </w:r>
          </w:p>
        </w:tc>
        <w:tc>
          <w:tcPr>
            <w:tcW w:type="dxa" w:w="67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Manejo de la evidencia: </w:t>
            </w:r>
            <w:r>
              <w:rPr>
                <w:sz w:val="18"/>
                <w:szCs w:val="18"/>
              </w:rPr>
              <w:t xml:space="preserve">identificación, recolección, adquisición y preservación</w:t>
            </w:r>
            <w:r>
              <w:rPr>
                <w:sz w:val="18"/>
                <w:szCs w:val="18"/>
              </w:rPr>
              <w:t xml:space="preserve">.</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ISO/IEC 27042:2015</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Análisis e interpretación.</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ISO/IEC 27043:2015</w:t>
            </w:r>
          </w:p>
        </w:tc>
        <w:tc>
          <w:tcPr>
            <w:tcW w:type="dxa" w:w="67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Procesos de investigación de incidentes (preparación, iniciación, adquisición, investigación, concurrentes).</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UNE 71506:2013</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Metodología para el análisis forense de las evidencias electrónicas: </w:t>
            </w:r>
            <w:r>
              <w:rPr>
                <w:sz w:val="18"/>
                <w:szCs w:val="18"/>
              </w:rPr>
              <w:t xml:space="preserve">preservación, adquisición, documentación, análisis y presentación</w:t>
            </w:r>
            <w:r>
              <w:rPr>
                <w:sz w:val="18"/>
                <w:szCs w:val="18"/>
              </w:rPr>
              <w:t xml:space="preserve">.</w:t>
            </w:r>
          </w:p>
        </w:tc>
      </w:tr>
    </w:tbl>
    <w:p>
      <w:pPr>
        <w:spacing w:after="120"/>
      </w:pPr>
    </w:p>
    <w:p>
      <w:pPr>
        <w:pStyle w:val="Heading1"/>
        <w:keepNext/>
        <w:spacing w:after="200" w:before="360"/>
      </w:pPr>
      <w:r>
        <w:t xml:space="preserve">29. Adquisición forense</w:t>
      </w:r>
    </w:p>
    <w:p>
      <w:pPr>
        <w:pStyle w:val="Heading2"/>
        <w:keepNext/>
      </w:pPr>
      <w:r>
        <w:t xml:space="preserve">29.1 Orden de volatilidad (RFC 3227)</w:t>
      </w:r>
    </w:p>
    <w:p>
      <w:pPr>
        <w:spacing w:after="120"/>
        <w:jc w:val="both"/>
      </w:pPr>
      <w:r>
        <w:t xml:space="preserve">El </w:t>
      </w:r>
      <w:r>
        <w:rPr>
          <w:b/>
          <w:bCs/>
        </w:rPr>
        <w:t xml:space="preserve">RFC 3227</w:t>
      </w:r>
      <w:r>
        <w:t xml:space="preserve"> (</w:t>
      </w:r>
      <w:r>
        <w:rPr>
          <w:i/>
          <w:iCs/>
        </w:rPr>
        <w:t xml:space="preserve">Guidelines for Evidence Collection and Archiving</w:t>
      </w:r>
      <w:r>
        <w:t xml:space="preserve">, 2002) recomienda recoger primero lo </w:t>
      </w:r>
      <w:r>
        <w:rPr>
          <w:b/>
          <w:bCs/>
        </w:rPr>
        <w:t xml:space="preserve">más volátil</w:t>
      </w:r>
      <w:r>
        <w:t xml:space="preserve">:</w:t>
      </w:r>
    </w:p>
    <w:p>
      <w:pPr>
        <w:pStyle w:val="ListParagraph"/>
        <w:numPr>
          <w:ilvl w:val="0"/>
          <w:numId w:val="4"/>
        </w:numPr>
        <w:spacing w:after="60"/>
      </w:pPr>
      <w:r>
        <w:t xml:space="preserve">Registros y caché de la CPU.</w:t>
      </w:r>
    </w:p>
    <w:p>
      <w:pPr>
        <w:pStyle w:val="ListParagraph"/>
        <w:numPr>
          <w:ilvl w:val="0"/>
          <w:numId w:val="4"/>
        </w:numPr>
        <w:spacing w:after="60"/>
      </w:pPr>
      <w:r>
        <w:t xml:space="preserve">Tabla de enrutamiento, caché ARP, tabla de procesos, estadísticas del kernel, </w:t>
      </w:r>
      <w:r>
        <w:rPr>
          <w:b/>
          <w:bCs/>
        </w:rPr>
        <w:t xml:space="preserve">memoria (RAM)</w:t>
      </w:r>
      <w:r>
        <w:t xml:space="preserve">.</w:t>
      </w:r>
    </w:p>
    <w:p>
      <w:pPr>
        <w:pStyle w:val="ListParagraph"/>
        <w:numPr>
          <w:ilvl w:val="0"/>
          <w:numId w:val="4"/>
        </w:numPr>
        <w:spacing w:after="60"/>
      </w:pPr>
      <w:r>
        <w:t xml:space="preserve">Sistemas de ficheros temporales.</w:t>
      </w:r>
    </w:p>
    <w:p>
      <w:pPr>
        <w:pStyle w:val="ListParagraph"/>
        <w:numPr>
          <w:ilvl w:val="0"/>
          <w:numId w:val="4"/>
        </w:numPr>
        <w:spacing w:after="60"/>
      </w:pPr>
      <w:r>
        <w:t xml:space="preserve">Disco.</w:t>
      </w:r>
    </w:p>
    <w:p>
      <w:pPr>
        <w:pStyle w:val="ListParagraph"/>
        <w:numPr>
          <w:ilvl w:val="0"/>
          <w:numId w:val="4"/>
        </w:numPr>
        <w:spacing w:after="60"/>
      </w:pPr>
      <w:r>
        <w:t xml:space="preserve">Registros remotos (logs) y datos de monitorización relevantes.</w:t>
      </w:r>
    </w:p>
    <w:p>
      <w:pPr>
        <w:pStyle w:val="ListParagraph"/>
        <w:numPr>
          <w:ilvl w:val="0"/>
          <w:numId w:val="4"/>
        </w:numPr>
        <w:spacing w:after="60"/>
      </w:pPr>
      <w:r>
        <w:t xml:space="preserve">Configuración física y topología de la red.</w:t>
      </w:r>
    </w:p>
    <w:p>
      <w:pPr>
        <w:pStyle w:val="ListParagraph"/>
        <w:numPr>
          <w:ilvl w:val="0"/>
          <w:numId w:val="4"/>
        </w:numPr>
        <w:spacing w:after="60"/>
      </w:pPr>
      <w:r>
        <w:t xml:space="preserve">Medios de archivo (copias de seguridad, cintas).</w:t>
      </w:r>
    </w:p>
    <w:p>
      <w:pPr>
        <w:pStyle w:val="Heading2"/>
        <w:keepNext/>
      </w:pPr>
      <w:r>
        <w:t xml:space="preserve">29.2 Tipos de adquisición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096"/>
        <w:gridCol w:w="3133"/>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Tipo</w:t>
            </w:r>
          </w:p>
        </w:tc>
        <w:tc>
          <w:tcPr>
            <w:tcW w:type="dxa" w:w="409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Descripción</w:t>
            </w:r>
          </w:p>
        </w:tc>
        <w:tc>
          <w:tcPr>
            <w:tcW w:type="dxa" w:w="313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Ventajas / inconvenientes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Imagen forense física (bit a bit)</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Copia de </w:t>
            </w:r>
            <w:r>
              <w:rPr>
                <w:sz w:val="18"/>
                <w:szCs w:val="18"/>
              </w:rPr>
              <w:t xml:space="preserve">todos los sectores</w:t>
            </w:r>
            <w:r>
              <w:rPr>
                <w:sz w:val="18"/>
                <w:szCs w:val="18"/>
              </w:rPr>
              <w:t xml:space="preserve"> del soporte, incluidos espacio no asignado y </w:t>
            </w:r>
            <w:r>
              <w:rPr>
                <w:i/>
                <w:iCs/>
                <w:sz w:val="18"/>
                <w:szCs w:val="18"/>
              </w:rPr>
              <w:t xml:space="preserve">slack</w:t>
            </w:r>
            <w:r>
              <w:rPr>
                <w:sz w:val="18"/>
                <w:szCs w:val="18"/>
              </w:rPr>
              <w:t xml:space="preserve">. Formatos: RAW/dd, </w:t>
            </w:r>
            <w:r>
              <w:rPr>
                <w:sz w:val="18"/>
                <w:szCs w:val="18"/>
              </w:rPr>
              <w:t xml:space="preserve">E01</w:t>
            </w:r>
            <w:r>
              <w:rPr>
                <w:sz w:val="18"/>
                <w:szCs w:val="18"/>
              </w:rPr>
              <w:t xml:space="preserve"> (EnCase/Expert Witness), AFF4.</w:t>
            </w:r>
          </w:p>
        </w:tc>
        <w:tc>
          <w:tcPr>
            <w:tcW w:type="dxa" w:w="31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Máxima completitud; permite recuperar borrados. Lenta y voluminosa.</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Adquisición lógica</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Copia de ficheros y carpetas visibles por el sistema de archivos.</w:t>
            </w:r>
          </w:p>
        </w:tc>
        <w:tc>
          <w:tcPr>
            <w:tcW w:type="dxa" w:w="31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Rápida; no recupera datos borrados ni el espacio libre.</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Adquisición selectiva / triaje</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Solo de artefactos o ficheros concretos relevantes.</w:t>
            </w:r>
          </w:p>
        </w:tc>
        <w:tc>
          <w:tcPr>
            <w:tcW w:type="dxa" w:w="31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Proporcionada (minimización); riesgo de omitir evidencia.</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Adquisición en vivo (</w:t>
            </w:r>
            <w:r>
              <w:rPr>
                <w:i/>
                <w:iCs/>
                <w:sz w:val="18"/>
                <w:szCs w:val="18"/>
              </w:rPr>
              <w:t xml:space="preserve">live</w:t>
            </w:r>
            <w:r>
              <w:rPr>
                <w:sz w:val="18"/>
                <w:szCs w:val="18"/>
              </w:rPr>
              <w:t xml:space="preserve">)</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Con el sistema encendido: volcado de </w:t>
            </w:r>
            <w:r>
              <w:rPr>
                <w:sz w:val="18"/>
                <w:szCs w:val="18"/>
              </w:rPr>
              <w:t xml:space="preserve">RAM</w:t>
            </w:r>
            <w:r>
              <w:rPr>
                <w:sz w:val="18"/>
                <w:szCs w:val="18"/>
              </w:rPr>
              <w:t xml:space="preserve">, procesos, conexiones, volúmenes </w:t>
            </w:r>
            <w:r>
              <w:rPr>
                <w:sz w:val="18"/>
                <w:szCs w:val="18"/>
              </w:rPr>
              <w:t xml:space="preserve">cifrados montados</w:t>
            </w:r>
            <w:r>
              <w:rPr>
                <w:sz w:val="18"/>
                <w:szCs w:val="18"/>
              </w:rPr>
              <w:t xml:space="preserve">.</w:t>
            </w:r>
          </w:p>
        </w:tc>
        <w:tc>
          <w:tcPr>
            <w:tcW w:type="dxa" w:w="31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Imprescindible ante cifrado de disco o malware residente en memoria; altera mínimamente el sistema (debe documentarse).</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Adquisición </w:t>
            </w:r>
            <w:r>
              <w:rPr>
                <w:i/>
                <w:iCs/>
                <w:sz w:val="18"/>
                <w:szCs w:val="18"/>
              </w:rPr>
              <w:t xml:space="preserve">post mortem</w:t>
            </w:r>
            <w:r>
              <w:rPr>
                <w:sz w:val="18"/>
                <w:szCs w:val="18"/>
              </w:rPr>
              <w:t xml:space="preserve"> (en frío)</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 el equipo apagado, conectando el disco a través de </w:t>
            </w:r>
            <w:r>
              <w:rPr>
                <w:sz w:val="18"/>
                <w:szCs w:val="18"/>
              </w:rPr>
              <w:t xml:space="preserve">bloqueador de escritura</w:t>
            </w:r>
            <w:r>
              <w:rPr>
                <w:sz w:val="18"/>
                <w:szCs w:val="18"/>
              </w:rPr>
              <w:t xml:space="preserve">.</w:t>
            </w:r>
          </w:p>
        </w:tc>
        <w:tc>
          <w:tcPr>
            <w:tcW w:type="dxa" w:w="31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 altera el original; pierde la información volátil.</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Adquisición remota / cloud</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Mediante agentes, API o </w:t>
            </w:r>
            <w:r>
              <w:rPr>
                <w:i/>
                <w:iCs/>
                <w:sz w:val="18"/>
                <w:szCs w:val="18"/>
              </w:rPr>
              <w:t xml:space="preserve">snapshots</w:t>
            </w:r>
            <w:r>
              <w:rPr>
                <w:sz w:val="18"/>
                <w:szCs w:val="18"/>
              </w:rPr>
              <w:t xml:space="preserve"> del proveedor.</w:t>
            </w:r>
          </w:p>
        </w:tc>
        <w:tc>
          <w:tcPr>
            <w:tcW w:type="dxa" w:w="31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Dependencia del proveedor y problemas de jurisdicción.</w:t>
            </w:r>
          </w:p>
        </w:tc>
      </w:tr>
    </w:tbl>
    <w:p>
      <w:pPr>
        <w:spacing w:after="120"/>
      </w:pPr>
    </w:p>
    <w:p>
      <w:pPr>
        <w:pStyle w:val="Heading2"/>
        <w:keepNext/>
      </w:pPr>
      <w:r>
        <w:t xml:space="preserve">29.3 Principio de mínima alteración</w:t>
      </w:r>
    </w:p>
    <w:p>
      <w:pPr>
        <w:pStyle w:val="ListParagraph"/>
        <w:numPr>
          <w:ilvl w:val="0"/>
          <w:numId w:val="2"/>
        </w:numPr>
        <w:spacing w:after="60"/>
      </w:pPr>
      <w:r>
        <w:t xml:space="preserve">Usar </w:t>
      </w:r>
      <w:r>
        <w:rPr>
          <w:b/>
          <w:bCs/>
        </w:rPr>
        <w:t xml:space="preserve">bloqueadores de escritura</w:t>
      </w:r>
      <w:r>
        <w:t xml:space="preserve"> (hardware o software) para impedir modificaciones.</w:t>
      </w:r>
    </w:p>
    <w:p>
      <w:pPr>
        <w:pStyle w:val="ListParagraph"/>
        <w:numPr>
          <w:ilvl w:val="0"/>
          <w:numId w:val="2"/>
        </w:numPr>
        <w:spacing w:after="60"/>
      </w:pPr>
      <w:r>
        <w:t xml:space="preserve">Trabajar </w:t>
      </w:r>
      <w:r>
        <w:rPr>
          <w:b/>
          <w:bCs/>
        </w:rPr>
        <w:t xml:space="preserve">siempre sobre copias</w:t>
      </w:r>
      <w:r>
        <w:t xml:space="preserve"> verificadas; al menos dos copias (una maestra, una de trabajo).</w:t>
      </w:r>
    </w:p>
    <w:p>
      <w:pPr>
        <w:pStyle w:val="ListParagraph"/>
        <w:numPr>
          <w:ilvl w:val="0"/>
          <w:numId w:val="2"/>
        </w:numPr>
        <w:spacing w:after="60"/>
      </w:pPr>
      <w:r>
        <w:t xml:space="preserve">En </w:t>
      </w:r>
      <w:r>
        <w:rPr>
          <w:b/>
          <w:bCs/>
        </w:rPr>
        <w:t xml:space="preserve">SSD</w:t>
      </w:r>
      <w:r>
        <w:t xml:space="preserve"> el comando </w:t>
      </w:r>
      <w:r>
        <w:rPr>
          <w:b/>
          <w:bCs/>
        </w:rPr>
        <w:t xml:space="preserve">TRIM</w:t>
      </w:r>
      <w:r>
        <w:t xml:space="preserve"> y la recolección de basura pueden borrar datos al encender el equipo: adquirir cuanto antes.</w:t>
      </w:r>
    </w:p>
    <w:p>
      <w:pPr>
        <w:pStyle w:val="ListParagraph"/>
        <w:numPr>
          <w:ilvl w:val="0"/>
          <w:numId w:val="2"/>
        </w:numPr>
        <w:spacing w:after="60"/>
      </w:pPr>
      <w:r>
        <w:t xml:space="preserve">Documentar cualquier alteración inevitable (p. ej., herramientas de volcado de RAM ejecutadas en el sistema).</w:t>
      </w:r>
    </w:p>
    <w:p>
      <w:pPr>
        <w:pStyle w:val="Heading1"/>
        <w:keepNext/>
        <w:spacing w:after="200" w:before="360"/>
      </w:pPr>
      <w:r>
        <w:t xml:space="preserve">30. Funciones hash e integridad</w:t>
      </w:r>
    </w:p>
    <w:p>
      <w:pPr>
        <w:spacing w:after="120"/>
        <w:jc w:val="both"/>
      </w:pPr>
      <w:r>
        <w:t xml:space="preserve">Una </w:t>
      </w:r>
      <w:r>
        <w:rPr>
          <w:b/>
          <w:bCs/>
        </w:rPr>
        <w:t xml:space="preserve">función hash criptográfica</w:t>
      </w:r>
      <w:r>
        <w:t xml:space="preserve"> transforma una entrada de cualquier tamaño en un resumen de </w:t>
      </w:r>
      <w:r>
        <w:rPr>
          <w:b/>
          <w:bCs/>
        </w:rPr>
        <w:t xml:space="preserve">longitud fija</w:t>
      </w:r>
      <w:r>
        <w:t xml:space="preserve">, de forma </w:t>
      </w:r>
      <w:r>
        <w:rPr>
          <w:b/>
          <w:bCs/>
        </w:rPr>
        <w:t xml:space="preserve">determinista</w:t>
      </w:r>
      <w:r>
        <w:t xml:space="preserve">, </w:t>
      </w:r>
      <w:r>
        <w:rPr>
          <w:b/>
          <w:bCs/>
        </w:rPr>
        <w:t xml:space="preserve">unidireccional</w:t>
      </w:r>
      <w:r>
        <w:t xml:space="preserve"> (no se puede reconstruir la entrada), con </w:t>
      </w:r>
      <w:r>
        <w:rPr>
          <w:b/>
          <w:bCs/>
        </w:rPr>
        <w:t xml:space="preserve">efecto avalancha</w:t>
      </w:r>
      <w:r>
        <w:t xml:space="preserve"> (un cambio mínimo altera por completo el resultado) y </w:t>
      </w:r>
      <w:r>
        <w:rPr>
          <w:b/>
          <w:bCs/>
        </w:rPr>
        <w:t xml:space="preserve">resistente a colisiones</w:t>
      </w:r>
      <w:r>
        <w:t xml:space="preserve"> (debe ser inviable encontrar dos entradas con el mismo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1927"/>
        <w:gridCol w:w="5543"/>
      </w:tblGrid>
      <w:tr>
        <w:trPr>
          <w:tblHeader/>
        </w:trPr>
        <w:tc>
          <w:tcPr>
            <w:tcW w:type="dxa" w:w="216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Algoritmo</w:t>
            </w:r>
          </w:p>
        </w:tc>
        <w:tc>
          <w:tcPr>
            <w:tcW w:type="dxa" w:w="192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Longitud</w:t>
            </w:r>
          </w:p>
        </w:tc>
        <w:tc>
          <w:tcPr>
            <w:tcW w:type="dxa" w:w="554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Situación</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MD5</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128 bits (32 hex)</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Roto</w:t>
            </w:r>
            <w:r>
              <w:rPr>
                <w:sz w:val="18"/>
                <w:szCs w:val="18"/>
              </w:rPr>
              <w:t xml:space="preserve"> frente a colisiones (desde 2004). Se sigue usando en forensia como identificador complementario, </w:t>
            </w:r>
            <w:r>
              <w:rPr>
                <w:sz w:val="18"/>
                <w:szCs w:val="18"/>
              </w:rPr>
              <w:t xml:space="preserve">nunca solo</w:t>
            </w:r>
            <w:r>
              <w:rPr>
                <w:sz w:val="18"/>
                <w:szCs w:val="18"/>
              </w:rPr>
              <w:t xml:space="preserve">.</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SHA-1</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160 bits (40 hex)</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Colisión práctica demostrada (</w:t>
            </w:r>
            <w:r>
              <w:rPr>
                <w:i/>
                <w:iCs/>
                <w:sz w:val="18"/>
                <w:szCs w:val="18"/>
              </w:rPr>
              <w:t xml:space="preserve">SHAttered</w:t>
            </w:r>
            <w:r>
              <w:rPr>
                <w:sz w:val="18"/>
                <w:szCs w:val="18"/>
              </w:rPr>
              <w:t xml:space="preserve">, 2017). Obsoleto para seguridad; NIST planea su retirada completa.</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SHA-256 (familia SHA-2)</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256 bits (64 hex)</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Recomendado</w:t>
            </w:r>
            <w:r>
              <w:rPr>
                <w:sz w:val="18"/>
                <w:szCs w:val="18"/>
              </w:rPr>
              <w:t xml:space="preserve"> actualmente para verificar integridad de evidencias.</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SHA-512 (familia SHA-2)</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512 bits (128 hex)</w:t>
            </w:r>
          </w:p>
        </w:tc>
        <w:tc>
          <w:tcPr>
            <w:tcW w:type="dxa" w:w="554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Recomendado; mayor margen de seguridad.</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SHA-3</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224-512 bits</w:t>
            </w:r>
          </w:p>
        </w:tc>
        <w:tc>
          <w:tcPr>
            <w:tcW w:type="dxa" w:w="554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Estándar alternativo (FIPS 202, 2015).</w:t>
            </w:r>
          </w:p>
        </w:tc>
      </w:tr>
    </w:tbl>
    <w:p>
      <w:pPr>
        <w:spacing w:after="120"/>
      </w:pPr>
    </w:p>
    <w:p>
      <w:pPr>
        <w:spacing w:after="120"/>
        <w:jc w:val="both"/>
      </w:pPr>
      <w:r>
        <w:t xml:space="preserve">Práctica habitual: calcular </w:t>
      </w:r>
      <w:r>
        <w:rPr>
          <w:b/>
          <w:bCs/>
        </w:rPr>
        <w:t xml:space="preserve">dos algoritmos</w:t>
      </w:r>
      <w:r>
        <w:t xml:space="preserve"> (p. ej., MD5 + SHA-256) del original y de la copia y hacerlos constar en el acta. Si coinciden, la copia es </w:t>
      </w:r>
      <w:r>
        <w:rPr>
          <w:b/>
          <w:bCs/>
        </w:rPr>
        <w:t xml:space="preserve">idéntica bit a bit</w:t>
      </w:r>
      <w:r>
        <w:t xml:space="preserve"> al original.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3855"/>
        <w:gridCol w:w="3615"/>
      </w:tblGrid>
      <w:tr>
        <w:trPr>
          <w:tblHeader/>
        </w:trPr>
        <w:tc>
          <w:tcPr>
            <w:tcW w:type="dxa" w:w="216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Mecanismo</w:t>
            </w:r>
          </w:p>
        </w:tc>
        <w:tc>
          <w:tcPr>
            <w:tcW w:type="dxa" w:w="385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Qué aporta</w:t>
            </w:r>
          </w:p>
        </w:tc>
        <w:tc>
          <w:tcPr>
            <w:tcW w:type="dxa" w:w="361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Qué NO aporta</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Hash</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Integridad: detecta cualquier cambio en los datos.</w:t>
            </w:r>
          </w:p>
        </w:tc>
        <w:tc>
          <w:tcPr>
            <w:tcW w:type="dxa" w:w="36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 identifica al autor ni fecha; no impide que alguien recalcule el hash tras manipular.</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Firma electrónica</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Integridad + </w:t>
            </w:r>
            <w:r>
              <w:rPr>
                <w:sz w:val="18"/>
                <w:szCs w:val="18"/>
              </w:rPr>
              <w:t xml:space="preserve">autenticación del firmante</w:t>
            </w:r>
            <w:r>
              <w:rPr>
                <w:sz w:val="18"/>
                <w:szCs w:val="18"/>
              </w:rPr>
              <w:t xml:space="preserve"> + no repudio (si es avanzada/cualificada).</w:t>
            </w:r>
          </w:p>
        </w:tc>
        <w:tc>
          <w:tcPr>
            <w:tcW w:type="dxa" w:w="36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 acredita el momento exacto (salvo sello de tiempo).</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Certificado electrónico</w:t>
            </w:r>
          </w:p>
        </w:tc>
        <w:tc>
          <w:tcPr>
            <w:tcW w:type="dxa" w:w="385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Vincula una clave pública con una identidad.</w:t>
            </w:r>
          </w:p>
        </w:tc>
        <w:tc>
          <w:tcPr>
            <w:tcW w:type="dxa" w:w="36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Por sí solo no firma nada.</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Sello de tiempo</w:t>
            </w:r>
          </w:p>
        </w:tc>
        <w:tc>
          <w:tcPr>
            <w:tcW w:type="dxa" w:w="385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Prueba de que los datos existían en un </w:t>
            </w:r>
            <w:r>
              <w:rPr>
                <w:sz w:val="18"/>
                <w:szCs w:val="18"/>
              </w:rPr>
              <w:t xml:space="preserve">instante</w:t>
            </w:r>
            <w:r>
              <w:rPr>
                <w:sz w:val="18"/>
                <w:szCs w:val="18"/>
              </w:rPr>
              <w:t xml:space="preserve"> determinado.</w:t>
            </w:r>
          </w:p>
        </w:tc>
        <w:tc>
          <w:tcPr>
            <w:tcW w:type="dxa" w:w="361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 identifica al autor del contenido.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DEEAF6" w:color="auto" w:val="clear"/>
            <w:tcMar>
              <w:top w:type="dxa" w:w="100"/>
              <w:left w:type="dxa" w:w="160"/>
              <w:bottom w:type="dxa" w:w="100"/>
              <w:right w:type="dxa" w:w="140"/>
            </w:tcMar>
          </w:tcPr>
          <w:p>
            <w:pPr>
              <w:spacing w:after="80"/>
            </w:pPr>
            <w:r>
              <w:rPr>
                <w:b/>
                <w:bCs/>
                <w:color w:val="2E75B6"/>
                <w:sz w:val="20"/>
                <w:szCs w:val="20"/>
              </w:rPr>
              <w:t xml:space="preserve">CLAVE PARA EL EXAMEN</w:t>
            </w:r>
          </w:p>
          <w:p>
            <w:pPr>
              <w:spacing w:after="60"/>
              <w:jc w:val="both"/>
            </w:pPr>
            <w:r>
              <w:rPr>
                <w:b/>
                <w:bCs/>
                <w:sz w:val="19"/>
                <w:szCs w:val="19"/>
              </w:rPr>
              <w:t xml:space="preserve">Un hash permite comprobar la correspondencia y la integridad de los datos, pero no demuestra por sí solo toda la autenticidad jurídica de una evidencia.</w:t>
            </w:r>
            <w:r>
              <w:rPr>
                <w:sz w:val="19"/>
                <w:szCs w:val="19"/>
              </w:rPr>
              <w:t xml:space="preserve"> Para eso hacen falta la cadena de custodia, la documentación de la adquisición y, en su caso, firma y sello de tiempo.</w:t>
            </w:r>
          </w:p>
        </w:tc>
      </w:tr>
    </w:tbl>
    <w:p>
      <w:pPr>
        <w:spacing w:after="120"/>
      </w:pPr>
    </w:p>
    <w:p>
      <w:pPr>
        <w:pStyle w:val="Heading1"/>
        <w:keepNext/>
        <w:spacing w:after="200" w:before="360"/>
      </w:pPr>
      <w:r>
        <w:t xml:space="preserve">31. Forensia de sistemas</w:t>
      </w:r>
    </w:p>
    <w:p>
      <w:pPr>
        <w:pStyle w:val="Heading2"/>
        <w:keepNext/>
      </w:pPr>
      <w:r>
        <w:t xml:space="preserve">31.1 Discos y sistemas de ficheros</w:t>
      </w:r>
    </w:p>
    <w:p>
      <w:pPr>
        <w:pStyle w:val="ListParagraph"/>
        <w:numPr>
          <w:ilvl w:val="0"/>
          <w:numId w:val="2"/>
        </w:numPr>
        <w:spacing w:after="60"/>
      </w:pPr>
      <w:r>
        <w:rPr>
          <w:b/>
          <w:bCs/>
        </w:rPr>
        <w:t xml:space="preserve">Espacio no asignado</w:t>
      </w:r>
      <w:r>
        <w:t xml:space="preserve"> y </w:t>
      </w:r>
      <w:r>
        <w:rPr>
          <w:b/>
          <w:bCs/>
        </w:rPr>
        <w:t xml:space="preserve">slack space</w:t>
      </w:r>
      <w:r>
        <w:t xml:space="preserve">: restos de ficheros borrados.</w:t>
      </w:r>
    </w:p>
    <w:p>
      <w:pPr>
        <w:pStyle w:val="ListParagraph"/>
        <w:numPr>
          <w:ilvl w:val="0"/>
          <w:numId w:val="2"/>
        </w:numPr>
        <w:spacing w:after="60"/>
      </w:pPr>
      <w:r>
        <w:rPr>
          <w:b/>
          <w:bCs/>
        </w:rPr>
        <w:t xml:space="preserve">Recuperación de borrados</w:t>
      </w:r>
      <w:r>
        <w:t xml:space="preserve">: al borrar, normalmente solo se marca la entrada como libre; el contenido persiste hasta ser sobrescrito. Técnicas de </w:t>
      </w:r>
      <w:r>
        <w:rPr>
          <w:b/>
          <w:bCs/>
        </w:rPr>
        <w:t xml:space="preserve">file carving</w:t>
      </w:r>
      <w:r>
        <w:t xml:space="preserve"> (por cabeceras y pies de fichero) recuperan datos sin metadatos del sistema de archivos.</w:t>
      </w:r>
    </w:p>
    <w:p>
      <w:pPr>
        <w:pStyle w:val="ListParagraph"/>
        <w:numPr>
          <w:ilvl w:val="0"/>
          <w:numId w:val="2"/>
        </w:numPr>
        <w:spacing w:after="60"/>
      </w:pPr>
      <w:r>
        <w:rPr>
          <w:b/>
          <w:bCs/>
        </w:rPr>
        <w:t xml:space="preserve">NTFS</w:t>
      </w:r>
      <w:r>
        <w:t xml:space="preserve">: </w:t>
      </w:r>
      <w:r>
        <w:rPr>
          <w:i/>
          <w:iCs/>
        </w:rPr>
        <w:t xml:space="preserve">$MFT</w:t>
      </w:r>
      <w:r>
        <w:t xml:space="preserve"> (Master File Table), </w:t>
      </w:r>
      <w:r>
        <w:rPr>
          <w:i/>
          <w:iCs/>
        </w:rPr>
        <w:t xml:space="preserve">$LogFile</w:t>
      </w:r>
      <w:r>
        <w:t xml:space="preserve">, </w:t>
      </w:r>
      <w:r>
        <w:rPr>
          <w:i/>
          <w:iCs/>
        </w:rPr>
        <w:t xml:space="preserve">$UsnJrnl</w:t>
      </w:r>
      <w:r>
        <w:t xml:space="preserve"> (diario de cambios), flujos alternativos (ADS), </w:t>
      </w:r>
      <w:r>
        <w:rPr>
          <w:b/>
          <w:bCs/>
        </w:rPr>
        <w:t xml:space="preserve">Volume Shadow Copies</w:t>
      </w:r>
      <w:r>
        <w:t xml:space="preserve">.</w:t>
      </w:r>
    </w:p>
    <w:p>
      <w:pPr>
        <w:pStyle w:val="ListParagraph"/>
        <w:numPr>
          <w:ilvl w:val="0"/>
          <w:numId w:val="2"/>
        </w:numPr>
        <w:spacing w:after="60"/>
      </w:pPr>
      <w:r>
        <w:rPr>
          <w:b/>
          <w:bCs/>
        </w:rPr>
        <w:t xml:space="preserve">ext4</w:t>
      </w:r>
      <w:r>
        <w:t xml:space="preserve"> (Linux), </w:t>
      </w:r>
      <w:r>
        <w:rPr>
          <w:b/>
          <w:bCs/>
        </w:rPr>
        <w:t xml:space="preserve">APFS</w:t>
      </w:r>
      <w:r>
        <w:t xml:space="preserve"> (macOS), </w:t>
      </w:r>
      <w:r>
        <w:rPr>
          <w:b/>
          <w:bCs/>
        </w:rPr>
        <w:t xml:space="preserve">FAT/exFAT</w:t>
      </w:r>
      <w:r>
        <w:t xml:space="preserve"> (dispositivos extraíbles).</w:t>
      </w:r>
    </w:p>
    <w:p>
      <w:pPr>
        <w:pStyle w:val="Heading2"/>
        <w:keepNext/>
      </w:pPr>
      <w:r>
        <w:t xml:space="preserve">31.2 Artefactos del sistema operativo (ejemplos Windows)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Artefacto</w:t>
            </w:r>
          </w:p>
        </w:tc>
        <w:tc>
          <w:tcPr>
            <w:tcW w:type="dxa" w:w="602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Qué revela</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Registro (SAM, SYSTEM, SOFTWARE, SECURITY, NTUSER.DAT, UsrClass.dat)</w:t>
            </w:r>
          </w:p>
        </w:tc>
        <w:tc>
          <w:tcPr>
            <w:tcW w:type="dxa" w:w="60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Cuentas, configuración, programas instalados, dispositivos USB conectados, ficheros recientes (</w:t>
            </w:r>
            <w:r>
              <w:rPr>
                <w:i/>
                <w:iCs/>
                <w:sz w:val="18"/>
                <w:szCs w:val="18"/>
              </w:rPr>
              <w:t xml:space="preserve">RecentDocs</w:t>
            </w:r>
            <w:r>
              <w:rPr>
                <w:sz w:val="18"/>
                <w:szCs w:val="18"/>
              </w:rPr>
              <w:t xml:space="preserve">, </w:t>
            </w:r>
            <w:r>
              <w:rPr>
                <w:i/>
                <w:iCs/>
                <w:sz w:val="18"/>
                <w:szCs w:val="18"/>
              </w:rPr>
              <w:t xml:space="preserve">ShellBags</w:t>
            </w:r>
            <w:r>
              <w:rPr>
                <w:sz w:val="18"/>
                <w:szCs w:val="18"/>
              </w:rPr>
              <w:t xml:space="preserve">), autoarranque.</w:t>
            </w:r>
          </w:p>
        </w:tc>
      </w:tr>
      <w:tr>
        <w:trPr>
          <w:cantSplit/>
        </w:trPr>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Registros de eventos (.evtx)</w:t>
            </w:r>
          </w:p>
        </w:tc>
        <w:tc>
          <w:tcPr>
            <w:tcW w:type="dxa" w:w="602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Inicios de sesión (p. ej., ID 4624 éxito, 4625 fallo), creación de procesos (4688, si está auditada), borrado del registro de seguridad (1102).</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Prefetch, Amcache, Shimcache, SRUM</w:t>
            </w:r>
          </w:p>
        </w:tc>
        <w:tc>
          <w:tcPr>
            <w:tcW w:type="dxa" w:w="60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Evidencia de </w:t>
            </w:r>
            <w:r>
              <w:rPr>
                <w:sz w:val="18"/>
                <w:szCs w:val="18"/>
              </w:rPr>
              <w:t xml:space="preserve">ejecución de programas</w:t>
            </w:r>
            <w:r>
              <w:rPr>
                <w:sz w:val="18"/>
                <w:szCs w:val="18"/>
              </w:rPr>
              <w:t xml:space="preserve"> y uso de recursos.</w:t>
            </w:r>
          </w:p>
        </w:tc>
      </w:tr>
      <w:tr>
        <w:trPr>
          <w:cantSplit/>
        </w:trPr>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LNK y Jump Lists</w:t>
            </w:r>
          </w:p>
        </w:tc>
        <w:tc>
          <w:tcPr>
            <w:tcW w:type="dxa" w:w="602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Ficheros abiertos, rutas, volúmenes de origen.</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Papelera ($Recycle.Bin)</w:t>
            </w:r>
          </w:p>
        </w:tc>
        <w:tc>
          <w:tcPr>
            <w:tcW w:type="dxa" w:w="60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Ficheros eliminados por el usuario, ruta original y fecha de borrado.</w:t>
            </w:r>
          </w:p>
        </w:tc>
      </w:tr>
      <w:tr>
        <w:trPr>
          <w:cantSplit/>
        </w:trPr>
        <w:tc>
          <w:tcPr>
            <w:tcW w:type="dxa" w:w="361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Ficheros temporales, cachés, hibernación (hiberfil.sys) y paginación (pagefile.sys)</w:t>
            </w:r>
          </w:p>
        </w:tc>
        <w:tc>
          <w:tcPr>
            <w:tcW w:type="dxa" w:w="602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Restos de memoria y actividad.</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Metadatos de documentos (EXIF, propiedades de Office/PDF)</w:t>
            </w:r>
          </w:p>
        </w:tc>
        <w:tc>
          <w:tcPr>
            <w:tcW w:type="dxa" w:w="60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Autor, fechas, software, geolocalización.</w:t>
            </w:r>
          </w:p>
        </w:tc>
      </w:tr>
    </w:tbl>
    <w:p>
      <w:pPr>
        <w:spacing w:after="120"/>
      </w:pPr>
    </w:p>
    <w:p>
      <w:pPr>
        <w:spacing w:after="120"/>
        <w:jc w:val="both"/>
      </w:pPr>
      <w:r>
        <w:t xml:space="preserve">En </w:t>
      </w:r>
      <w:r>
        <w:rPr>
          <w:b/>
          <w:bCs/>
        </w:rPr>
        <w:t xml:space="preserve">Linux</w:t>
      </w:r>
      <w:r>
        <w:t xml:space="preserve">: </w:t>
      </w:r>
      <w:r>
        <w:rPr>
          <w:i/>
          <w:iCs/>
        </w:rPr>
        <w:t xml:space="preserve">/var/log</w:t>
      </w:r>
      <w:r>
        <w:t xml:space="preserve"> (auth.log/secure, syslog), </w:t>
      </w:r>
      <w:r>
        <w:rPr>
          <w:i/>
          <w:iCs/>
        </w:rPr>
        <w:t xml:space="preserve">journald</w:t>
      </w:r>
      <w:r>
        <w:t xml:space="preserve">, </w:t>
      </w:r>
      <w:r>
        <w:rPr>
          <w:i/>
          <w:iCs/>
        </w:rPr>
        <w:t xml:space="preserve">wtmp/btmp/lastlog</w:t>
      </w:r>
      <w:r>
        <w:t xml:space="preserve">, historial de shell (</w:t>
      </w:r>
      <w:r>
        <w:rPr>
          <w:i/>
          <w:iCs/>
        </w:rPr>
        <w:t xml:space="preserve">.bash_history</w:t>
      </w:r>
      <w:r>
        <w:t xml:space="preserve">), tareas </w:t>
      </w:r>
      <w:r>
        <w:rPr>
          <w:i/>
          <w:iCs/>
        </w:rPr>
        <w:t xml:space="preserve">cron</w:t>
      </w:r>
      <w:r>
        <w:t xml:space="preserve">, ficheros de configuración en </w:t>
      </w:r>
      <w:r>
        <w:rPr>
          <w:i/>
          <w:iCs/>
        </w:rPr>
        <w:t xml:space="preserve">/etc</w:t>
      </w:r>
      <w:r>
        <w:t xml:space="preserve">.</w:t>
      </w:r>
    </w:p>
    <w:p>
      <w:pPr>
        <w:pStyle w:val="Heading2"/>
        <w:keepNext/>
      </w:pPr>
      <w:r>
        <w:t xml:space="preserve">31.3 Memoria volátil</w:t>
      </w:r>
    </w:p>
    <w:p>
      <w:pPr>
        <w:spacing w:after="120"/>
        <w:jc w:val="both"/>
      </w:pPr>
      <w:r>
        <w:t xml:space="preserve">El análisis de un </w:t>
      </w:r>
      <w:r>
        <w:rPr>
          <w:b/>
          <w:bCs/>
        </w:rPr>
        <w:t xml:space="preserve">volcado de RAM</w:t>
      </w:r>
      <w:r>
        <w:t xml:space="preserve"> (p. ej., con marcos como </w:t>
      </w:r>
      <w:r>
        <w:rPr>
          <w:b/>
          <w:bCs/>
        </w:rPr>
        <w:t xml:space="preserve">Volatility</w:t>
      </w:r>
      <w:r>
        <w:t xml:space="preserve">) permite obtener </w:t>
      </w:r>
      <w:r>
        <w:rPr>
          <w:b/>
          <w:bCs/>
        </w:rPr>
        <w:t xml:space="preserve">procesos</w:t>
      </w:r>
      <w:r>
        <w:t xml:space="preserve"> en ejecución y ocultos, </w:t>
      </w:r>
      <w:r>
        <w:rPr>
          <w:b/>
          <w:bCs/>
        </w:rPr>
        <w:t xml:space="preserve">conexiones de red</w:t>
      </w:r>
      <w:r>
        <w:t xml:space="preserve"> activas, módulos cargados, claves de cifrado, credenciales en memoria, órdenes ejecutadas y </w:t>
      </w:r>
      <w:r>
        <w:rPr>
          <w:b/>
          <w:bCs/>
        </w:rPr>
        <w:t xml:space="preserve">malware sin fichero</w:t>
      </w:r>
      <w:r>
        <w:t xml:space="preserve"> (</w:t>
      </w:r>
      <w:r>
        <w:rPr>
          <w:i/>
          <w:iCs/>
        </w:rPr>
        <w:t xml:space="preserve">fileless</w:t>
      </w:r>
      <w:r>
        <w:t xml:space="preserve">). Es la fuente de evidencia más volátil tras los registros de la CPU.</w:t>
      </w:r>
    </w:p>
    <w:p>
      <w:pPr>
        <w:pStyle w:val="Heading1"/>
        <w:keepNext/>
        <w:spacing w:after="200" w:before="360"/>
      </w:pPr>
      <w:r>
        <w:t xml:space="preserve">32. Forensia de redes</w:t>
      </w:r>
    </w:p>
    <w:p>
      <w:pPr>
        <w:pStyle w:val="ListParagraph"/>
        <w:numPr>
          <w:ilvl w:val="0"/>
          <w:numId w:val="2"/>
        </w:numPr>
        <w:spacing w:after="60"/>
      </w:pPr>
      <w:r>
        <w:rPr>
          <w:b/>
          <w:bCs/>
        </w:rPr>
        <w:t xml:space="preserve">Captura de tráfico</w:t>
      </w:r>
      <w:r>
        <w:t xml:space="preserve"> en formato </w:t>
      </w:r>
      <w:r>
        <w:rPr>
          <w:b/>
          <w:bCs/>
        </w:rPr>
        <w:t xml:space="preserve">PCAP/PCAPNG</w:t>
      </w:r>
      <w:r>
        <w:t xml:space="preserve"> (captura completa de paquetes) o registros de flujos (</w:t>
      </w:r>
      <w:r>
        <w:rPr>
          <w:b/>
          <w:bCs/>
        </w:rPr>
        <w:t xml:space="preserve">NetFlow/IPFIX</w:t>
      </w:r>
      <w:r>
        <w:t xml:space="preserve">: quién habló con quién, cuánto y cuándo, sin contenido).</w:t>
      </w:r>
    </w:p>
    <w:p>
      <w:pPr>
        <w:pStyle w:val="ListParagraph"/>
        <w:numPr>
          <w:ilvl w:val="0"/>
          <w:numId w:val="2"/>
        </w:numPr>
        <w:spacing w:after="60"/>
      </w:pPr>
      <w:r>
        <w:rPr>
          <w:b/>
          <w:bCs/>
        </w:rPr>
        <w:t xml:space="preserve">Análisis de paquetes</w:t>
      </w:r>
      <w:r>
        <w:t xml:space="preserve">: reconstrucción de sesiones, extracción de ficheros transferidos, análisis de </w:t>
      </w:r>
      <w:r>
        <w:rPr>
          <w:b/>
          <w:bCs/>
        </w:rPr>
        <w:t xml:space="preserve">DNS</w:t>
      </w:r>
      <w:r>
        <w:t xml:space="preserve"> (resoluciones sospechosas, túneles), </w:t>
      </w:r>
      <w:r>
        <w:rPr>
          <w:b/>
          <w:bCs/>
        </w:rPr>
        <w:t xml:space="preserve">HTTP/HTTPS</w:t>
      </w:r>
      <w:r>
        <w:t xml:space="preserve"> (en HTTPS el contenido va cifrado; se analizan metadatos como SNI, certificados, JA3/JA4), </w:t>
      </w:r>
      <w:r>
        <w:rPr>
          <w:b/>
          <w:bCs/>
        </w:rPr>
        <w:t xml:space="preserve">correo</w:t>
      </w:r>
      <w:r>
        <w:t xml:space="preserve"> (SMTP/IMAP).</w:t>
      </w:r>
    </w:p>
    <w:p>
      <w:pPr>
        <w:pStyle w:val="ListParagraph"/>
        <w:numPr>
          <w:ilvl w:val="0"/>
          <w:numId w:val="2"/>
        </w:numPr>
        <w:spacing w:after="60"/>
      </w:pPr>
      <w:r>
        <w:rPr>
          <w:b/>
          <w:bCs/>
        </w:rPr>
        <w:t xml:space="preserve">Direcciones IP y puertos</w:t>
      </w:r>
      <w:r>
        <w:t xml:space="preserve">: una IP identifica un punto de conexión, </w:t>
      </w:r>
      <w:r>
        <w:rPr>
          <w:b/>
          <w:bCs/>
        </w:rPr>
        <w:t xml:space="preserve">no a una persona</w:t>
      </w:r>
      <w:r>
        <w:t xml:space="preserve">; con NAT/CGNAT hacen falta además puerto de origen y hora exacta para que el operador identifique al abonado (Ley 25/2007, con autorización judicial).</w:t>
      </w:r>
    </w:p>
    <w:p>
      <w:pPr>
        <w:pStyle w:val="ListParagraph"/>
        <w:numPr>
          <w:ilvl w:val="0"/>
          <w:numId w:val="2"/>
        </w:numPr>
        <w:spacing w:after="60"/>
      </w:pPr>
      <w:r>
        <w:rPr>
          <w:b/>
          <w:bCs/>
        </w:rPr>
        <w:t xml:space="preserve">Fuentes de logs</w:t>
      </w:r>
      <w:r>
        <w:t xml:space="preserve">: cortafuegos, proxies, </w:t>
      </w:r>
      <w:r>
        <w:rPr>
          <w:b/>
          <w:bCs/>
        </w:rPr>
        <w:t xml:space="preserve">IDS/IPS</w:t>
      </w:r>
      <w:r>
        <w:t xml:space="preserve">, VPN, servidores DHCP (asignación IP-MAC), controladores de dominio, </w:t>
      </w:r>
      <w:r>
        <w:rPr>
          <w:b/>
          <w:bCs/>
        </w:rPr>
        <w:t xml:space="preserve">SIEM</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3975"/>
        <w:gridCol w:w="3977"/>
      </w:tblGrid>
      <w:tr>
        <w:trPr>
          <w:tblHeader/>
        </w:trPr>
        <w:tc>
          <w:tcPr>
            <w:tcW w:type="dxa" w:w="168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p>
        </w:tc>
        <w:tc>
          <w:tcPr>
            <w:tcW w:type="dxa" w:w="397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Monitorización / análisis en tiempo real</w:t>
            </w:r>
          </w:p>
        </w:tc>
        <w:tc>
          <w:tcPr>
            <w:tcW w:type="dxa" w:w="397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Análisis forense posterior</w:t>
            </w:r>
          </w:p>
        </w:tc>
      </w:tr>
      <w:tr>
        <w:trPr>
          <w:cantSplit/>
        </w:trPr>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Finalidad</w:t>
            </w:r>
          </w:p>
        </w:tc>
        <w:tc>
          <w:tcPr>
            <w:tcW w:type="dxa" w:w="397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Detectar y responder (NOC/SOC, IDS).</w:t>
            </w:r>
          </w:p>
        </w:tc>
        <w:tc>
          <w:tcPr>
            <w:tcW w:type="dxa" w:w="39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Reconstruir hechos con garantías.</w:t>
            </w:r>
          </w:p>
        </w:tc>
      </w:tr>
      <w:tr>
        <w:trPr>
          <w:cantSplit/>
        </w:trPr>
        <w:tc>
          <w:tcPr>
            <w:tcW w:type="dxa" w:w="168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Datos</w:t>
            </w:r>
          </w:p>
        </w:tc>
        <w:tc>
          <w:tcPr>
            <w:tcW w:type="dxa" w:w="397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Flujo vivo, alertas.</w:t>
            </w:r>
          </w:p>
        </w:tc>
        <w:tc>
          <w:tcPr>
            <w:tcW w:type="dxa" w:w="397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Capturas y logs preservados, con hash y cadena de custodia.</w:t>
            </w:r>
          </w:p>
        </w:tc>
      </w:tr>
      <w:tr>
        <w:trPr>
          <w:cantSplit/>
        </w:trPr>
        <w:tc>
          <w:tcPr>
            <w:tcW w:type="dxa" w:w="16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Límites jurídicos</w:t>
            </w:r>
          </w:p>
        </w:tc>
        <w:tc>
          <w:tcPr>
            <w:tcW w:type="dxa" w:w="397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Proporcionalidad y protección de datos (supervisión de seguridad, no de contenido personal sin base legal).</w:t>
            </w:r>
          </w:p>
        </w:tc>
        <w:tc>
          <w:tcPr>
            <w:tcW w:type="dxa" w:w="39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Si afecta a comunicaciones de terceros, puede requerir autorización judicial (secreto de las comunicaciones, art. 18.3 CE).</w:t>
            </w:r>
          </w:p>
        </w:tc>
      </w:tr>
    </w:tbl>
    <w:p>
      <w:pPr>
        <w:spacing w:after="120"/>
      </w:pPr>
    </w:p>
    <w:p>
      <w:pPr>
        <w:pStyle w:val="Heading1"/>
        <w:keepNext/>
        <w:spacing w:after="200" w:before="360"/>
      </w:pPr>
      <w:r>
        <w:t xml:space="preserve">33. Forensia de dispositivos móviles</w:t>
      </w:r>
    </w:p>
    <w:p>
      <w:pPr>
        <w:spacing w:after="120"/>
        <w:jc w:val="both"/>
      </w:pPr>
      <w:r>
        <w:t xml:space="preserve">Referencia: </w:t>
      </w:r>
      <w:r>
        <w:rPr>
          <w:b/>
          <w:bCs/>
        </w:rPr>
        <w:t xml:space="preserve">NIST SP 800-101 Rev. 1</w:t>
      </w:r>
      <w:r>
        <w:t xml:space="preserve"> (</w:t>
      </w:r>
      <w:r>
        <w:rPr>
          <w:i/>
          <w:iCs/>
        </w:rPr>
        <w:t xml:space="preserve">Guidelines on Mobile Device Forensics</w:t>
      </w:r>
      <w:r>
        <w:t xml:space="preserve">, 2014), que clasifica los métodos de extracción en una pirámide de niveles de creciente complejidad e intrusividad: </w:t>
      </w:r>
      <w:r>
        <w:rPr>
          <w:b/>
          <w:bCs/>
        </w:rPr>
        <w:t xml:space="preserve">manual</w:t>
      </w:r>
      <w:r>
        <w:t xml:space="preserve"> (observar la pantalla), </w:t>
      </w:r>
      <w:r>
        <w:rPr>
          <w:b/>
          <w:bCs/>
        </w:rPr>
        <w:t xml:space="preserve">lógica</w:t>
      </w:r>
      <w:r>
        <w:t xml:space="preserve"> (copia a través de la API/copia de seguridad), </w:t>
      </w:r>
      <w:r>
        <w:rPr>
          <w:b/>
          <w:bCs/>
        </w:rPr>
        <w:t xml:space="preserve">volcado hexadecimal/JTAG</w:t>
      </w:r>
      <w:r>
        <w:t xml:space="preserve"> (física), </w:t>
      </w:r>
      <w:r>
        <w:rPr>
          <w:b/>
          <w:bCs/>
        </w:rPr>
        <w:t xml:space="preserve">chip-off</w:t>
      </w:r>
      <w:r>
        <w:t xml:space="preserve"> (extracción del chip de memoria) y </w:t>
      </w:r>
      <w:r>
        <w:rPr>
          <w:b/>
          <w:bCs/>
        </w:rPr>
        <w:t xml:space="preserve">micro read</w:t>
      </w:r>
      <w:r>
        <w:t xml:space="preserve"> (microscopía).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Aspecto</w:t>
            </w:r>
          </w:p>
        </w:tc>
        <w:tc>
          <w:tcPr>
            <w:tcW w:type="dxa" w:w="722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Particularidad</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Aislamiento</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Evitar el </w:t>
            </w:r>
            <w:r>
              <w:rPr>
                <w:sz w:val="18"/>
                <w:szCs w:val="18"/>
              </w:rPr>
              <w:t xml:space="preserve">borrado remoto</w:t>
            </w:r>
            <w:r>
              <w:rPr>
                <w:sz w:val="18"/>
                <w:szCs w:val="18"/>
              </w:rPr>
              <w:t xml:space="preserve"> y la entrada de nuevos datos: modo avión, bolsa </w:t>
            </w:r>
            <w:r>
              <w:rPr>
                <w:sz w:val="18"/>
                <w:szCs w:val="18"/>
              </w:rPr>
              <w:t xml:space="preserve">Faraday</w:t>
            </w:r>
            <w:r>
              <w:rPr>
                <w:sz w:val="18"/>
                <w:szCs w:val="18"/>
              </w:rPr>
              <w:t xml:space="preserve">, retirar SIM (documentando).</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Tipos de extracción</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Lógica, </w:t>
            </w:r>
            <w:r>
              <w:rPr>
                <w:sz w:val="18"/>
                <w:szCs w:val="18"/>
              </w:rPr>
              <w:t xml:space="preserve">sistema de ficheros completo</w:t>
            </w:r>
            <w:r>
              <w:rPr>
                <w:sz w:val="18"/>
                <w:szCs w:val="18"/>
              </w:rPr>
              <w:t xml:space="preserve"> (</w:t>
            </w:r>
            <w:r>
              <w:rPr>
                <w:i/>
                <w:iCs/>
                <w:sz w:val="18"/>
                <w:szCs w:val="18"/>
              </w:rPr>
              <w:t xml:space="preserve">full file system</w:t>
            </w:r>
            <w:r>
              <w:rPr>
                <w:sz w:val="18"/>
                <w:szCs w:val="18"/>
              </w:rPr>
              <w:t xml:space="preserve">), física; en dispositivos modernos, la física suele estar limitada por el cifrado.</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Datos de interés</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Contactos, llamadas, SMS, </w:t>
            </w:r>
            <w:r>
              <w:rPr>
                <w:sz w:val="18"/>
                <w:szCs w:val="18"/>
              </w:rPr>
              <w:t xml:space="preserve">aplicaciones de mensajería</w:t>
            </w:r>
            <w:r>
              <w:rPr>
                <w:sz w:val="18"/>
                <w:szCs w:val="18"/>
              </w:rPr>
              <w:t xml:space="preserve"> (bases SQLite), fotos con metadatos, </w:t>
            </w:r>
            <w:r>
              <w:rPr>
                <w:sz w:val="18"/>
                <w:szCs w:val="18"/>
              </w:rPr>
              <w:t xml:space="preserve">localización</w:t>
            </w:r>
            <w:r>
              <w:rPr>
                <w:sz w:val="18"/>
                <w:szCs w:val="18"/>
              </w:rPr>
              <w:t xml:space="preserve"> (GPS, antenas, Wi-Fi), navegador, cuentas, tokens.</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Copias de seguridad</w:t>
            </w:r>
          </w:p>
        </w:tc>
        <w:tc>
          <w:tcPr>
            <w:tcW w:type="dxa" w:w="722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Locales (ordenador) o en la </w:t>
            </w:r>
            <w:r>
              <w:rPr>
                <w:sz w:val="18"/>
                <w:szCs w:val="18"/>
              </w:rPr>
              <w:t xml:space="preserve">nube</w:t>
            </w:r>
            <w:r>
              <w:rPr>
                <w:sz w:val="18"/>
                <w:szCs w:val="18"/>
              </w:rPr>
              <w:t xml:space="preserve"> (iCloud, Google): fuente alternativa, con implicaciones de jurisdicción y autorización.</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Dificultades</w:t>
            </w:r>
          </w:p>
        </w:tc>
        <w:tc>
          <w:tcPr>
            <w:tcW w:type="dxa" w:w="72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Cifrado</w:t>
            </w:r>
            <w:r>
              <w:rPr>
                <w:sz w:val="18"/>
                <w:szCs w:val="18"/>
              </w:rPr>
              <w:t xml:space="preserve"> por defecto (iOS, Android), </w:t>
            </w:r>
            <w:r>
              <w:rPr>
                <w:sz w:val="18"/>
                <w:szCs w:val="18"/>
              </w:rPr>
              <w:t xml:space="preserve">bloqueo</w:t>
            </w:r>
            <w:r>
              <w:rPr>
                <w:sz w:val="18"/>
                <w:szCs w:val="18"/>
              </w:rPr>
              <w:t xml:space="preserve"> por código/biometría, </w:t>
            </w:r>
            <w:r>
              <w:rPr>
                <w:sz w:val="18"/>
                <w:szCs w:val="18"/>
              </w:rPr>
              <w:t xml:space="preserve">diversidad</w:t>
            </w:r>
            <w:r>
              <w:rPr>
                <w:sz w:val="18"/>
                <w:szCs w:val="18"/>
              </w:rPr>
              <w:t xml:space="preserve"> de fabricantes y versiones, actualizaciones constantes, datos </w:t>
            </w:r>
            <w:r>
              <w:rPr>
                <w:sz w:val="18"/>
                <w:szCs w:val="18"/>
              </w:rPr>
              <w:t xml:space="preserve">sincronizados</w:t>
            </w:r>
            <w:r>
              <w:rPr>
                <w:sz w:val="18"/>
                <w:szCs w:val="18"/>
              </w:rPr>
              <w:t xml:space="preserve"> o solo en la nube, aplicaciones de terceros con cifrado propio y mensajes efímeros.</w:t>
            </w:r>
          </w:p>
        </w:tc>
      </w:tr>
    </w:tbl>
    <w:p>
      <w:pPr>
        <w:spacing w:after="120"/>
      </w:pPr>
    </w:p>
    <w:p>
      <w:pPr>
        <w:pStyle w:val="Heading1"/>
        <w:keepNext/>
        <w:spacing w:after="200" w:before="360"/>
      </w:pPr>
      <w:r>
        <w:t xml:space="preserve">34. Forensia en la nube</w:t>
      </w:r>
    </w:p>
    <w:p>
      <w:pPr>
        <w:pStyle w:val="ListParagraph"/>
        <w:numPr>
          <w:ilvl w:val="0"/>
          <w:numId w:val="2"/>
        </w:numPr>
        <w:spacing w:after="60"/>
      </w:pPr>
      <w:r>
        <w:rPr>
          <w:b/>
          <w:bCs/>
        </w:rPr>
        <w:t xml:space="preserve">Modelo de responsabilidad compartida</w:t>
      </w:r>
      <w:r>
        <w:t xml:space="preserve">: en IaaS el cliente controla el sistema operativo y puede adquirir </w:t>
      </w:r>
      <w:r>
        <w:rPr>
          <w:i/>
          <w:iCs/>
        </w:rPr>
        <w:t xml:space="preserve">snapshots</w:t>
      </w:r>
      <w:r>
        <w:t xml:space="preserve">; en PaaS y SaaS depende casi totalmente de los </w:t>
      </w:r>
      <w:r>
        <w:rPr>
          <w:b/>
          <w:bCs/>
        </w:rPr>
        <w:t xml:space="preserve">logs y API del proveedor</w:t>
      </w:r>
      <w:r>
        <w:t xml:space="preserve">.</w:t>
      </w:r>
    </w:p>
    <w:p>
      <w:pPr>
        <w:pStyle w:val="ListParagraph"/>
        <w:numPr>
          <w:ilvl w:val="0"/>
          <w:numId w:val="2"/>
        </w:numPr>
        <w:spacing w:after="60"/>
      </w:pPr>
      <w:r>
        <w:rPr>
          <w:b/>
          <w:bCs/>
        </w:rPr>
        <w:t xml:space="preserve">Evidencias distribuidas</w:t>
      </w:r>
      <w:r>
        <w:t xml:space="preserve"> entre centros de datos y países; </w:t>
      </w:r>
      <w:r>
        <w:rPr>
          <w:b/>
          <w:bCs/>
        </w:rPr>
        <w:t xml:space="preserve">multi-tenancy</w:t>
      </w:r>
      <w:r>
        <w:t xml:space="preserve"> (varios clientes comparten infraestructura: no se puede incautar el servidor físico).</w:t>
      </w:r>
    </w:p>
    <w:p>
      <w:pPr>
        <w:pStyle w:val="ListParagraph"/>
        <w:numPr>
          <w:ilvl w:val="0"/>
          <w:numId w:val="2"/>
        </w:numPr>
        <w:spacing w:after="60"/>
      </w:pPr>
      <w:r>
        <w:rPr>
          <w:b/>
          <w:bCs/>
        </w:rPr>
        <w:t xml:space="preserve">Retención limitada</w:t>
      </w:r>
      <w:r>
        <w:t xml:space="preserve"> de logs según el servicio y la configuración: la preparación forense exige activarlos y conservarlos previamente.</w:t>
      </w:r>
    </w:p>
    <w:p>
      <w:pPr>
        <w:pStyle w:val="ListParagraph"/>
        <w:numPr>
          <w:ilvl w:val="0"/>
          <w:numId w:val="2"/>
        </w:numPr>
        <w:spacing w:after="60"/>
      </w:pPr>
      <w:r>
        <w:rPr>
          <w:b/>
          <w:bCs/>
        </w:rPr>
        <w:t xml:space="preserve">Jurisdicción</w:t>
      </w:r>
      <w:r>
        <w:t xml:space="preserve">: los datos pueden estar en otro Estado; cauces: cooperación judicial internacional, </w:t>
      </w:r>
      <w:r>
        <w:rPr>
          <w:b/>
          <w:bCs/>
        </w:rPr>
        <w:t xml:space="preserve">Convenio de Budapest y su Segundo Protocolo</w:t>
      </w:r>
      <w:r>
        <w:t xml:space="preserve">, </w:t>
      </w:r>
      <w:r>
        <w:rPr>
          <w:b/>
          <w:bCs/>
        </w:rPr>
        <w:t xml:space="preserve">Reglamento (UE) 2023/1543</w:t>
      </w:r>
      <w:r>
        <w:t xml:space="preserve"> (e-evidence) para proveedores que ofrecen servicios en la UE.</w:t>
      </w:r>
    </w:p>
    <w:p>
      <w:pPr>
        <w:pStyle w:val="ListParagraph"/>
        <w:numPr>
          <w:ilvl w:val="0"/>
          <w:numId w:val="2"/>
        </w:numPr>
        <w:spacing w:after="60"/>
      </w:pPr>
      <w:r>
        <w:rPr>
          <w:b/>
          <w:bCs/>
        </w:rPr>
        <w:t xml:space="preserve">Adquisición remota</w:t>
      </w:r>
      <w:r>
        <w:t xml:space="preserve">: exportaciones mediante API, </w:t>
      </w:r>
      <w:r>
        <w:rPr>
          <w:i/>
          <w:iCs/>
        </w:rPr>
        <w:t xml:space="preserve">snapshots</w:t>
      </w:r>
      <w:r>
        <w:t xml:space="preserve"> de discos virtuales, volcados de memoria de máquinas virtuales, registros de auditoría del proveedor; calcular hashes tras la exportación y documentar el acceso.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Forensia tradicional</w:t>
            </w:r>
          </w:p>
        </w:tc>
        <w:tc>
          <w:tcPr>
            <w:tcW w:type="dxa" w:w="481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Forensia cloud</w:t>
            </w:r>
          </w:p>
        </w:tc>
      </w:tr>
      <w:tr>
        <w:trPr>
          <w:cantSplit/>
        </w:trPr>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Acceso físico al dispositivo</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Sin acceso físico; dependencia del proveedor</w:t>
            </w:r>
          </w:p>
        </w:tc>
      </w:tr>
      <w:tr>
        <w:trPr>
          <w:cantSplit/>
        </w:trPr>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Imagen bit a bit del disco</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Snapshots, exportaciones lógicas, logs</w:t>
            </w:r>
          </w:p>
        </w:tc>
      </w:tr>
      <w:tr>
        <w:trPr>
          <w:cantSplit/>
        </w:trPr>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Jurisdicción clara</w:t>
            </w:r>
          </w:p>
        </w:tc>
        <w:tc>
          <w:tcPr>
            <w:tcW w:type="dxa" w:w="48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Datos en múltiples jurisdicciones</w:t>
            </w:r>
          </w:p>
        </w:tc>
      </w:tr>
      <w:tr>
        <w:trPr>
          <w:cantSplit/>
        </w:trPr>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Evidencia estable</w:t>
            </w:r>
          </w:p>
        </w:tc>
        <w:tc>
          <w:tcPr>
            <w:tcW w:type="dxa" w:w="481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Recursos efímeros (contenedores, autoescalado)</w:t>
            </w:r>
          </w:p>
        </w:tc>
      </w:tr>
    </w:tbl>
    <w:p>
      <w:pPr>
        <w:spacing w:after="120"/>
      </w:pPr>
    </w:p>
    <w:p>
      <w:pPr>
        <w:pStyle w:val="Heading1"/>
        <w:keepNext/>
        <w:spacing w:after="200" w:before="360"/>
      </w:pPr>
      <w:r>
        <w:t xml:space="preserve">35. Forensia del correo electrónico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6988"/>
      </w:tblGrid>
      <w:tr>
        <w:trPr>
          <w:tblHeader/>
        </w:trPr>
        <w:tc>
          <w:tcPr>
            <w:tcW w:type="dxa" w:w="2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Elemento</w:t>
            </w:r>
          </w:p>
        </w:tc>
        <w:tc>
          <w:tcPr>
            <w:tcW w:type="dxa" w:w="698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Utilidad forense</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Cabeceras </w:t>
            </w:r>
            <w:r>
              <w:rPr>
                <w:sz w:val="18"/>
                <w:szCs w:val="18"/>
              </w:rPr>
              <w:t xml:space="preserve">Received</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Cada servidor que retransmite añade una; se leen </w:t>
            </w:r>
            <w:r>
              <w:rPr>
                <w:sz w:val="18"/>
                <w:szCs w:val="18"/>
              </w:rPr>
              <w:t xml:space="preserve">de abajo arriba</w:t>
            </w:r>
            <w:r>
              <w:rPr>
                <w:sz w:val="18"/>
                <w:szCs w:val="18"/>
              </w:rPr>
              <w:t xml:space="preserve"> para reconstruir la ruta. Solo las añadidas por servidores de confianza son fiables.</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From / Reply-To / Return-Path</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From</w:t>
            </w:r>
            <w:r>
              <w:rPr>
                <w:sz w:val="18"/>
                <w:szCs w:val="18"/>
              </w:rPr>
              <w:t xml:space="preserve"> es fácilmente falsificable; discrepancias con Return-Path o Reply-To indican posible suplantación.</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Message-ID</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Identificador único generado por el sistema de origen; útil para localizar el mensaje en logs de servidores.</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Date y timestamps</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Hora declarada por el cliente frente a horas de los servidores (zonas horarias, desfases).</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SPF</w:t>
            </w:r>
            <w:r>
              <w:rPr>
                <w:sz w:val="18"/>
                <w:szCs w:val="18"/>
              </w:rPr>
              <w:t xml:space="preserve"> (RFC 7208)</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Indica qué servidores están autorizados a enviar correo por un dominio.</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DKIM</w:t>
            </w:r>
            <w:r>
              <w:rPr>
                <w:sz w:val="18"/>
                <w:szCs w:val="18"/>
              </w:rPr>
              <w:t xml:space="preserve"> (RFC 6376)</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Firma criptográfica del dominio sobre cabeceras y cuerpo: detecta alteraciones en tránsito y verifica el dominio firmante.</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DMARC</w:t>
            </w:r>
            <w:r>
              <w:rPr>
                <w:sz w:val="18"/>
                <w:szCs w:val="18"/>
              </w:rPr>
              <w:t xml:space="preserve"> (RFC 7489)</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Política del dominio sobre qué hacer si fallan SPF/DKIM y alineación con el From; informes.</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Adjuntos y metadatos</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Hash de adjuntos (IoC), metadatos de documentos, análisis de malware.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spacing w:after="60"/>
              <w:jc w:val="both"/>
            </w:pPr>
            <w:r>
              <w:rPr>
                <w:sz w:val="19"/>
                <w:szCs w:val="19"/>
              </w:rPr>
              <w:t xml:space="preserve">Aunque SPF/DKIM/DMARC pasen correctamente, solo se acredita que el mensaje salió de una infraestructura autorizada </w:t>
            </w:r>
            <w:r>
              <w:rPr>
                <w:b/>
                <w:bCs/>
                <w:sz w:val="19"/>
                <w:szCs w:val="19"/>
              </w:rPr>
              <w:t xml:space="preserve">para ese dominio</w:t>
            </w:r>
            <w:r>
              <w:rPr>
                <w:sz w:val="19"/>
                <w:szCs w:val="19"/>
              </w:rPr>
              <w:t xml:space="preserve">; </w:t>
            </w:r>
            <w:r>
              <w:rPr>
                <w:b/>
                <w:bCs/>
                <w:sz w:val="19"/>
                <w:szCs w:val="19"/>
              </w:rPr>
              <w:t xml:space="preserve">no identifican a la persona</w:t>
            </w:r>
            <w:r>
              <w:rPr>
                <w:sz w:val="19"/>
                <w:szCs w:val="19"/>
              </w:rPr>
              <w:t xml:space="preserve"> que lo escribió (cuentas comprometidas, equipos compartidos). La autoría requiere indicios adicionales.</w:t>
            </w:r>
          </w:p>
        </w:tc>
      </w:tr>
    </w:tbl>
    <w:p>
      <w:pPr>
        <w:spacing w:after="120"/>
      </w:pPr>
    </w:p>
    <w:p>
      <w:pPr>
        <w:pStyle w:val="Heading1"/>
        <w:keepNext/>
        <w:spacing w:after="200" w:before="360"/>
      </w:pPr>
      <w:r>
        <w:t xml:space="preserve">36. Forensia web y de navegadores</w:t>
      </w:r>
    </w:p>
    <w:p>
      <w:pPr>
        <w:pStyle w:val="ListParagraph"/>
        <w:numPr>
          <w:ilvl w:val="0"/>
          <w:numId w:val="2"/>
        </w:numPr>
        <w:spacing w:after="60"/>
      </w:pPr>
      <w:r>
        <w:rPr>
          <w:b/>
          <w:bCs/>
        </w:rPr>
        <w:t xml:space="preserve">Navegadores</w:t>
      </w:r>
      <w:r>
        <w:t xml:space="preserve">: el historial, descargas, cookies, formularios y sesiones se guardan en bases </w:t>
      </w:r>
      <w:r>
        <w:rPr>
          <w:b/>
          <w:bCs/>
        </w:rPr>
        <w:t xml:space="preserve">SQLite</w:t>
      </w:r>
      <w:r>
        <w:t xml:space="preserve"> (p. ej., </w:t>
      </w:r>
      <w:r>
        <w:rPr>
          <w:i/>
          <w:iCs/>
        </w:rPr>
        <w:t xml:space="preserve">History</w:t>
      </w:r>
      <w:r>
        <w:t xml:space="preserve"> en Chromium, </w:t>
      </w:r>
      <w:r>
        <w:rPr>
          <w:i/>
          <w:iCs/>
        </w:rPr>
        <w:t xml:space="preserve">places.sqlite</w:t>
      </w:r>
      <w:r>
        <w:t xml:space="preserve"> en Firefox), además de la </w:t>
      </w:r>
      <w:r>
        <w:rPr>
          <w:b/>
          <w:bCs/>
        </w:rPr>
        <w:t xml:space="preserve">caché</w:t>
      </w:r>
      <w:r>
        <w:t xml:space="preserve">, almacenamiento local e </w:t>
      </w:r>
      <w:r>
        <w:rPr>
          <w:i/>
          <w:iCs/>
        </w:rPr>
        <w:t xml:space="preserve">IndexedDB</w:t>
      </w:r>
      <w:r>
        <w:t xml:space="preserve">.</w:t>
      </w:r>
    </w:p>
    <w:p>
      <w:pPr>
        <w:pStyle w:val="ListParagraph"/>
        <w:numPr>
          <w:ilvl w:val="0"/>
          <w:numId w:val="2"/>
        </w:numPr>
        <w:spacing w:after="60"/>
      </w:pPr>
      <w:r>
        <w:rPr>
          <w:b/>
          <w:bCs/>
        </w:rPr>
        <w:t xml:space="preserve">Navegación privada</w:t>
      </w:r>
      <w:r>
        <w:t xml:space="preserve">: reduce los rastros locales, pero no elimina los registros de red, DNS, proxy o del servidor visitado.</w:t>
      </w:r>
    </w:p>
    <w:p>
      <w:pPr>
        <w:pStyle w:val="ListParagraph"/>
        <w:numPr>
          <w:ilvl w:val="0"/>
          <w:numId w:val="2"/>
        </w:numPr>
        <w:spacing w:after="60"/>
      </w:pPr>
      <w:r>
        <w:rPr>
          <w:b/>
          <w:bCs/>
        </w:rPr>
        <w:t xml:space="preserve">Caché DNS</w:t>
      </w:r>
      <w:r>
        <w:t xml:space="preserve"> local y logs de resolvedores corporativos.</w:t>
      </w:r>
    </w:p>
    <w:p>
      <w:pPr>
        <w:pStyle w:val="ListParagraph"/>
        <w:numPr>
          <w:ilvl w:val="0"/>
          <w:numId w:val="2"/>
        </w:numPr>
        <w:spacing w:after="60"/>
      </w:pPr>
      <w:r>
        <w:rPr>
          <w:b/>
          <w:bCs/>
        </w:rPr>
        <w:t xml:space="preserve">Servidores web</w:t>
      </w:r>
      <w:r>
        <w:t xml:space="preserve">: logs de acceso (formato común/combinado: IP, fecha, método, URL, código de estado, </w:t>
      </w:r>
      <w:r>
        <w:rPr>
          <w:i/>
          <w:iCs/>
        </w:rPr>
        <w:t xml:space="preserve">user-agent</w:t>
      </w:r>
      <w:r>
        <w:t xml:space="preserve">), logs de error, logs de aplicación y de WAF: permiten detectar inyecciones, </w:t>
      </w:r>
      <w:r>
        <w:rPr>
          <w:i/>
          <w:iCs/>
        </w:rPr>
        <w:t xml:space="preserve">webshells</w:t>
      </w:r>
      <w:r>
        <w:t xml:space="preserve">, fuerza bruta.</w:t>
      </w:r>
    </w:p>
    <w:p>
      <w:pPr>
        <w:pStyle w:val="ListParagraph"/>
        <w:numPr>
          <w:ilvl w:val="0"/>
          <w:numId w:val="2"/>
        </w:numPr>
        <w:spacing w:after="60"/>
      </w:pPr>
      <w:r>
        <w:rPr>
          <w:b/>
          <w:bCs/>
        </w:rPr>
        <w:t xml:space="preserve">Preservación de contenidos web</w:t>
      </w:r>
      <w:r>
        <w:t xml:space="preserve"> (páginas, redes sociales): capturas con hash y sello de tiempo, servicios de certificación de terceros de confianza o acta notarial.</w:t>
      </w:r>
    </w:p>
    <w:p>
      <w:pPr>
        <w:pStyle w:val="Heading1"/>
        <w:keepNext/>
        <w:spacing w:after="200" w:before="360"/>
      </w:pPr>
      <w:r>
        <w:t xml:space="preserve">37. Estándares y metodologías forenses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4096"/>
        <w:gridCol w:w="3133"/>
      </w:tblGrid>
      <w:tr>
        <w:trPr>
          <w:tblHeader/>
        </w:trPr>
        <w:tc>
          <w:tcPr>
            <w:tcW w:type="dxa" w:w="2409"/>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Referencia</w:t>
            </w:r>
          </w:p>
        </w:tc>
        <w:tc>
          <w:tcPr>
            <w:tcW w:type="dxa" w:w="409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Ámbito</w:t>
            </w:r>
          </w:p>
        </w:tc>
        <w:tc>
          <w:tcPr>
            <w:tcW w:type="dxa" w:w="313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Papel</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ISO/IEC 27037:2012</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Directrices para la </w:t>
            </w:r>
            <w:r>
              <w:rPr>
                <w:sz w:val="18"/>
                <w:szCs w:val="18"/>
              </w:rPr>
              <w:t xml:space="preserve">identificación, recolección, adquisición y preservación</w:t>
            </w:r>
            <w:r>
              <w:rPr>
                <w:sz w:val="18"/>
                <w:szCs w:val="18"/>
              </w:rPr>
              <w:t xml:space="preserve"> de evidencia digital.</w:t>
            </w:r>
          </w:p>
        </w:tc>
        <w:tc>
          <w:tcPr>
            <w:tcW w:type="dxa" w:w="31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Norma de referencia para las primeras fases; define roles (DEFR: primer interviniente; DES: especialista).</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ISO/IEC 27041:2015</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Aseguramiento de la </w:t>
            </w:r>
            <w:r>
              <w:rPr>
                <w:sz w:val="18"/>
                <w:szCs w:val="18"/>
              </w:rPr>
              <w:t xml:space="preserve">idoneidad y adecuación</w:t>
            </w:r>
            <w:r>
              <w:rPr>
                <w:sz w:val="18"/>
                <w:szCs w:val="18"/>
              </w:rPr>
              <w:t xml:space="preserve"> de los métodos de investigación.</w:t>
            </w:r>
          </w:p>
        </w:tc>
        <w:tc>
          <w:tcPr>
            <w:tcW w:type="dxa" w:w="31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Validación de métodos y herramientas.</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ISO/IEC 27042:2015</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Análisis e interpretación</w:t>
            </w:r>
            <w:r>
              <w:rPr>
                <w:sz w:val="18"/>
                <w:szCs w:val="18"/>
              </w:rPr>
              <w:t xml:space="preserve"> de la evidencia digital.</w:t>
            </w:r>
          </w:p>
        </w:tc>
        <w:tc>
          <w:tcPr>
            <w:tcW w:type="dxa" w:w="31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Continuidad, repetibilidad y reproducibilidad del análisis.</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ISO/IEC 27043:2015</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Principios y procesos de investigación</w:t>
            </w:r>
            <w:r>
              <w:rPr>
                <w:sz w:val="18"/>
                <w:szCs w:val="18"/>
              </w:rPr>
              <w:t xml:space="preserve"> de incidentes.</w:t>
            </w:r>
          </w:p>
        </w:tc>
        <w:tc>
          <w:tcPr>
            <w:tcW w:type="dxa" w:w="31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Marco global del proceso investigador.</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ISO/IEC 27050 (partes)</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i/>
                <w:iCs/>
                <w:sz w:val="18"/>
                <w:szCs w:val="18"/>
              </w:rPr>
              <w:t xml:space="preserve">Electronic discovery</w:t>
            </w:r>
            <w:r>
              <w:rPr>
                <w:sz w:val="18"/>
                <w:szCs w:val="18"/>
              </w:rPr>
              <w:t xml:space="preserve">.</w:t>
            </w:r>
          </w:p>
        </w:tc>
        <w:tc>
          <w:tcPr>
            <w:tcW w:type="dxa" w:w="31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Identificación y producción de información electrónica en litigios.</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NIST SP 800-86</w:t>
            </w:r>
            <w:r>
              <w:rPr>
                <w:sz w:val="18"/>
                <w:szCs w:val="18"/>
              </w:rPr>
              <w:t xml:space="preserve"> (2006)</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Integración de técnicas forenses en la respuesta a incidentes.</w:t>
            </w:r>
          </w:p>
        </w:tc>
        <w:tc>
          <w:tcPr>
            <w:tcW w:type="dxa" w:w="31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Fases: recolección, examen, análisis, informe.</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NIST SP 800-101 Rev. 1</w:t>
            </w:r>
            <w:r>
              <w:rPr>
                <w:sz w:val="18"/>
                <w:szCs w:val="18"/>
              </w:rPr>
              <w:t xml:space="preserve"> (2014)</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Forensia de dispositivos móviles.</w:t>
            </w:r>
          </w:p>
        </w:tc>
        <w:tc>
          <w:tcPr>
            <w:tcW w:type="dxa" w:w="31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Métodos y niveles de extracción.</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NIST SP 800-61 Rev. 3 (2025)</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Respuesta a incidentes (alineada con CSF 2.0).</w:t>
            </w:r>
          </w:p>
        </w:tc>
        <w:tc>
          <w:tcPr>
            <w:tcW w:type="dxa" w:w="31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Relación IR-forensia.</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RFC 3227</w:t>
            </w:r>
            <w:r>
              <w:rPr>
                <w:sz w:val="18"/>
                <w:szCs w:val="18"/>
              </w:rPr>
              <w:t xml:space="preserve"> (2002)</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Recogida y archivo de evidencias.</w:t>
            </w:r>
          </w:p>
        </w:tc>
        <w:tc>
          <w:tcPr>
            <w:tcW w:type="dxa" w:w="31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Orden de volatilidad; principios de recogida.</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UNE 71506:2013</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Metodología para el análisis forense de evidencias electrónicas (España).</w:t>
            </w:r>
          </w:p>
        </w:tc>
        <w:tc>
          <w:tcPr>
            <w:tcW w:type="dxa" w:w="31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Referencia nacional de AENOR/UNE.</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UNE 197010:2015</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Criterios generales para la elaboración de informes y dictámenes periciales sobre TIC.</w:t>
            </w:r>
          </w:p>
        </w:tc>
        <w:tc>
          <w:tcPr>
            <w:tcW w:type="dxa" w:w="31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Estructura del informe pericial.</w:t>
            </w:r>
          </w:p>
        </w:tc>
      </w:tr>
      <w:tr>
        <w:trPr>
          <w:cantSplit/>
        </w:trPr>
        <w:tc>
          <w:tcPr>
            <w:tcW w:type="dxa" w:w="2409"/>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OVAL (MITRE, hoy mantenido por CIS)</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i/>
                <w:iCs/>
                <w:sz w:val="18"/>
                <w:szCs w:val="18"/>
              </w:rPr>
              <w:t xml:space="preserve">Open Vulnerability and Assessment Language</w:t>
            </w:r>
            <w:r>
              <w:rPr>
                <w:sz w:val="18"/>
                <w:szCs w:val="18"/>
              </w:rPr>
              <w:t xml:space="preserve">: lenguaje XML para describir estados de sistemas y comprobaciones.</w:t>
            </w:r>
          </w:p>
        </w:tc>
        <w:tc>
          <w:tcPr>
            <w:tcW w:type="dxa" w:w="3133"/>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Evaluación de vulnerabilidades/configuración; en ocasiones se cita en temarios de forensia (pregunta 918).</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CybOX / STIX, DFXML</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Lenguajes estructurados de observables e intercambio de información forense/amenazas.</w:t>
            </w:r>
          </w:p>
        </w:tc>
        <w:tc>
          <w:tcPr>
            <w:tcW w:type="dxa" w:w="31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Interoperabilidad de herramientas.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4"/>
              <w:left w:val="single" w:color="BF8F00" w:sz="24"/>
              <w:bottom w:val="single" w:color="BF8F00" w:sz="4"/>
              <w:right w:val="single" w:color="BF8F00" w:sz="4"/>
            </w:tcBorders>
            <w:shd w:fill="FFF2CC" w:color="auto" w:val="clear"/>
            <w:tcMar>
              <w:top w:type="dxa" w:w="100"/>
              <w:left w:type="dxa" w:w="160"/>
              <w:bottom w:type="dxa" w:w="100"/>
              <w:right w:type="dxa" w:w="140"/>
            </w:tcMar>
          </w:tcPr>
          <w:p>
            <w:pPr>
              <w:spacing w:after="80"/>
            </w:pPr>
            <w:r>
              <w:rPr>
                <w:b/>
                <w:bCs/>
                <w:color w:val="BF8F00"/>
                <w:sz w:val="20"/>
                <w:szCs w:val="20"/>
              </w:rPr>
              <w:t xml:space="preserve">NOTA</w:t>
            </w:r>
          </w:p>
          <w:p>
            <w:pPr>
              <w:spacing w:after="60"/>
              <w:jc w:val="both"/>
            </w:pPr>
            <w:r>
              <w:rPr>
                <w:sz w:val="19"/>
                <w:szCs w:val="19"/>
              </w:rPr>
              <w:t xml:space="preserve">Verifica la </w:t>
            </w:r>
            <w:r>
              <w:rPr>
                <w:b/>
                <w:bCs/>
                <w:sz w:val="19"/>
                <w:szCs w:val="19"/>
              </w:rPr>
              <w:t xml:space="preserve">vigencia de las ediciones</w:t>
            </w:r>
            <w:r>
              <w:rPr>
                <w:sz w:val="19"/>
                <w:szCs w:val="19"/>
              </w:rPr>
              <w:t xml:space="preserve"> en el catálogo de ISO y UNE antes del examen: las normas se revisan periódicamente (confirmación, enmienda o nueva edición). Este documento cita las ediciones conocidas a su fecha.</w:t>
            </w:r>
          </w:p>
        </w:tc>
      </w:tr>
    </w:tbl>
    <w:p>
      <w:pPr>
        <w:spacing w:after="120"/>
      </w:pPr>
    </w:p>
    <w:p>
      <w:pPr>
        <w:pStyle w:val="Heading1"/>
        <w:keepNext/>
        <w:spacing w:after="200" w:before="360"/>
      </w:pPr>
      <w:r>
        <w:t xml:space="preserve">38. Herramientas forenses</w:t>
      </w:r>
    </w:p>
    <w:p>
      <w:pPr>
        <w:spacing w:after="120"/>
        <w:jc w:val="both"/>
      </w:pPr>
      <w:r>
        <w:t xml:space="preserve">Se citan </w:t>
      </w:r>
      <w:r>
        <w:rPr>
          <w:b/>
          <w:bCs/>
        </w:rPr>
        <w:t xml:space="preserve">solo como ejemplos</w:t>
      </w:r>
      <w:r>
        <w:t xml:space="preserve"> conocidos; ninguna es obligatoria ni universal. Lo exigible es que la herramienta esté </w:t>
      </w:r>
      <w:r>
        <w:rPr>
          <w:b/>
          <w:bCs/>
        </w:rPr>
        <w:t xml:space="preserve">validada</w:t>
      </w:r>
      <w:r>
        <w:t xml:space="preserve">, su versión se </w:t>
      </w:r>
      <w:r>
        <w:rPr>
          <w:b/>
          <w:bCs/>
        </w:rPr>
        <w:t xml:space="preserve">documente</w:t>
      </w:r>
      <w:r>
        <w:t xml:space="preserve"> y los resultados sean </w:t>
      </w:r>
      <w:r>
        <w:rPr>
          <w:b/>
          <w:bCs/>
        </w:rPr>
        <w:t xml:space="preserve">reproducibles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Categoría</w:t>
            </w:r>
          </w:p>
        </w:tc>
        <w:tc>
          <w:tcPr>
            <w:tcW w:type="dxa" w:w="674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Ejemplos</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Bloqueo de escritura</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Bloqueadores hardware (puentes forenses); bloqueo por software.</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Adquisición de discos</w:t>
            </w:r>
          </w:p>
        </w:tc>
        <w:tc>
          <w:tcPr>
            <w:tcW w:type="dxa" w:w="67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dd / dc3dd / dcfldd, Guymager, FTK Imager, EnCase.</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Análisis de discos y ficheros</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The Sleuth Kit / Autopsy, EnCase, FTK, X-Ways, Magnet AXIOM.</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Memoria</w:t>
            </w:r>
          </w:p>
        </w:tc>
        <w:tc>
          <w:tcPr>
            <w:tcW w:type="dxa" w:w="67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Volatility, herramientas de volcado (WinPmem, LiME, AVML).</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Red</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Wireshark, tcpdump, Zeek, NetworkMiner.</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Móviles</w:t>
            </w:r>
          </w:p>
        </w:tc>
        <w:tc>
          <w:tcPr>
            <w:tcW w:type="dxa" w:w="67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Cellebrite, Oxygen, MSAB XRY, Magnet AXIOM; iLEAPP/ALEAPP (código abierto).</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Logs y SIEM</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Elastic, Splunk, herramientas de análisis de evtx.</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Línea temporal</w:t>
            </w:r>
          </w:p>
        </w:tc>
        <w:tc>
          <w:tcPr>
            <w:tcW w:type="dxa" w:w="67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Plaso / log2timeline, Timeline Explorer.</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Recuperación / carving</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PhotoRec, Foremost, Scalpel, bulk_extractor.</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Distribuciones especializadas</w:t>
            </w:r>
          </w:p>
        </w:tc>
        <w:tc>
          <w:tcPr>
            <w:tcW w:type="dxa" w:w="67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CAINE, Tsurugi, SIFT Workstation.</w:t>
            </w:r>
          </w:p>
        </w:tc>
      </w:tr>
    </w:tbl>
    <w:p>
      <w:pPr>
        <w:spacing w:after="120"/>
      </w:pPr>
    </w:p>
    <w:p>
      <w:pPr>
        <w:pStyle w:val="Heading1"/>
        <w:keepNext/>
        <w:spacing w:after="200" w:before="360"/>
      </w:pPr>
      <w:r>
        <w:t xml:space="preserve">39. Línea temporal (timeline) forense</w:t>
      </w:r>
    </w:p>
    <w:p>
      <w:pPr>
        <w:spacing w:after="120"/>
        <w:jc w:val="both"/>
      </w:pPr>
      <w:r>
        <w:t xml:space="preserve">La </w:t>
      </w:r>
      <w:r>
        <w:rPr>
          <w:b/>
          <w:bCs/>
        </w:rPr>
        <w:t xml:space="preserve">línea temporal</w:t>
      </w:r>
      <w:r>
        <w:t xml:space="preserve"> ordena cronológicamente todos los eventos obtenidos de múltiples fuentes (sistema de archivos, registros, logs, navegador, correo) para reconstruir la secuencia de hechos. Las </w:t>
      </w:r>
      <w:r>
        <w:rPr>
          <w:b/>
          <w:bCs/>
        </w:rPr>
        <w:t xml:space="preserve">supertimelines</w:t>
      </w:r>
      <w:r>
        <w:t xml:space="preserve"> integran todas las fuentes en una sola.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4096"/>
        <w:gridCol w:w="3374"/>
      </w:tblGrid>
      <w:tr>
        <w:trPr>
          <w:tblHeader/>
        </w:trPr>
        <w:tc>
          <w:tcPr>
            <w:tcW w:type="dxa" w:w="216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Marca MACB</w:t>
            </w:r>
          </w:p>
        </w:tc>
        <w:tc>
          <w:tcPr>
            <w:tcW w:type="dxa" w:w="409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Significado</w:t>
            </w:r>
          </w:p>
        </w:tc>
        <w:tc>
          <w:tcPr>
            <w:tcW w:type="dxa" w:w="337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Observación</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w:t>
            </w:r>
            <w:r>
              <w:rPr>
                <w:sz w:val="18"/>
                <w:szCs w:val="18"/>
              </w:rPr>
              <w:t xml:space="preserve"> – Modified</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Última modificación del </w:t>
            </w:r>
            <w:r>
              <w:rPr>
                <w:sz w:val="18"/>
                <w:szCs w:val="18"/>
              </w:rPr>
              <w:t xml:space="preserve">contenido</w:t>
            </w:r>
            <w:r>
              <w:rPr>
                <w:sz w:val="18"/>
                <w:szCs w:val="18"/>
              </w:rPr>
              <w:t xml:space="preserve">.</w:t>
            </w:r>
          </w:p>
        </w:tc>
        <w:tc>
          <w:tcPr>
            <w:tcW w:type="dxa" w:w="33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w:t>
            </w:r>
            <w:r>
              <w:rPr>
                <w:sz w:val="18"/>
                <w:szCs w:val="18"/>
              </w:rPr>
              <w:t xml:space="preserve"> – Accessed</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Último acceso.</w:t>
            </w:r>
          </w:p>
        </w:tc>
        <w:tc>
          <w:tcPr>
            <w:tcW w:type="dxa" w:w="33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Puede estar desactivada o actualizarse de forma diferida (NTFS por defecto en versiones modernas de Windows).</w:t>
            </w:r>
          </w:p>
        </w:tc>
      </w:tr>
      <w:tr>
        <w:trPr>
          <w:cantSplit/>
        </w:trPr>
        <w:tc>
          <w:tcPr>
            <w:tcW w:type="dxa" w:w="21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w:t>
            </w:r>
            <w:r>
              <w:rPr>
                <w:sz w:val="18"/>
                <w:szCs w:val="18"/>
              </w:rPr>
              <w:t xml:space="preserve"> – Changed</w:t>
            </w:r>
          </w:p>
        </w:tc>
        <w:tc>
          <w:tcPr>
            <w:tcW w:type="dxa" w:w="4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Último cambio de la </w:t>
            </w:r>
            <w:r>
              <w:rPr>
                <w:sz w:val="18"/>
                <w:szCs w:val="18"/>
              </w:rPr>
              <w:t xml:space="preserve">entrada de metadatos</w:t>
            </w:r>
            <w:r>
              <w:rPr>
                <w:sz w:val="18"/>
                <w:szCs w:val="18"/>
              </w:rPr>
              <w:t xml:space="preserve"> (NTFS: </w:t>
            </w:r>
            <w:r>
              <w:rPr>
                <w:i/>
                <w:iCs/>
                <w:sz w:val="18"/>
                <w:szCs w:val="18"/>
              </w:rPr>
              <w:t xml:space="preserve">MFT entry modified</w:t>
            </w:r>
            <w:r>
              <w:rPr>
                <w:sz w:val="18"/>
                <w:szCs w:val="18"/>
              </w:rPr>
              <w:t xml:space="preserve">; en Unix </w:t>
            </w:r>
            <w:r>
              <w:rPr>
                <w:i/>
                <w:iCs/>
                <w:sz w:val="18"/>
                <w:szCs w:val="18"/>
              </w:rPr>
              <w:t xml:space="preserve">ctime</w:t>
            </w:r>
            <w:r>
              <w:rPr>
                <w:sz w:val="18"/>
                <w:szCs w:val="18"/>
              </w:rPr>
              <w:t xml:space="preserve"> = cambio de inodo).</w:t>
            </w:r>
          </w:p>
        </w:tc>
        <w:tc>
          <w:tcPr>
            <w:tcW w:type="dxa" w:w="33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En Unix «C» no es creación.</w:t>
            </w:r>
          </w:p>
        </w:tc>
      </w:tr>
      <w:tr>
        <w:trPr>
          <w:cantSplit/>
        </w:trPr>
        <w:tc>
          <w:tcPr>
            <w:tcW w:type="dxa" w:w="21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B</w:t>
            </w:r>
            <w:r>
              <w:rPr>
                <w:sz w:val="18"/>
                <w:szCs w:val="18"/>
              </w:rPr>
              <w:t xml:space="preserve"> – Born</w:t>
            </w:r>
          </w:p>
        </w:tc>
        <w:tc>
          <w:tcPr>
            <w:tcW w:type="dxa" w:w="409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Creación</w:t>
            </w:r>
            <w:r>
              <w:rPr>
                <w:sz w:val="18"/>
                <w:szCs w:val="18"/>
              </w:rPr>
              <w:t xml:space="preserve"> del fichero.</w:t>
            </w:r>
          </w:p>
        </w:tc>
        <w:tc>
          <w:tcPr>
            <w:tcW w:type="dxa" w:w="337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p>
        </w:tc>
      </w:tr>
    </w:tbl>
    <w:p>
      <w:pPr>
        <w:spacing w:after="120"/>
      </w:pPr>
    </w:p>
    <w:p>
      <w:pPr>
        <w:pStyle w:val="ListParagraph"/>
        <w:numPr>
          <w:ilvl w:val="0"/>
          <w:numId w:val="2"/>
        </w:numPr>
        <w:spacing w:after="60"/>
      </w:pPr>
      <w:r>
        <w:rPr>
          <w:b/>
          <w:bCs/>
        </w:rPr>
        <w:t xml:space="preserve">Zonas horarias</w:t>
      </w:r>
      <w:r>
        <w:t xml:space="preserve">: NTFS almacena en UTC; FAT en hora local. Normalizar siempre a </w:t>
      </w:r>
      <w:r>
        <w:rPr>
          <w:b/>
          <w:bCs/>
        </w:rPr>
        <w:t xml:space="preserve">UTC</w:t>
      </w:r>
      <w:r>
        <w:t xml:space="preserve"> y documentarlo.</w:t>
      </w:r>
    </w:p>
    <w:p>
      <w:pPr>
        <w:pStyle w:val="ListParagraph"/>
        <w:numPr>
          <w:ilvl w:val="0"/>
          <w:numId w:val="2"/>
        </w:numPr>
        <w:spacing w:after="60"/>
      </w:pPr>
      <w:r>
        <w:rPr>
          <w:b/>
          <w:bCs/>
        </w:rPr>
        <w:t xml:space="preserve">Sincronización y desfases de reloj</w:t>
      </w:r>
      <w:r>
        <w:t xml:space="preserve"> entre sistemas (NTP); verificar la hora del equipo frente a una referencia.</w:t>
      </w:r>
    </w:p>
    <w:p>
      <w:pPr>
        <w:pStyle w:val="ListParagraph"/>
        <w:numPr>
          <w:ilvl w:val="0"/>
          <w:numId w:val="2"/>
        </w:numPr>
        <w:spacing w:after="60"/>
      </w:pPr>
      <w:r>
        <w:rPr>
          <w:b/>
          <w:bCs/>
        </w:rPr>
        <w:t xml:space="preserve">Manipulación</w:t>
      </w:r>
      <w:r>
        <w:t xml:space="preserve"> (</w:t>
      </w:r>
      <w:r>
        <w:rPr>
          <w:i/>
          <w:iCs/>
        </w:rPr>
        <w:t xml:space="preserve">timestomping</w:t>
      </w:r>
      <w:r>
        <w:t xml:space="preserve">): herramientas que alteran marcas de tiempo; se detecta, por ejemplo, comparando atributos </w:t>
      </w:r>
      <w:r>
        <w:rPr>
          <w:i/>
          <w:iCs/>
        </w:rPr>
        <w:t xml:space="preserve">$STANDARD_INFORMATION</w:t>
      </w:r>
      <w:r>
        <w:t xml:space="preserve"> y </w:t>
      </w:r>
      <w:r>
        <w:rPr>
          <w:i/>
          <w:iCs/>
        </w:rPr>
        <w:t xml:space="preserve">$FILE_NAME</w:t>
      </w:r>
      <w:r>
        <w:t xml:space="preserve"> en NTFS o con el </w:t>
      </w:r>
      <w:r>
        <w:rPr>
          <w:i/>
          <w:iCs/>
        </w:rPr>
        <w:t xml:space="preserve">$UsnJrnl</w:t>
      </w:r>
      <w:r>
        <w:t xml:space="preserve">.</w:t>
      </w:r>
    </w:p>
    <w:p>
      <w:pPr>
        <w:pStyle w:val="ListParagraph"/>
        <w:numPr>
          <w:ilvl w:val="0"/>
          <w:numId w:val="2"/>
        </w:numPr>
        <w:spacing w:after="60"/>
      </w:pPr>
      <w:r>
        <w:rPr>
          <w:b/>
          <w:bCs/>
        </w:rPr>
        <w:t xml:space="preserve">Diferencias entre sistemas de ficheros</w:t>
      </w:r>
      <w:r>
        <w:t xml:space="preserve"> en la resolución y en qué marcas guardan.</w:t>
      </w:r>
    </w:p>
    <w:p>
      <w:pPr>
        <w:pStyle w:val="Heading1"/>
        <w:keepNext/>
        <w:spacing w:after="200" w:before="360"/>
      </w:pPr>
      <w:r>
        <w:t xml:space="preserve">40. El malware desde la perspectiva forense</w:t>
      </w:r>
    </w:p>
    <w:p>
      <w:pPr>
        <w:spacing w:after="120"/>
        <w:jc w:val="both"/>
      </w:pPr>
      <w:r>
        <w:t xml:space="preserve">El objetivo forense no es «desarmar» el malware, sino </w:t>
      </w:r>
      <w:r>
        <w:rPr>
          <w:b/>
          <w:bCs/>
        </w:rPr>
        <w:t xml:space="preserve">determinar qué ocurrió</w:t>
      </w:r>
      <w:r>
        <w:t xml:space="preserve">: vector de entrada, persistencia, alcance, datos afectados, exfiltración, y obtener </w:t>
      </w:r>
      <w:r>
        <w:rPr>
          <w:b/>
          <w:bCs/>
        </w:rPr>
        <w:t xml:space="preserve">indicadores</w:t>
      </w:r>
      <w:r>
        <w:t xml:space="preserve"> para detectar otros sistemas comprometidos.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6988"/>
      </w:tblGrid>
      <w:tr>
        <w:trPr>
          <w:tblHeader/>
        </w:trPr>
        <w:tc>
          <w:tcPr>
            <w:tcW w:type="dxa" w:w="2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Elemento</w:t>
            </w:r>
          </w:p>
        </w:tc>
        <w:tc>
          <w:tcPr>
            <w:tcW w:type="dxa" w:w="698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Contenido</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Identificación</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Cálculo de </w:t>
            </w:r>
            <w:r>
              <w:rPr>
                <w:sz w:val="18"/>
                <w:szCs w:val="18"/>
              </w:rPr>
              <w:t xml:space="preserve">hash</w:t>
            </w:r>
            <w:r>
              <w:rPr>
                <w:sz w:val="18"/>
                <w:szCs w:val="18"/>
              </w:rPr>
              <w:t xml:space="preserve"> de la muestra y consulta en bases de inteligencia; firmas </w:t>
            </w:r>
            <w:r>
              <w:rPr>
                <w:sz w:val="18"/>
                <w:szCs w:val="18"/>
              </w:rPr>
              <w:t xml:space="preserve">YARA</w:t>
            </w:r>
            <w:r>
              <w:rPr>
                <w:sz w:val="18"/>
                <w:szCs w:val="18"/>
              </w:rPr>
              <w:t xml:space="preserve">.</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Indicadores de compromiso (IoC)</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Hashes, IP, dominios, URL, nombres de fichero, claves de registro, mutex, patrones de tráfico.</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Persistencia</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Claves </w:t>
            </w:r>
            <w:r>
              <w:rPr>
                <w:i/>
                <w:iCs/>
                <w:sz w:val="18"/>
                <w:szCs w:val="18"/>
              </w:rPr>
              <w:t xml:space="preserve">Run</w:t>
            </w:r>
            <w:r>
              <w:rPr>
                <w:sz w:val="18"/>
                <w:szCs w:val="18"/>
              </w:rPr>
              <w:t xml:space="preserve">, servicios, tareas programadas, WMI, carpetas de inicio, </w:t>
            </w:r>
            <w:r>
              <w:rPr>
                <w:i/>
                <w:iCs/>
                <w:sz w:val="18"/>
                <w:szCs w:val="18"/>
              </w:rPr>
              <w:t xml:space="preserve">cron</w:t>
            </w:r>
            <w:r>
              <w:rPr>
                <w:sz w:val="18"/>
                <w:szCs w:val="18"/>
              </w:rPr>
              <w:t xml:space="preserve"> o </w:t>
            </w:r>
            <w:r>
              <w:rPr>
                <w:i/>
                <w:iCs/>
                <w:sz w:val="18"/>
                <w:szCs w:val="18"/>
              </w:rPr>
              <w:t xml:space="preserve">systemd</w:t>
            </w:r>
            <w:r>
              <w:rPr>
                <w:sz w:val="18"/>
                <w:szCs w:val="18"/>
              </w:rPr>
              <w:t xml:space="preserve"> en Linux.</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Procesos y conexiones</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Procesos anómalos, inyección en procesos legítimos, conexiones a servidores de mando y control (C2).</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Análisis estático</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Examinar la muestra </w:t>
            </w:r>
            <w:r>
              <w:rPr>
                <w:sz w:val="18"/>
                <w:szCs w:val="18"/>
              </w:rPr>
              <w:t xml:space="preserve">sin ejecutarla</w:t>
            </w:r>
            <w:r>
              <w:rPr>
                <w:sz w:val="18"/>
                <w:szCs w:val="18"/>
              </w:rPr>
              <w:t xml:space="preserve">: cadenas, cabeceras PE, importaciones, empaquetado.</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Análisis dinámico</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Ejecutarla en un </w:t>
            </w:r>
            <w:r>
              <w:rPr>
                <w:sz w:val="18"/>
                <w:szCs w:val="18"/>
              </w:rPr>
              <w:t xml:space="preserve">entorno aislado</w:t>
            </w:r>
            <w:r>
              <w:rPr>
                <w:sz w:val="18"/>
                <w:szCs w:val="18"/>
              </w:rPr>
              <w:t xml:space="preserve"> (</w:t>
            </w:r>
            <w:r>
              <w:rPr>
                <w:i/>
                <w:iCs/>
                <w:sz w:val="18"/>
                <w:szCs w:val="18"/>
              </w:rPr>
              <w:t xml:space="preserve">sandbox</w:t>
            </w:r>
            <w:r>
              <w:rPr>
                <w:sz w:val="18"/>
                <w:szCs w:val="18"/>
              </w:rPr>
              <w:t xml:space="preserve">) y observar su comportamiento.</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Artefactos</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Ficheros creados, modificaciones del registro, notas de rescate (ransomware), logs.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4"/>
              <w:left w:val="single" w:color="BF8F00" w:sz="24"/>
              <w:bottom w:val="single" w:color="BF8F00" w:sz="4"/>
              <w:right w:val="single" w:color="BF8F00" w:sz="4"/>
            </w:tcBorders>
            <w:shd w:fill="FFF2CC" w:color="auto" w:val="clear"/>
            <w:tcMar>
              <w:top w:type="dxa" w:w="100"/>
              <w:left w:type="dxa" w:w="160"/>
              <w:bottom w:type="dxa" w:w="100"/>
              <w:right w:type="dxa" w:w="140"/>
            </w:tcMar>
          </w:tcPr>
          <w:p>
            <w:pPr>
              <w:spacing w:after="80"/>
            </w:pPr>
            <w:r>
              <w:rPr>
                <w:b/>
                <w:bCs/>
                <w:color w:val="BF8F00"/>
                <w:sz w:val="20"/>
                <w:szCs w:val="20"/>
              </w:rPr>
              <w:t xml:space="preserve">NOTA</w:t>
            </w:r>
          </w:p>
          <w:p>
            <w:pPr>
              <w:spacing w:after="60"/>
              <w:jc w:val="both"/>
            </w:pPr>
            <w:r>
              <w:rPr>
                <w:sz w:val="19"/>
                <w:szCs w:val="19"/>
              </w:rPr>
              <w:t xml:space="preserve">El análisis defensivo de malware debe realizarse en </w:t>
            </w:r>
            <w:r>
              <w:rPr>
                <w:b/>
                <w:bCs/>
                <w:sz w:val="19"/>
                <w:szCs w:val="19"/>
              </w:rPr>
              <w:t xml:space="preserve">entornos aislados</w:t>
            </w:r>
            <w:r>
              <w:rPr>
                <w:sz w:val="19"/>
                <w:szCs w:val="19"/>
              </w:rPr>
              <w:t xml:space="preserve">, conservar la muestra con hash y cadena de custodia, y notificar incidentes según el </w:t>
            </w:r>
            <w:r>
              <w:rPr>
                <w:b/>
                <w:bCs/>
                <w:sz w:val="19"/>
                <w:szCs w:val="19"/>
              </w:rPr>
              <w:t xml:space="preserve">ENS</w:t>
            </w:r>
            <w:r>
              <w:rPr>
                <w:sz w:val="19"/>
                <w:szCs w:val="19"/>
              </w:rPr>
              <w:t xml:space="preserve"> (al </w:t>
            </w:r>
            <w:r>
              <w:rPr>
                <w:b/>
                <w:bCs/>
                <w:sz w:val="19"/>
                <w:szCs w:val="19"/>
              </w:rPr>
              <w:t xml:space="preserve">CCN-CERT</w:t>
            </w:r>
            <w:r>
              <w:rPr>
                <w:sz w:val="19"/>
                <w:szCs w:val="19"/>
              </w:rPr>
              <w:t xml:space="preserve"> en el sector público) y, si hay datos personales afectados, a la autoridad de protección de datos (art. 33 RGPD).</w:t>
            </w:r>
          </w:p>
        </w:tc>
      </w:tr>
    </w:tbl>
    <w:p>
      <w:pPr>
        <w:spacing w:after="120"/>
      </w:pPr>
    </w:p>
    <w:p>
      <w:pPr>
        <w:pStyle w:val="Heading1"/>
        <w:keepNext/>
        <w:spacing w:after="200" w:before="360"/>
      </w:pPr>
      <w:r>
        <w:t xml:space="preserve">41. El informe forense</w:t>
      </w:r>
    </w:p>
    <w:p>
      <w:pPr>
        <w:pStyle w:val="ListParagraph"/>
        <w:numPr>
          <w:ilvl w:val="0"/>
          <w:numId w:val="5"/>
        </w:numPr>
        <w:spacing w:after="60"/>
      </w:pPr>
      <w:r>
        <w:rPr>
          <w:b/>
          <w:bCs/>
        </w:rPr>
        <w:t xml:space="preserve">Identificación del caso</w:t>
      </w:r>
      <w:r>
        <w:t xml:space="preserve"> (número, solicitante, perito, fechas).</w:t>
      </w:r>
    </w:p>
    <w:p>
      <w:pPr>
        <w:pStyle w:val="ListParagraph"/>
        <w:numPr>
          <w:ilvl w:val="0"/>
          <w:numId w:val="5"/>
        </w:numPr>
        <w:spacing w:after="60"/>
      </w:pPr>
      <w:r>
        <w:rPr>
          <w:b/>
          <w:bCs/>
        </w:rPr>
        <w:t xml:space="preserve">Objeto</w:t>
      </w:r>
      <w:r>
        <w:t xml:space="preserve"> (preguntas a responder).</w:t>
      </w:r>
    </w:p>
    <w:p>
      <w:pPr>
        <w:pStyle w:val="ListParagraph"/>
        <w:numPr>
          <w:ilvl w:val="0"/>
          <w:numId w:val="5"/>
        </w:numPr>
        <w:spacing w:after="60"/>
      </w:pPr>
      <w:r>
        <w:rPr>
          <w:b/>
          <w:bCs/>
        </w:rPr>
        <w:t xml:space="preserve">Alcance</w:t>
      </w:r>
      <w:r>
        <w:t xml:space="preserve"> y limitaciones del encargo.</w:t>
      </w:r>
    </w:p>
    <w:p>
      <w:pPr>
        <w:pStyle w:val="ListParagraph"/>
        <w:numPr>
          <w:ilvl w:val="0"/>
          <w:numId w:val="5"/>
        </w:numPr>
        <w:spacing w:after="60"/>
      </w:pPr>
      <w:r>
        <w:rPr>
          <w:b/>
          <w:bCs/>
        </w:rPr>
        <w:t xml:space="preserve">Metodología</w:t>
      </w:r>
      <w:r>
        <w:t xml:space="preserve"> y estándares seguidos.</w:t>
      </w:r>
    </w:p>
    <w:p>
      <w:pPr>
        <w:pStyle w:val="ListParagraph"/>
        <w:numPr>
          <w:ilvl w:val="0"/>
          <w:numId w:val="5"/>
        </w:numPr>
        <w:spacing w:after="60"/>
      </w:pPr>
      <w:r>
        <w:rPr>
          <w:b/>
          <w:bCs/>
        </w:rPr>
        <w:t xml:space="preserve">Evidencias recibidas</w:t>
      </w:r>
      <w:r>
        <w:t xml:space="preserve"> (descripción, estado, hashes).</w:t>
      </w:r>
    </w:p>
    <w:p>
      <w:pPr>
        <w:pStyle w:val="ListParagraph"/>
        <w:numPr>
          <w:ilvl w:val="0"/>
          <w:numId w:val="5"/>
        </w:numPr>
        <w:spacing w:after="60"/>
      </w:pPr>
      <w:r>
        <w:rPr>
          <w:b/>
          <w:bCs/>
        </w:rPr>
        <w:t xml:space="preserve">Cadena de custodia</w:t>
      </w:r>
      <w:r>
        <w:t xml:space="preserve">.</w:t>
      </w:r>
    </w:p>
    <w:p>
      <w:pPr>
        <w:pStyle w:val="ListParagraph"/>
        <w:numPr>
          <w:ilvl w:val="0"/>
          <w:numId w:val="5"/>
        </w:numPr>
        <w:spacing w:after="60"/>
      </w:pPr>
      <w:r>
        <w:rPr>
          <w:b/>
          <w:bCs/>
        </w:rPr>
        <w:t xml:space="preserve">Herramientas</w:t>
      </w:r>
      <w:r>
        <w:t xml:space="preserve"> (nombre, versión, validación).</w:t>
      </w:r>
    </w:p>
    <w:p>
      <w:pPr>
        <w:pStyle w:val="ListParagraph"/>
        <w:numPr>
          <w:ilvl w:val="0"/>
          <w:numId w:val="5"/>
        </w:numPr>
        <w:spacing w:after="60"/>
      </w:pPr>
      <w:r>
        <w:rPr>
          <w:b/>
          <w:bCs/>
        </w:rPr>
        <w:t xml:space="preserve">Procedimientos</w:t>
      </w:r>
      <w:r>
        <w:t xml:space="preserve"> aplicados paso a paso.</w:t>
      </w:r>
    </w:p>
    <w:p>
      <w:pPr>
        <w:pStyle w:val="ListParagraph"/>
        <w:numPr>
          <w:ilvl w:val="0"/>
          <w:numId w:val="5"/>
        </w:numPr>
        <w:spacing w:after="60"/>
      </w:pPr>
      <w:r>
        <w:rPr>
          <w:b/>
          <w:bCs/>
        </w:rPr>
        <w:t xml:space="preserve">Resultados</w:t>
      </w:r>
      <w:r>
        <w:t xml:space="preserve"> (hechos observados).</w:t>
      </w:r>
    </w:p>
    <w:p>
      <w:pPr>
        <w:pStyle w:val="ListParagraph"/>
        <w:numPr>
          <w:ilvl w:val="0"/>
          <w:numId w:val="5"/>
        </w:numPr>
        <w:spacing w:after="60"/>
      </w:pPr>
      <w:r>
        <w:rPr>
          <w:b/>
          <w:bCs/>
        </w:rPr>
        <w:t xml:space="preserve">Análisis</w:t>
      </w:r>
      <w:r>
        <w:t xml:space="preserve"> e interpretación.</w:t>
      </w:r>
    </w:p>
    <w:p>
      <w:pPr>
        <w:pStyle w:val="ListParagraph"/>
        <w:numPr>
          <w:ilvl w:val="0"/>
          <w:numId w:val="5"/>
        </w:numPr>
        <w:spacing w:after="60"/>
      </w:pPr>
      <w:r>
        <w:rPr>
          <w:b/>
          <w:bCs/>
        </w:rPr>
        <w:t xml:space="preserve">Limitaciones</w:t>
      </w:r>
      <w:r>
        <w:t xml:space="preserve"> (datos no recuperables, cifrado, incertidumbre temporal).</w:t>
      </w:r>
    </w:p>
    <w:p>
      <w:pPr>
        <w:pStyle w:val="ListParagraph"/>
        <w:numPr>
          <w:ilvl w:val="0"/>
          <w:numId w:val="5"/>
        </w:numPr>
        <w:spacing w:after="60"/>
      </w:pPr>
      <w:r>
        <w:rPr>
          <w:b/>
          <w:bCs/>
        </w:rPr>
        <w:t xml:space="preserve">Conclusiones</w:t>
      </w:r>
      <w:r>
        <w:t xml:space="preserve"> claras, vinculadas a las preguntas del objeto.</w:t>
      </w:r>
    </w:p>
    <w:p>
      <w:pPr>
        <w:pStyle w:val="ListParagraph"/>
        <w:numPr>
          <w:ilvl w:val="0"/>
          <w:numId w:val="5"/>
        </w:numPr>
        <w:spacing w:after="60"/>
      </w:pPr>
      <w:r>
        <w:rPr>
          <w:b/>
          <w:bCs/>
        </w:rPr>
        <w:t xml:space="preserve">Anexos</w:t>
      </w:r>
      <w:r>
        <w:t xml:space="preserve"> (listados, capturas, actas, hashes).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DEEAF6" w:color="auto" w:val="clear"/>
            <w:tcMar>
              <w:top w:type="dxa" w:w="100"/>
              <w:left w:type="dxa" w:w="160"/>
              <w:bottom w:type="dxa" w:w="100"/>
              <w:right w:type="dxa" w:w="140"/>
            </w:tcMar>
          </w:tcPr>
          <w:p>
            <w:pPr>
              <w:spacing w:after="80"/>
            </w:pPr>
            <w:r>
              <w:rPr>
                <w:b/>
                <w:bCs/>
                <w:color w:val="2E75B6"/>
                <w:sz w:val="20"/>
                <w:szCs w:val="20"/>
              </w:rPr>
              <w:t xml:space="preserve">CLAVE PARA EL EXAMEN</w:t>
            </w:r>
          </w:p>
          <w:p>
            <w:pPr>
              <w:spacing w:after="60"/>
              <w:jc w:val="both"/>
            </w:pPr>
            <w:r>
              <w:rPr>
                <w:sz w:val="19"/>
                <w:szCs w:val="19"/>
              </w:rPr>
              <w:t xml:space="preserve">Separar siempre </w:t>
            </w:r>
            <w:r>
              <w:rPr>
                <w:b/>
                <w:bCs/>
                <w:sz w:val="19"/>
                <w:szCs w:val="19"/>
              </w:rPr>
              <w:t xml:space="preserve">hechos observados</w:t>
            </w:r>
            <w:r>
              <w:rPr>
                <w:sz w:val="19"/>
                <w:szCs w:val="19"/>
              </w:rPr>
              <w:t xml:space="preserve"> («el fichero X tiene fecha de creación Y según $MFT») de </w:t>
            </w:r>
            <w:r>
              <w:rPr>
                <w:b/>
                <w:bCs/>
                <w:sz w:val="19"/>
                <w:szCs w:val="19"/>
              </w:rPr>
              <w:t xml:space="preserve">interpretaciones/conclusiones</w:t>
            </w:r>
            <w:r>
              <w:rPr>
                <w:sz w:val="19"/>
                <w:szCs w:val="19"/>
              </w:rPr>
              <w:t xml:space="preserve"> («es compatible con que el usuario copió el fichero ese día»). El perito debe exponer hipótesis alternativas y su grado de certeza. En el proceso civil, el perito manifiesta bajo </w:t>
            </w:r>
            <w:r>
              <w:rPr>
                <w:b/>
                <w:bCs/>
                <w:sz w:val="19"/>
                <w:szCs w:val="19"/>
              </w:rPr>
              <w:t xml:space="preserve">juramento o promesa</w:t>
            </w:r>
            <w:r>
              <w:rPr>
                <w:sz w:val="19"/>
                <w:szCs w:val="19"/>
              </w:rPr>
              <w:t xml:space="preserve"> que ha actuado con </w:t>
            </w:r>
            <w:r>
              <w:rPr>
                <w:b/>
                <w:bCs/>
                <w:sz w:val="19"/>
                <w:szCs w:val="19"/>
              </w:rPr>
              <w:t xml:space="preserve">objetividad</w:t>
            </w:r>
            <w:r>
              <w:rPr>
                <w:sz w:val="19"/>
                <w:szCs w:val="19"/>
              </w:rPr>
              <w:t xml:space="preserve"> (art. 335.2 LEC). Referencia técnica: </w:t>
            </w:r>
            <w:r>
              <w:rPr>
                <w:b/>
                <w:bCs/>
                <w:sz w:val="19"/>
                <w:szCs w:val="19"/>
              </w:rPr>
              <w:t xml:space="preserve">UNE 197010:2015</w:t>
            </w:r>
            <w:r>
              <w:rPr>
                <w:sz w:val="19"/>
                <w:szCs w:val="19"/>
              </w:rPr>
              <w:t xml:space="preserve">.</w:t>
            </w:r>
          </w:p>
        </w:tc>
      </w:tr>
    </w:tbl>
    <w:p>
      <w:pPr>
        <w:spacing w:after="120"/>
      </w:pPr>
    </w:p>
    <w:p>
      <w:pPr>
        <w:pStyle w:val="Heading1"/>
        <w:keepNext/>
        <w:spacing w:after="200" w:before="360"/>
      </w:pPr>
      <w:r>
        <w:t xml:space="preserve">42. Informática forense en la Administración Pública</w:t>
      </w:r>
    </w:p>
    <w:p>
      <w:pPr>
        <w:spacing w:after="120"/>
        <w:jc w:val="both"/>
      </w:pPr>
      <w:r>
        <w:t xml:space="preserve">La AP tiene particularidades: sistemas corporativos con registros administrativos y expedientes electrónicos (Leyes 39/2015 y 40/2015), empleados públicos sujetos a régimen disciplinario, proveedores externos que operan sistemas, y el </w:t>
      </w:r>
      <w:r>
        <w:rPr>
          <w:b/>
          <w:bCs/>
        </w:rPr>
        <w:t xml:space="preserve">Esquema Nacional de Seguridad (RD 311/2022)</w:t>
      </w:r>
      <w:r>
        <w:t xml:space="preserve">, que obliga a registrar la actividad y gestionar incidentes.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6988"/>
      </w:tblGrid>
      <w:tr>
        <w:trPr>
          <w:tblHeader/>
        </w:trPr>
        <w:tc>
          <w:tcPr>
            <w:tcW w:type="dxa" w:w="26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Aspecto</w:t>
            </w:r>
          </w:p>
        </w:tc>
        <w:tc>
          <w:tcPr>
            <w:tcW w:type="dxa" w:w="698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Norma / criterio</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Registro de actividad (logs)</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ENS, </w:t>
            </w:r>
            <w:r>
              <w:rPr>
                <w:sz w:val="18"/>
                <w:szCs w:val="18"/>
              </w:rPr>
              <w:t xml:space="preserve">op.exp.8</w:t>
            </w:r>
            <w:r>
              <w:rPr>
                <w:sz w:val="18"/>
                <w:szCs w:val="18"/>
              </w:rPr>
              <w:t xml:space="preserve"> (registro de la actividad de usuarios, con la finalidad de monitorizar, analizar, investigar y documentar actividades indebidas), </w:t>
            </w:r>
            <w:r>
              <w:rPr>
                <w:sz w:val="18"/>
                <w:szCs w:val="18"/>
              </w:rPr>
              <w:t xml:space="preserve">op.exp.7</w:t>
            </w:r>
            <w:r>
              <w:rPr>
                <w:sz w:val="18"/>
                <w:szCs w:val="18"/>
              </w:rPr>
              <w:t xml:space="preserve"> (gestión de incidentes), </w:t>
            </w:r>
            <w:r>
              <w:rPr>
                <w:sz w:val="18"/>
                <w:szCs w:val="18"/>
              </w:rPr>
              <w:t xml:space="preserve">op.exp.9</w:t>
            </w:r>
            <w:r>
              <w:rPr>
                <w:sz w:val="18"/>
                <w:szCs w:val="18"/>
              </w:rPr>
              <w:t xml:space="preserve"> (registro de la gestión de incidentes); protección de los registros frente a modificación.</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Notificación de incidentes</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ENS: al </w:t>
            </w:r>
            <w:r>
              <w:rPr>
                <w:sz w:val="18"/>
                <w:szCs w:val="18"/>
              </w:rPr>
              <w:t xml:space="preserve">CCN-CERT</w:t>
            </w:r>
            <w:r>
              <w:rPr>
                <w:sz w:val="18"/>
                <w:szCs w:val="18"/>
              </w:rPr>
              <w:t xml:space="preserve"> los incidentes de impacto significativo; RGPD art. 33 si hay datos personales.</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Control del uso de medios digitales por empleados</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LOPDGDD art. 87</w:t>
            </w:r>
            <w:r>
              <w:rPr>
                <w:sz w:val="18"/>
                <w:szCs w:val="18"/>
              </w:rPr>
              <w:t xml:space="preserve"> (intimidad y uso de dispositivos digitales en el ámbito laboral: el empleador puede acceder para controlar el cumplimiento de obligaciones y garantizar la integridad, con </w:t>
            </w:r>
            <w:r>
              <w:rPr>
                <w:sz w:val="18"/>
                <w:szCs w:val="18"/>
              </w:rPr>
              <w:t xml:space="preserve">criterios de uso previamente establecidos e informados</w:t>
            </w:r>
            <w:r>
              <w:rPr>
                <w:sz w:val="18"/>
                <w:szCs w:val="18"/>
              </w:rPr>
              <w:t xml:space="preserve">); arts. 88-90 (desconexión, videovigilancia, geolocalización); </w:t>
            </w:r>
            <w:r>
              <w:rPr>
                <w:sz w:val="18"/>
                <w:szCs w:val="18"/>
              </w:rPr>
              <w:t xml:space="preserve">art. 14 j bis) TREBEP</w:t>
            </w:r>
            <w:r>
              <w:rPr>
                <w:sz w:val="18"/>
                <w:szCs w:val="18"/>
              </w:rPr>
              <w:t xml:space="preserve">. Jurisprudencia TEDH *</w:t>
            </w:r>
            <w:r>
              <w:rPr>
                <w:sz w:val="18"/>
                <w:szCs w:val="18"/>
              </w:rPr>
              <w:t xml:space="preserve">Bărbulescu II</w:t>
            </w:r>
            <w:r>
              <w:rPr>
                <w:sz w:val="18"/>
                <w:szCs w:val="18"/>
              </w:rPr>
              <w:t xml:space="preserve">* (2017): información previa, proporcionalidad, justificación, medios menos intrusivos.</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Régimen disciplinario</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TREBEP (RDL 5/2015) arts. 93-98; para el personal estatutario del SAS, </w:t>
            </w:r>
            <w:r>
              <w:rPr>
                <w:sz w:val="18"/>
                <w:szCs w:val="18"/>
              </w:rPr>
              <w:t xml:space="preserve">Ley 55/2003 (Estatuto Marco)</w:t>
            </w:r>
            <w:r>
              <w:rPr>
                <w:sz w:val="18"/>
                <w:szCs w:val="18"/>
              </w:rPr>
              <w:t xml:space="preserve">, arts. 70-75. El uso indebido de información a la que se accede por razón del cargo es falta muy grave.</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Expediente electrónico y documentos</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Ley 39/2015 (art. 70) y Ley 40/2015; metadatos y firma/sello de los documentos administrativos (NTI de documento y expediente electrónico).</w:t>
            </w:r>
          </w:p>
        </w:tc>
      </w:tr>
      <w:tr>
        <w:trPr>
          <w:cantSplit/>
        </w:trPr>
        <w:tc>
          <w:tcPr>
            <w:tcW w:type="dxa" w:w="26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Proveedores</w:t>
            </w:r>
          </w:p>
        </w:tc>
        <w:tc>
          <w:tcPr>
            <w:tcW w:type="dxa" w:w="698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Contrato de </w:t>
            </w:r>
            <w:r>
              <w:rPr>
                <w:sz w:val="18"/>
                <w:szCs w:val="18"/>
              </w:rPr>
              <w:t xml:space="preserve">encargado del tratamiento</w:t>
            </w:r>
            <w:r>
              <w:rPr>
                <w:sz w:val="18"/>
                <w:szCs w:val="18"/>
              </w:rPr>
              <w:t xml:space="preserve"> (art. 28 RGPD); cláusulas de colaboración en investigaciones, conservación de logs y acceso a evidencias.</w:t>
            </w:r>
          </w:p>
        </w:tc>
      </w:tr>
      <w:tr>
        <w:trPr>
          <w:cantSplit/>
        </w:trPr>
        <w:tc>
          <w:tcPr>
            <w:tcW w:type="dxa" w:w="26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Investigación interna vs. penal</w:t>
            </w:r>
          </w:p>
        </w:tc>
        <w:tc>
          <w:tcPr>
            <w:tcW w:type="dxa" w:w="69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Si hay indicios de delito, </w:t>
            </w:r>
            <w:r>
              <w:rPr>
                <w:sz w:val="18"/>
                <w:szCs w:val="18"/>
              </w:rPr>
              <w:t xml:space="preserve">preservar</w:t>
            </w:r>
            <w:r>
              <w:rPr>
                <w:sz w:val="18"/>
                <w:szCs w:val="18"/>
              </w:rPr>
              <w:t xml:space="preserve"> y </w:t>
            </w:r>
            <w:r>
              <w:rPr>
                <w:sz w:val="18"/>
                <w:szCs w:val="18"/>
              </w:rPr>
              <w:t xml:space="preserve">comunicar</w:t>
            </w:r>
            <w:r>
              <w:rPr>
                <w:sz w:val="18"/>
                <w:szCs w:val="18"/>
              </w:rPr>
              <w:t xml:space="preserve"> al Ministerio Fiscal/Juzgado; evitar actuaciones que contaminen la evidencia o vulneren derechos (nulidad por art. 11 LOPJ).</w:t>
            </w:r>
          </w:p>
        </w:tc>
      </w:tr>
    </w:tbl>
    <w:p>
      <w:pPr>
        <w:spacing w:after="120"/>
      </w:pPr>
    </w:p>
    <w:p>
      <w:pPr>
        <w:pStyle w:val="Heading2"/>
        <w:keepNext/>
      </w:pPr>
      <w:r>
        <w:t xml:space="preserve">42.1 Protección de datos y forensia</w:t>
      </w:r>
    </w:p>
    <w:p>
      <w:pPr>
        <w:spacing w:after="120"/>
        <w:jc w:val="both"/>
      </w:pPr>
      <w:r>
        <w:t xml:space="preserve">Toda investigación forense sobre sistemas con datos personales es a su vez un </w:t>
      </w:r>
      <w:r>
        <w:rPr>
          <w:b/>
          <w:bCs/>
        </w:rPr>
        <w:t xml:space="preserve">tratamiento de datos</w:t>
      </w:r>
      <w:r>
        <w:t xml:space="preserve"> que debe respetar: </w:t>
      </w:r>
      <w:r>
        <w:rPr>
          <w:b/>
          <w:bCs/>
        </w:rPr>
        <w:t xml:space="preserve">base jurídica</w:t>
      </w:r>
      <w:r>
        <w:t xml:space="preserve"> (misión de interés público, obligación legal, en su caso interés legítimo para entidades privadas), </w:t>
      </w:r>
      <w:r>
        <w:rPr>
          <w:b/>
          <w:bCs/>
        </w:rPr>
        <w:t xml:space="preserve">minimización</w:t>
      </w:r>
      <w:r>
        <w:t xml:space="preserve"> (triaje y búsquedas acotadas), </w:t>
      </w:r>
      <w:r>
        <w:rPr>
          <w:b/>
          <w:bCs/>
        </w:rPr>
        <w:t xml:space="preserve">limitación de la finalidad</w:t>
      </w:r>
      <w:r>
        <w:t xml:space="preserve">, </w:t>
      </w:r>
      <w:r>
        <w:rPr>
          <w:b/>
          <w:bCs/>
        </w:rPr>
        <w:t xml:space="preserve">confidencialidad</w:t>
      </w:r>
      <w:r>
        <w:t xml:space="preserve"> y </w:t>
      </w:r>
      <w:r>
        <w:rPr>
          <w:b/>
          <w:bCs/>
        </w:rPr>
        <w:t xml:space="preserve">acceso restringido</w:t>
      </w:r>
      <w:r>
        <w:t xml:space="preserve"> a la evidencia, </w:t>
      </w:r>
      <w:r>
        <w:rPr>
          <w:b/>
          <w:bCs/>
        </w:rPr>
        <w:t xml:space="preserve">proporcionalidad</w:t>
      </w:r>
      <w:r>
        <w:t xml:space="preserve">, y </w:t>
      </w:r>
      <w:r>
        <w:rPr>
          <w:b/>
          <w:bCs/>
        </w:rPr>
        <w:t xml:space="preserve">plazos de conservación</w:t>
      </w:r>
      <w:r>
        <w:t xml:space="preserve"> vinculados al procedimiento. Cuando el tratamiento lo realizan autoridades competentes con fines de </w:t>
      </w:r>
      <w:r>
        <w:rPr>
          <w:b/>
          <w:bCs/>
        </w:rPr>
        <w:t xml:space="preserve">investigación y enjuiciamiento de infracciones penales</w:t>
      </w:r>
      <w:r>
        <w:t xml:space="preserve">, se aplica la </w:t>
      </w:r>
      <w:r>
        <w:rPr>
          <w:b/>
          <w:bCs/>
        </w:rPr>
        <w:t xml:space="preserve">LO 7/2021</w:t>
      </w:r>
      <w:r>
        <w:t xml:space="preserve"> en lugar del RGPD. Los </w:t>
      </w:r>
      <w:r>
        <w:rPr>
          <w:b/>
          <w:bCs/>
        </w:rPr>
        <w:t xml:space="preserve">datos de salud</w:t>
      </w:r>
      <w:r>
        <w:t xml:space="preserve"> exigen salvaguardas reforzadas.</w:t>
      </w:r>
    </w:p>
    <w:p>
      <w:pPr>
        <w:pStyle w:val="Heading1"/>
        <w:keepNext/>
        <w:spacing w:after="200" w:before="360"/>
      </w:pPr>
      <w:r>
        <w:t xml:space="preserve">43. Contexto sanitario y SAS</w:t>
      </w:r>
    </w:p>
    <w:p>
      <w:pPr>
        <w:spacing w:after="120"/>
        <w:jc w:val="both"/>
      </w:pPr>
      <w:r>
        <w:t xml:space="preserve">Este apartado se limita a información </w:t>
      </w:r>
      <w:r>
        <w:rPr>
          <w:b/>
          <w:bCs/>
        </w:rPr>
        <w:t xml:space="preserve">pública y verificable</w:t>
      </w:r>
      <w:r>
        <w:t xml:space="preserve">. Sobre procedimientos internos del SAS en materia forense (protocolos, unidades, herramientas o proveedores concretos) </w:t>
      </w:r>
      <w:r>
        <w:rPr>
          <w:b/>
          <w:bCs/>
        </w:rPr>
        <w:t xml:space="preserve">no existe información pública suficiente</w:t>
      </w:r>
      <w:r>
        <w:t xml:space="preserve"> para describirlos con rigor; no se incluyen datos que no puedan contrastarse.</w:t>
      </w:r>
    </w:p>
    <w:p>
      <w:pPr>
        <w:pStyle w:val="Heading2"/>
        <w:keepNext/>
      </w:pPr>
      <w:r>
        <w:t xml:space="preserve">43.1 Marco aplicable</w:t>
      </w:r>
    </w:p>
    <w:p>
      <w:pPr>
        <w:pStyle w:val="ListParagraph"/>
        <w:numPr>
          <w:ilvl w:val="0"/>
          <w:numId w:val="2"/>
        </w:numPr>
        <w:spacing w:after="60"/>
      </w:pPr>
      <w:r>
        <w:rPr>
          <w:b/>
          <w:bCs/>
        </w:rPr>
        <w:t xml:space="preserve">Datos de salud</w:t>
      </w:r>
      <w:r>
        <w:t xml:space="preserve"> = categoría especial (art. 9 RGPD); LOPDGDD, </w:t>
      </w:r>
      <w:r>
        <w:rPr>
          <w:b/>
          <w:bCs/>
        </w:rPr>
        <w:t xml:space="preserve">disposición adicional 17.ª</w:t>
      </w:r>
      <w:r>
        <w:t xml:space="preserve"> (tratamientos de datos de salud).</w:t>
      </w:r>
    </w:p>
    <w:p>
      <w:pPr>
        <w:pStyle w:val="ListParagraph"/>
        <w:numPr>
          <w:ilvl w:val="0"/>
          <w:numId w:val="2"/>
        </w:numPr>
        <w:spacing w:after="60"/>
      </w:pPr>
      <w:r>
        <w:rPr>
          <w:b/>
          <w:bCs/>
        </w:rPr>
        <w:t xml:space="preserve">Ley 41/2002</w:t>
      </w:r>
      <w:r>
        <w:t xml:space="preserve">, básica reguladora de la </w:t>
      </w:r>
      <w:r>
        <w:rPr>
          <w:b/>
          <w:bCs/>
        </w:rPr>
        <w:t xml:space="preserve">autonomía del paciente</w:t>
      </w:r>
      <w:r>
        <w:t xml:space="preserve"> y de derechos y obligaciones en materia de información y documentación clínica: historia clínica (arts. 14-19), acceso por profesionales </w:t>
      </w:r>
      <w:r>
        <w:rPr>
          <w:b/>
          <w:bCs/>
        </w:rPr>
        <w:t xml:space="preserve">solo con fines asistenciales</w:t>
      </w:r>
      <w:r>
        <w:t xml:space="preserve"> o en los supuestos legales (art. 16), deber de </w:t>
      </w:r>
      <w:r>
        <w:rPr>
          <w:b/>
          <w:bCs/>
        </w:rPr>
        <w:t xml:space="preserve">custodia</w:t>
      </w:r>
      <w:r>
        <w:t xml:space="preserve"> y conservación, </w:t>
      </w:r>
      <w:r>
        <w:rPr>
          <w:b/>
          <w:bCs/>
        </w:rPr>
        <w:t xml:space="preserve">derecho de acceso</w:t>
      </w:r>
      <w:r>
        <w:t xml:space="preserve"> del paciente (art. 18).</w:t>
      </w:r>
    </w:p>
    <w:p>
      <w:pPr>
        <w:pStyle w:val="ListParagraph"/>
        <w:numPr>
          <w:ilvl w:val="0"/>
          <w:numId w:val="2"/>
        </w:numPr>
        <w:spacing w:after="60"/>
      </w:pPr>
      <w:r>
        <w:rPr>
          <w:b/>
          <w:bCs/>
        </w:rPr>
        <w:t xml:space="preserve">Ley 2/1998, de Salud de Andalucía</w:t>
      </w:r>
      <w:r>
        <w:t xml:space="preserve">, y normativa autonómica de desarrollo.</w:t>
      </w:r>
    </w:p>
    <w:p>
      <w:pPr>
        <w:pStyle w:val="ListParagraph"/>
        <w:numPr>
          <w:ilvl w:val="0"/>
          <w:numId w:val="2"/>
        </w:numPr>
        <w:spacing w:after="60"/>
      </w:pPr>
      <w:r>
        <w:rPr>
          <w:b/>
          <w:bCs/>
        </w:rPr>
        <w:t xml:space="preserve">ENS</w:t>
      </w:r>
      <w:r>
        <w:t xml:space="preserve"> (RD 311/2022) para los sistemas de información del SAS como sector público.</w:t>
      </w:r>
    </w:p>
    <w:p>
      <w:pPr>
        <w:pStyle w:val="ListParagraph"/>
        <w:numPr>
          <w:ilvl w:val="0"/>
          <w:numId w:val="2"/>
        </w:numPr>
        <w:spacing w:after="60"/>
      </w:pPr>
      <w:r>
        <w:rPr>
          <w:b/>
          <w:bCs/>
        </w:rPr>
        <w:t xml:space="preserve">Reglamento (UE) 2025/327</w:t>
      </w:r>
      <w:r>
        <w:t xml:space="preserve"> del </w:t>
      </w:r>
      <w:r>
        <w:rPr>
          <w:b/>
          <w:bCs/>
        </w:rPr>
        <w:t xml:space="preserve">Espacio Europeo de Datos Sanitarios</w:t>
      </w:r>
      <w:r>
        <w:t xml:space="preserve"> (EHDS): en vigor desde 2025 con aplicación escalonada en años posteriores; afectará a los sistemas de historia clínica electrónica y al uso secundario de datos.</w:t>
      </w:r>
    </w:p>
    <w:p>
      <w:pPr>
        <w:pStyle w:val="ListParagraph"/>
        <w:numPr>
          <w:ilvl w:val="0"/>
          <w:numId w:val="2"/>
        </w:numPr>
        <w:spacing w:after="60"/>
      </w:pPr>
      <w:r>
        <w:t xml:space="preserve">La historia clínica electrónica del SAS se sustenta en el sistema </w:t>
      </w:r>
      <w:r>
        <w:rPr>
          <w:b/>
          <w:bCs/>
        </w:rPr>
        <w:t xml:space="preserve">Diraya</w:t>
      </w:r>
      <w:r>
        <w:t xml:space="preserve"> (denominación pública del sistema de información sanitaria del SAS). La transformación digital de la Junta de Andalucía se coordina a través de la </w:t>
      </w:r>
      <w:r>
        <w:rPr>
          <w:b/>
          <w:bCs/>
        </w:rPr>
        <w:t xml:space="preserve">Agencia Digital de Andalucía</w:t>
      </w:r>
      <w:r>
        <w:t xml:space="preserve">.</w:t>
      </w:r>
    </w:p>
    <w:p>
      <w:pPr>
        <w:pStyle w:val="Heading2"/>
        <w:keepNext/>
      </w:pPr>
      <w:r>
        <w:t xml:space="preserve">43.2 Implicaciones para el 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Situación</w:t>
            </w:r>
          </w:p>
        </w:tc>
        <w:tc>
          <w:tcPr>
            <w:tcW w:type="dxa" w:w="674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Aspectos jurídicos y forenses</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Acceso indebido a historia clínica por un profesional</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Logs de acceso (trazabilidad) como evidencia principal; preservarlos con hash; posible responsabilidad disciplinaria, administrativa y penal (arts. 197.2, 197.5, 198, 199.2 CP).</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Ransomware en un hospital</w:t>
            </w:r>
          </w:p>
        </w:tc>
        <w:tc>
          <w:tcPr>
            <w:tcW w:type="dxa" w:w="67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Respuesta a incidentes + preservación forense; notificación al CCN-CERT (ENS) y a la autoridad de protección de datos en 72 h si afecta a datos personales; delitos de los arts. 264-264 bis (agravados si afecta a servicios esenciales).</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Software desarrollado internamente</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Titularidad del SAS por el art. 97.4 LPI; inscripción en el Registro de la PI; posible liberación como fuentes abiertas (Ley 40/2015).</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Software desarrollado por un contratista</w:t>
            </w:r>
          </w:p>
        </w:tc>
        <w:tc>
          <w:tcPr>
            <w:tcW w:type="dxa" w:w="67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Cesión de derechos de explotación (art. 308 LCSP / pliegos); entrega del código fuente.</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Licencias corporativas</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Control del despliegue frente a la métrica licenciada (usuarios concurrentes, nominales, núcleos) para evitar incumplimientos y reclamaciones en auditorías.</w:t>
            </w:r>
          </w:p>
        </w:tc>
      </w:tr>
      <w:tr>
        <w:trPr>
          <w:cantSplit/>
        </w:trPr>
        <w:tc>
          <w:tcPr>
            <w:tcW w:type="dxa" w:w="2891"/>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Base de datos de actividad asistencial</w:t>
            </w:r>
          </w:p>
        </w:tc>
        <w:tc>
          <w:tcPr>
            <w:tcW w:type="dxa" w:w="67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Derecho sui generis del SAS como fabricante; protección de datos de los pacientes; uso secundario (investigación) con las garantías del RGPD, LOPDGDD y EHDS.</w:t>
            </w:r>
          </w:p>
        </w:tc>
      </w:tr>
      <w:tr>
        <w:trPr>
          <w:cantSplit/>
        </w:trPr>
        <w:tc>
          <w:tcPr>
            <w:tcW w:type="dxa" w:w="289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Portal de pacientes / servicios electrónicos</w:t>
            </w:r>
          </w:p>
        </w:tc>
        <w:tc>
          <w:tcPr>
            <w:tcW w:type="dxa" w:w="67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LSSI (si hay actividad económica), Ley 39/2015, identificación y firma (eIDAS, Cl@ve), cookies (art. 22.2 LSSI), accesibilidad.</w:t>
            </w:r>
          </w:p>
        </w:tc>
      </w:tr>
    </w:tbl>
    <w:p>
      <w:pPr>
        <w:spacing w:after="120"/>
      </w:pPr>
    </w:p>
    <w:p>
      <w:pPr>
        <w:pStyle w:val="Heading1"/>
        <w:keepNext/>
        <w:pageBreakBefore/>
        <w:spacing w:after="200" w:before="360"/>
      </w:pPr>
      <w:r>
        <w:t xml:space="preserve">44. Tablas comparativas para el tipo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5784"/>
      </w:tblGrid>
      <w:tr>
        <w:trPr>
          <w:tblHeader/>
        </w:trPr>
        <w:tc>
          <w:tcPr>
            <w:tcW w:type="dxa" w:w="192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Concepto A</w:t>
            </w:r>
          </w:p>
        </w:tc>
        <w:tc>
          <w:tcPr>
            <w:tcW w:type="dxa" w:w="192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Concepto B</w:t>
            </w:r>
          </w:p>
        </w:tc>
        <w:tc>
          <w:tcPr>
            <w:tcW w:type="dxa" w:w="578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Diferencia esencial (detector de distractores)</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Derecho de autor</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Propiedad industrial</w:t>
            </w:r>
          </w:p>
        </w:tc>
        <w:tc>
          <w:tcPr>
            <w:tcW w:type="dxa" w:w="5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El derecho de autor protege la </w:t>
            </w:r>
            <w:r>
              <w:rPr>
                <w:sz w:val="18"/>
                <w:szCs w:val="18"/>
              </w:rPr>
              <w:t xml:space="preserve">expresión</w:t>
            </w:r>
            <w:r>
              <w:rPr>
                <w:sz w:val="18"/>
                <w:szCs w:val="18"/>
              </w:rPr>
              <w:t xml:space="preserve"> original y nace con la creación; la patente protege una </w:t>
            </w:r>
            <w:r>
              <w:rPr>
                <w:sz w:val="18"/>
                <w:szCs w:val="18"/>
              </w:rPr>
              <w:t xml:space="preserve">invención técnica</w:t>
            </w:r>
            <w:r>
              <w:rPr>
                <w:sz w:val="18"/>
                <w:szCs w:val="18"/>
              </w:rPr>
              <w:t xml:space="preserve"> y exige concesión registral. El software «como tal» va por derecho de autor.</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Software libre</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Freeware</w:t>
            </w:r>
          </w:p>
        </w:tc>
        <w:tc>
          <w:tcPr>
            <w:tcW w:type="dxa" w:w="578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Libre = </w:t>
            </w:r>
            <w:r>
              <w:rPr>
                <w:sz w:val="18"/>
                <w:szCs w:val="18"/>
              </w:rPr>
              <w:t xml:space="preserve">libertades</w:t>
            </w:r>
            <w:r>
              <w:rPr>
                <w:sz w:val="18"/>
                <w:szCs w:val="18"/>
              </w:rPr>
              <w:t xml:space="preserve"> (usar, estudiar, modificar, redistribuir), puede ser de pago. Freeware = </w:t>
            </w:r>
            <w:r>
              <w:rPr>
                <w:sz w:val="18"/>
                <w:szCs w:val="18"/>
              </w:rPr>
              <w:t xml:space="preserve">gratis</w:t>
            </w:r>
            <w:r>
              <w:rPr>
                <w:sz w:val="18"/>
                <w:szCs w:val="18"/>
              </w:rPr>
              <w:t xml:space="preserve"> pero propietario, sin código ni libertad de modificar.</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Open source</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Software propietario</w:t>
            </w:r>
          </w:p>
        </w:tc>
        <w:tc>
          <w:tcPr>
            <w:tcW w:type="dxa" w:w="5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Open source da acceso al código y permite modificar/redistribuir según licencia; propietario reserva esos derechos. Ambos se basan en derechos de autor.</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Licencia</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Cesión de derechos</w:t>
            </w:r>
          </w:p>
        </w:tc>
        <w:tc>
          <w:tcPr>
            <w:tcW w:type="dxa" w:w="578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La licencia </w:t>
            </w:r>
            <w:r>
              <w:rPr>
                <w:sz w:val="18"/>
                <w:szCs w:val="18"/>
              </w:rPr>
              <w:t xml:space="preserve">autoriza</w:t>
            </w:r>
            <w:r>
              <w:rPr>
                <w:sz w:val="18"/>
                <w:szCs w:val="18"/>
              </w:rPr>
              <w:t xml:space="preserve"> usos sin transmitir la titularidad; la cesión </w:t>
            </w:r>
            <w:r>
              <w:rPr>
                <w:sz w:val="18"/>
                <w:szCs w:val="18"/>
              </w:rPr>
              <w:t xml:space="preserve">transmite</w:t>
            </w:r>
            <w:r>
              <w:rPr>
                <w:sz w:val="18"/>
                <w:szCs w:val="18"/>
              </w:rPr>
              <w:t xml:space="preserve"> derechos de explotación al cesionario.</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Código fuente</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Código objeto</w:t>
            </w:r>
          </w:p>
        </w:tc>
        <w:tc>
          <w:tcPr>
            <w:tcW w:type="dxa" w:w="5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Fuente = legible por humanos; objeto = ejecutable por máquina. </w:t>
            </w:r>
            <w:r>
              <w:rPr>
                <w:sz w:val="18"/>
                <w:szCs w:val="18"/>
              </w:rPr>
              <w:t xml:space="preserve">Ambos</w:t>
            </w:r>
            <w:r>
              <w:rPr>
                <w:sz w:val="18"/>
                <w:szCs w:val="18"/>
              </w:rPr>
              <w:t xml:space="preserve"> protegidos por la LPI.</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Base de datos</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Datos contenidos</w:t>
            </w:r>
          </w:p>
        </w:tc>
        <w:tc>
          <w:tcPr>
            <w:tcW w:type="dxa" w:w="578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La protección de la BD (estructura o inversión) </w:t>
            </w:r>
            <w:r>
              <w:rPr>
                <w:sz w:val="18"/>
                <w:szCs w:val="18"/>
              </w:rPr>
              <w:t xml:space="preserve">no se extiende</w:t>
            </w:r>
            <w:r>
              <w:rPr>
                <w:sz w:val="18"/>
                <w:szCs w:val="18"/>
              </w:rPr>
              <w:t xml:space="preserve"> a cada dato individual, que puede tener su propia protección (o ninguna).</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Derecho de autor sobre BD</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Derecho sui generis</w:t>
            </w:r>
          </w:p>
        </w:tc>
        <w:tc>
          <w:tcPr>
            <w:tcW w:type="dxa" w:w="5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Autor: </w:t>
            </w:r>
            <w:r>
              <w:rPr>
                <w:sz w:val="18"/>
                <w:szCs w:val="18"/>
              </w:rPr>
              <w:t xml:space="preserve">originalidad</w:t>
            </w:r>
            <w:r>
              <w:rPr>
                <w:sz w:val="18"/>
                <w:szCs w:val="18"/>
              </w:rPr>
              <w:t xml:space="preserve"> en selección/disposición; plazo general. Sui generis: </w:t>
            </w:r>
            <w:r>
              <w:rPr>
                <w:sz w:val="18"/>
                <w:szCs w:val="18"/>
              </w:rPr>
              <w:t xml:space="preserve">inversión sustancial</w:t>
            </w:r>
            <w:r>
              <w:rPr>
                <w:sz w:val="18"/>
                <w:szCs w:val="18"/>
              </w:rPr>
              <w:t xml:space="preserve">; titular el </w:t>
            </w:r>
            <w:r>
              <w:rPr>
                <w:sz w:val="18"/>
                <w:szCs w:val="18"/>
              </w:rPr>
              <w:t xml:space="preserve">fabricante</w:t>
            </w:r>
            <w:r>
              <w:rPr>
                <w:sz w:val="18"/>
                <w:szCs w:val="18"/>
              </w:rPr>
              <w:t xml:space="preserve">; </w:t>
            </w:r>
            <w:r>
              <w:rPr>
                <w:sz w:val="18"/>
                <w:szCs w:val="18"/>
              </w:rPr>
              <w:t xml:space="preserve">15 años</w:t>
            </w:r>
            <w:r>
              <w:rPr>
                <w:sz w:val="18"/>
                <w:szCs w:val="18"/>
              </w:rPr>
              <w:t xml:space="preserve">.</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Firma electrónica</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Certificado electrónico</w:t>
            </w:r>
          </w:p>
        </w:tc>
        <w:tc>
          <w:tcPr>
            <w:tcW w:type="dxa" w:w="578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La firma es el </w:t>
            </w:r>
            <w:r>
              <w:rPr>
                <w:sz w:val="18"/>
                <w:szCs w:val="18"/>
              </w:rPr>
              <w:t xml:space="preserve">acto/resultado</w:t>
            </w:r>
            <w:r>
              <w:rPr>
                <w:sz w:val="18"/>
                <w:szCs w:val="18"/>
              </w:rPr>
              <w:t xml:space="preserve"> de firmar; el certificado </w:t>
            </w:r>
            <w:r>
              <w:rPr>
                <w:sz w:val="18"/>
                <w:szCs w:val="18"/>
              </w:rPr>
              <w:t xml:space="preserve">vincula</w:t>
            </w:r>
            <w:r>
              <w:rPr>
                <w:sz w:val="18"/>
                <w:szCs w:val="18"/>
              </w:rPr>
              <w:t xml:space="preserve"> los datos de validación con una identidad.</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Firma electrónica</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Sello electrónico</w:t>
            </w:r>
          </w:p>
        </w:tc>
        <w:tc>
          <w:tcPr>
            <w:tcW w:type="dxa" w:w="5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Firma → </w:t>
            </w:r>
            <w:r>
              <w:rPr>
                <w:sz w:val="18"/>
                <w:szCs w:val="18"/>
              </w:rPr>
              <w:t xml:space="preserve">persona física</w:t>
            </w:r>
            <w:r>
              <w:rPr>
                <w:sz w:val="18"/>
                <w:szCs w:val="18"/>
              </w:rPr>
              <w:t xml:space="preserve">; sello → </w:t>
            </w:r>
            <w:r>
              <w:rPr>
                <w:sz w:val="18"/>
                <w:szCs w:val="18"/>
              </w:rPr>
              <w:t xml:space="preserve">persona jurídica</w:t>
            </w:r>
            <w:r>
              <w:rPr>
                <w:sz w:val="18"/>
                <w:szCs w:val="18"/>
              </w:rPr>
              <w:t xml:space="preserve">.</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Hash</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Firma electrónica</w:t>
            </w:r>
          </w:p>
        </w:tc>
        <w:tc>
          <w:tcPr>
            <w:tcW w:type="dxa" w:w="578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El hash solo detecta cambios (</w:t>
            </w:r>
            <w:r>
              <w:rPr>
                <w:sz w:val="18"/>
                <w:szCs w:val="18"/>
              </w:rPr>
              <w:t xml:space="preserve">integridad</w:t>
            </w:r>
            <w:r>
              <w:rPr>
                <w:sz w:val="18"/>
                <w:szCs w:val="18"/>
              </w:rPr>
              <w:t xml:space="preserve">); la firma añade </w:t>
            </w:r>
            <w:r>
              <w:rPr>
                <w:sz w:val="18"/>
                <w:szCs w:val="18"/>
              </w:rPr>
              <w:t xml:space="preserve">autenticación</w:t>
            </w:r>
            <w:r>
              <w:rPr>
                <w:sz w:val="18"/>
                <w:szCs w:val="18"/>
              </w:rPr>
              <w:t xml:space="preserve"> del firmante y no repudio.</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Evidencia digital</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Prueba</w:t>
            </w:r>
          </w:p>
        </w:tc>
        <w:tc>
          <w:tcPr>
            <w:tcW w:type="dxa" w:w="5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La evidencia es información con potencial probatorio; es </w:t>
            </w:r>
            <w:r>
              <w:rPr>
                <w:sz w:val="18"/>
                <w:szCs w:val="18"/>
              </w:rPr>
              <w:t xml:space="preserve">prueba</w:t>
            </w:r>
            <w:r>
              <w:rPr>
                <w:sz w:val="18"/>
                <w:szCs w:val="18"/>
              </w:rPr>
              <w:t xml:space="preserve"> cuando se incorpora válidamente al proceso y se valora.</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Cadena de custodia</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Copia de seguridad</w:t>
            </w:r>
          </w:p>
        </w:tc>
        <w:tc>
          <w:tcPr>
            <w:tcW w:type="dxa" w:w="578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Custodia = </w:t>
            </w:r>
            <w:r>
              <w:rPr>
                <w:sz w:val="18"/>
                <w:szCs w:val="18"/>
              </w:rPr>
              <w:t xml:space="preserve">trazabilidad</w:t>
            </w:r>
            <w:r>
              <w:rPr>
                <w:sz w:val="18"/>
                <w:szCs w:val="18"/>
              </w:rPr>
              <w:t xml:space="preserve"> probatoria; backup = </w:t>
            </w:r>
            <w:r>
              <w:rPr>
                <w:sz w:val="18"/>
                <w:szCs w:val="18"/>
              </w:rPr>
              <w:t xml:space="preserve">disponibilidad</w:t>
            </w:r>
            <w:r>
              <w:rPr>
                <w:sz w:val="18"/>
                <w:szCs w:val="18"/>
              </w:rPr>
              <w:t xml:space="preserve"> operativa.</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Análisis forense</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Respuesta a incidentes</w:t>
            </w:r>
          </w:p>
        </w:tc>
        <w:tc>
          <w:tcPr>
            <w:tcW w:type="dxa" w:w="5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Forense → </w:t>
            </w:r>
            <w:r>
              <w:rPr>
                <w:sz w:val="18"/>
                <w:szCs w:val="18"/>
              </w:rPr>
              <w:t xml:space="preserve">reconstruir y probar</w:t>
            </w:r>
            <w:r>
              <w:rPr>
                <w:sz w:val="18"/>
                <w:szCs w:val="18"/>
              </w:rPr>
              <w:t xml:space="preserve">; IR → </w:t>
            </w:r>
            <w:r>
              <w:rPr>
                <w:sz w:val="18"/>
                <w:szCs w:val="18"/>
              </w:rPr>
              <w:t xml:space="preserve">contener y recuperar</w:t>
            </w:r>
            <w:r>
              <w:rPr>
                <w:sz w:val="18"/>
                <w:szCs w:val="18"/>
              </w:rPr>
              <w:t xml:space="preserve">.</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Phishing</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Delito informático</w:t>
            </w:r>
          </w:p>
        </w:tc>
        <w:tc>
          <w:tcPr>
            <w:tcW w:type="dxa" w:w="578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Phishing es una </w:t>
            </w:r>
            <w:r>
              <w:rPr>
                <w:sz w:val="18"/>
                <w:szCs w:val="18"/>
              </w:rPr>
              <w:t xml:space="preserve">técnica</w:t>
            </w:r>
            <w:r>
              <w:rPr>
                <w:sz w:val="18"/>
                <w:szCs w:val="18"/>
              </w:rPr>
              <w:t xml:space="preserve">; el delito será estafa, acceso ilícito, usurpación…</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Malware</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Tipo penal</w:t>
            </w:r>
          </w:p>
        </w:tc>
        <w:tc>
          <w:tcPr>
            <w:tcW w:type="dxa" w:w="5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El malware es una </w:t>
            </w:r>
            <w:r>
              <w:rPr>
                <w:sz w:val="18"/>
                <w:szCs w:val="18"/>
              </w:rPr>
              <w:t xml:space="preserve">herramienta</w:t>
            </w:r>
            <w:r>
              <w:rPr>
                <w:sz w:val="18"/>
                <w:szCs w:val="18"/>
              </w:rPr>
              <w:t xml:space="preserve">; su creación/difusión con fines delictivos encaja en 197 ter/264 ter; su uso, en 197 bis, 264, 249…</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Vulnerabilidad</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Delito</w:t>
            </w:r>
          </w:p>
        </w:tc>
        <w:tc>
          <w:tcPr>
            <w:tcW w:type="dxa" w:w="578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La vulnerabilidad es un </w:t>
            </w:r>
            <w:r>
              <w:rPr>
                <w:sz w:val="18"/>
                <w:szCs w:val="18"/>
              </w:rPr>
              <w:t xml:space="preserve">fallo técnico</w:t>
            </w:r>
            <w:r>
              <w:rPr>
                <w:sz w:val="18"/>
                <w:szCs w:val="18"/>
              </w:rPr>
              <w:t xml:space="preserve">; el delito es la conducta de explotarla sin autorización.</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LSSI</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RGPD</w:t>
            </w:r>
          </w:p>
        </w:tc>
        <w:tc>
          <w:tcPr>
            <w:tcW w:type="dxa" w:w="5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LSSI regula </w:t>
            </w:r>
            <w:r>
              <w:rPr>
                <w:sz w:val="18"/>
                <w:szCs w:val="18"/>
              </w:rPr>
              <w:t xml:space="preserve">servicios</w:t>
            </w:r>
            <w:r>
              <w:rPr>
                <w:sz w:val="18"/>
                <w:szCs w:val="18"/>
              </w:rPr>
              <w:t xml:space="preserve"> de la sociedad de la información y comercio electrónico; RGPD regula el </w:t>
            </w:r>
            <w:r>
              <w:rPr>
                <w:sz w:val="18"/>
                <w:szCs w:val="18"/>
              </w:rPr>
              <w:t xml:space="preserve">tratamiento de datos personales</w:t>
            </w:r>
            <w:r>
              <w:rPr>
                <w:sz w:val="18"/>
                <w:szCs w:val="18"/>
              </w:rPr>
              <w:t xml:space="preserve">. Se tocan en spam y cookies.</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eIDAS</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LSSI</w:t>
            </w:r>
          </w:p>
        </w:tc>
        <w:tc>
          <w:tcPr>
            <w:tcW w:type="dxa" w:w="578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eIDAS: </w:t>
            </w:r>
            <w:r>
              <w:rPr>
                <w:sz w:val="18"/>
                <w:szCs w:val="18"/>
              </w:rPr>
              <w:t xml:space="preserve">identificación electrónica y servicios de confianza</w:t>
            </w:r>
            <w:r>
              <w:rPr>
                <w:sz w:val="18"/>
                <w:szCs w:val="18"/>
              </w:rPr>
              <w:t xml:space="preserve"> (firma, sello, sellos de tiempo). LSSI: </w:t>
            </w:r>
            <w:r>
              <w:rPr>
                <w:sz w:val="18"/>
                <w:szCs w:val="18"/>
              </w:rPr>
              <w:t xml:space="preserve">prestadores de servicios</w:t>
            </w:r>
            <w:r>
              <w:rPr>
                <w:sz w:val="18"/>
                <w:szCs w:val="18"/>
              </w:rPr>
              <w:t xml:space="preserve"> y contratación electrónica.</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Infracción civil</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Delito</w:t>
            </w:r>
          </w:p>
        </w:tc>
        <w:tc>
          <w:tcPr>
            <w:tcW w:type="dxa" w:w="5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La infracción civil genera indemnización/cese; el delito exige tipicidad penal (p. ej., ánimo de beneficio y perjuicio en el art. 270 CP).</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Adquisición forense</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Análisis forense</w:t>
            </w:r>
          </w:p>
        </w:tc>
        <w:tc>
          <w:tcPr>
            <w:tcW w:type="dxa" w:w="578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Adquisición = </w:t>
            </w:r>
            <w:r>
              <w:rPr>
                <w:sz w:val="18"/>
                <w:szCs w:val="18"/>
              </w:rPr>
              <w:t xml:space="preserve">obtener copia fiel</w:t>
            </w:r>
            <w:r>
              <w:rPr>
                <w:sz w:val="18"/>
                <w:szCs w:val="18"/>
              </w:rPr>
              <w:t xml:space="preserve"> (hash); análisis = </w:t>
            </w:r>
            <w:r>
              <w:rPr>
                <w:sz w:val="18"/>
                <w:szCs w:val="18"/>
              </w:rPr>
              <w:t xml:space="preserve">interpretar</w:t>
            </w:r>
            <w:r>
              <w:rPr>
                <w:sz w:val="18"/>
                <w:szCs w:val="18"/>
              </w:rPr>
              <w:t xml:space="preserve"> su contenido.</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Ingeniería inversa</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Descompilación</w:t>
            </w:r>
          </w:p>
        </w:tc>
        <w:tc>
          <w:tcPr>
            <w:tcW w:type="dxa" w:w="5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Ingeniería inversa: estudio del funcionamiento (lícito para usuario legítimo); descompilación: reconstruir código desde el objeto (solo supuestos tasados).</w:t>
            </w:r>
          </w:p>
        </w:tc>
      </w:tr>
      <w:tr>
        <w:trPr>
          <w:cantSplit/>
        </w:trPr>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Dato seudonimizado</w:t>
            </w:r>
          </w:p>
        </w:tc>
        <w:tc>
          <w:tcPr>
            <w:tcW w:type="dxa" w:w="192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Dato anónimo</w:t>
            </w:r>
          </w:p>
        </w:tc>
        <w:tc>
          <w:tcPr>
            <w:tcW w:type="dxa" w:w="578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Seudonimizado </w:t>
            </w:r>
            <w:r>
              <w:rPr>
                <w:sz w:val="18"/>
                <w:szCs w:val="18"/>
              </w:rPr>
              <w:t xml:space="preserve">sigue siendo personal</w:t>
            </w:r>
            <w:r>
              <w:rPr>
                <w:sz w:val="18"/>
                <w:szCs w:val="18"/>
              </w:rPr>
              <w:t xml:space="preserve">; anónimo </w:t>
            </w:r>
            <w:r>
              <w:rPr>
                <w:sz w:val="18"/>
                <w:szCs w:val="18"/>
              </w:rPr>
              <w:t xml:space="preserve">no</w:t>
            </w:r>
            <w:r>
              <w:rPr>
                <w:sz w:val="18"/>
                <w:szCs w:val="18"/>
              </w:rPr>
              <w:t xml:space="preserve"> lo es.</w:t>
            </w:r>
          </w:p>
        </w:tc>
      </w:tr>
      <w:tr>
        <w:trPr>
          <w:cantSplit/>
        </w:trPr>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Licencia concurrente</w:t>
            </w:r>
          </w:p>
        </w:tc>
        <w:tc>
          <w:tcPr>
            <w:tcW w:type="dxa" w:w="192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Licencia nominal</w:t>
            </w:r>
          </w:p>
        </w:tc>
        <w:tc>
          <w:tcPr>
            <w:tcW w:type="dxa" w:w="5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Concurrente: </w:t>
            </w:r>
            <w:r>
              <w:rPr>
                <w:sz w:val="18"/>
                <w:szCs w:val="18"/>
              </w:rPr>
              <w:t xml:space="preserve">n usuarios simultáneos</w:t>
            </w:r>
            <w:r>
              <w:rPr>
                <w:sz w:val="18"/>
                <w:szCs w:val="18"/>
              </w:rPr>
              <w:t xml:space="preserve"> cualesquiera; nominal: </w:t>
            </w:r>
            <w:r>
              <w:rPr>
                <w:sz w:val="18"/>
                <w:szCs w:val="18"/>
              </w:rPr>
              <w:t xml:space="preserve">personas concretas</w:t>
            </w:r>
            <w:r>
              <w:rPr>
                <w:sz w:val="18"/>
                <w:szCs w:val="18"/>
              </w:rPr>
              <w:t xml:space="preserve"> asignadas.</w:t>
            </w:r>
          </w:p>
        </w:tc>
      </w:tr>
    </w:tbl>
    <w:p>
      <w:pPr>
        <w:spacing w:after="120"/>
      </w:pPr>
    </w:p>
    <w:p>
      <w:pPr>
        <w:pStyle w:val="Heading1"/>
        <w:keepNext/>
        <w:spacing w:after="200" w:before="360"/>
      </w:pPr>
      <w:r>
        <w:t xml:space="preserve">45. Claves para el examen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24"/>
              <w:bottom w:val="single" w:color="2E75B6" w:sz="4"/>
              <w:right w:val="single" w:color="2E75B6" w:sz="4"/>
            </w:tcBorders>
            <w:shd w:fill="DEEAF6" w:color="auto" w:val="clear"/>
            <w:tcMar>
              <w:top w:type="dxa" w:w="100"/>
              <w:left w:type="dxa" w:w="160"/>
              <w:bottom w:type="dxa" w:w="100"/>
              <w:right w:type="dxa" w:w="140"/>
            </w:tcMar>
          </w:tcPr>
          <w:p>
            <w:pPr>
              <w:spacing w:after="80"/>
            </w:pPr>
            <w:r>
              <w:rPr>
                <w:b/>
                <w:bCs/>
                <w:color w:val="2E75B6"/>
                <w:sz w:val="20"/>
                <w:szCs w:val="20"/>
              </w:rPr>
              <w:t xml:space="preserve">CLAVE PARA EL EXAMEN</w:t>
            </w:r>
          </w:p>
          <w:p>
            <w:pPr>
              <w:pStyle w:val="ListParagraph"/>
              <w:numPr>
                <w:ilvl w:val="0"/>
                <w:numId w:val="2"/>
              </w:numPr>
              <w:spacing w:after="40"/>
            </w:pPr>
            <w:r>
              <w:rPr>
                <w:sz w:val="19"/>
                <w:szCs w:val="19"/>
              </w:rPr>
              <w:t xml:space="preserve">LPI: </w:t>
            </w:r>
            <w:r>
              <w:rPr>
                <w:b/>
                <w:bCs/>
                <w:sz w:val="19"/>
                <w:szCs w:val="19"/>
              </w:rPr>
              <w:t xml:space="preserve">RDL 1/1996, de 12 de abril</w:t>
            </w:r>
            <w:r>
              <w:rPr>
                <w:sz w:val="19"/>
                <w:szCs w:val="19"/>
              </w:rPr>
              <w:t xml:space="preserve">. Programas: </w:t>
            </w:r>
            <w:r>
              <w:rPr>
                <w:b/>
                <w:bCs/>
                <w:sz w:val="19"/>
                <w:szCs w:val="19"/>
              </w:rPr>
              <w:t xml:space="preserve">Título VII del Libro I, arts. 95-104</w:t>
            </w:r>
            <w:r>
              <w:rPr>
                <w:sz w:val="19"/>
                <w:szCs w:val="19"/>
              </w:rPr>
              <w:t xml:space="preserve">. BD: </w:t>
            </w:r>
            <w:r>
              <w:rPr>
                <w:b/>
                <w:bCs/>
                <w:sz w:val="19"/>
                <w:szCs w:val="19"/>
              </w:rPr>
              <w:t xml:space="preserve">art. 12</w:t>
            </w:r>
            <w:r>
              <w:rPr>
                <w:sz w:val="19"/>
                <w:szCs w:val="19"/>
              </w:rPr>
              <w:t xml:space="preserve"> (autor) y </w:t>
            </w:r>
            <w:r>
              <w:rPr>
                <w:b/>
                <w:bCs/>
                <w:sz w:val="19"/>
                <w:szCs w:val="19"/>
              </w:rPr>
              <w:t xml:space="preserve">arts. 133-137</w:t>
            </w:r>
            <w:r>
              <w:rPr>
                <w:sz w:val="19"/>
                <w:szCs w:val="19"/>
              </w:rPr>
              <w:t xml:space="preserve"> (sui generis, Título VIII Libro II, Ley 5/1998).</w:t>
            </w:r>
          </w:p>
          <w:p>
            <w:pPr>
              <w:pStyle w:val="ListParagraph"/>
              <w:numPr>
                <w:ilvl w:val="0"/>
                <w:numId w:val="2"/>
              </w:numPr>
              <w:spacing w:after="40"/>
            </w:pPr>
            <w:r>
              <w:rPr>
                <w:sz w:val="19"/>
                <w:szCs w:val="19"/>
              </w:rPr>
              <w:t xml:space="preserve">Definición de programa: </w:t>
            </w:r>
            <w:r>
              <w:rPr>
                <w:b/>
                <w:bCs/>
                <w:sz w:val="19"/>
                <w:szCs w:val="19"/>
              </w:rPr>
              <w:t xml:space="preserve">art. 96.1</w:t>
            </w:r>
            <w:r>
              <w:rPr>
                <w:sz w:val="19"/>
                <w:szCs w:val="19"/>
              </w:rPr>
              <w:t xml:space="preserve">; originalidad: </w:t>
            </w:r>
            <w:r>
              <w:rPr>
                <w:b/>
                <w:bCs/>
                <w:sz w:val="19"/>
                <w:szCs w:val="19"/>
              </w:rPr>
              <w:t xml:space="preserve">96.2</w:t>
            </w:r>
            <w:r>
              <w:rPr>
                <w:sz w:val="19"/>
                <w:szCs w:val="19"/>
              </w:rPr>
              <w:t xml:space="preserve">; no ideas ni principios: </w:t>
            </w:r>
            <w:r>
              <w:rPr>
                <w:b/>
                <w:bCs/>
                <w:sz w:val="19"/>
                <w:szCs w:val="19"/>
              </w:rPr>
              <w:t xml:space="preserve">96.4</w:t>
            </w:r>
            <w:r>
              <w:rPr>
                <w:sz w:val="19"/>
                <w:szCs w:val="19"/>
              </w:rPr>
              <w:t xml:space="preserve">.</w:t>
            </w:r>
          </w:p>
          <w:p>
            <w:pPr>
              <w:pStyle w:val="ListParagraph"/>
              <w:numPr>
                <w:ilvl w:val="0"/>
                <w:numId w:val="2"/>
              </w:numPr>
              <w:spacing w:after="40"/>
            </w:pPr>
            <w:r>
              <w:rPr>
                <w:sz w:val="19"/>
                <w:szCs w:val="19"/>
              </w:rPr>
              <w:t xml:space="preserve">Asalariado: derechos de explotación </w:t>
            </w:r>
            <w:r>
              <w:rPr>
                <w:b/>
                <w:bCs/>
                <w:sz w:val="19"/>
                <w:szCs w:val="19"/>
              </w:rPr>
              <w:t xml:space="preserve">al empresario</w:t>
            </w:r>
            <w:r>
              <w:rPr>
                <w:sz w:val="19"/>
                <w:szCs w:val="19"/>
              </w:rPr>
              <w:t xml:space="preserve"> salvo pacto (</w:t>
            </w:r>
            <w:r>
              <w:rPr>
                <w:b/>
                <w:bCs/>
                <w:sz w:val="19"/>
                <w:szCs w:val="19"/>
              </w:rPr>
              <w:t xml:space="preserve">97.4</w:t>
            </w:r>
            <w:r>
              <w:rPr>
                <w:sz w:val="19"/>
                <w:szCs w:val="19"/>
              </w:rPr>
              <w:t xml:space="preserve">). Persona jurídica: </w:t>
            </w:r>
            <w:r>
              <w:rPr>
                <w:b/>
                <w:bCs/>
                <w:sz w:val="19"/>
                <w:szCs w:val="19"/>
              </w:rPr>
              <w:t xml:space="preserve">70 años</w:t>
            </w:r>
            <w:r>
              <w:rPr>
                <w:sz w:val="19"/>
                <w:szCs w:val="19"/>
              </w:rPr>
              <w:t xml:space="preserve"> (98). Sui generis: </w:t>
            </w:r>
            <w:r>
              <w:rPr>
                <w:b/>
                <w:bCs/>
                <w:sz w:val="19"/>
                <w:szCs w:val="19"/>
              </w:rPr>
              <w:t xml:space="preserve">15 años</w:t>
            </w:r>
            <w:r>
              <w:rPr>
                <w:sz w:val="19"/>
                <w:szCs w:val="19"/>
              </w:rPr>
              <w:t xml:space="preserve"> (136). Patente: </w:t>
            </w:r>
            <w:r>
              <w:rPr>
                <w:b/>
                <w:bCs/>
                <w:sz w:val="19"/>
                <w:szCs w:val="19"/>
              </w:rPr>
              <w:t xml:space="preserve">20 años</w:t>
            </w:r>
            <w:r>
              <w:rPr>
                <w:sz w:val="19"/>
                <w:szCs w:val="19"/>
              </w:rPr>
              <w:t xml:space="preserve">.</w:t>
            </w:r>
          </w:p>
          <w:p>
            <w:pPr>
              <w:pStyle w:val="ListParagraph"/>
              <w:numPr>
                <w:ilvl w:val="0"/>
                <w:numId w:val="2"/>
              </w:numPr>
              <w:spacing w:after="40"/>
            </w:pPr>
            <w:r>
              <w:rPr>
                <w:sz w:val="19"/>
                <w:szCs w:val="19"/>
              </w:rPr>
              <w:t xml:space="preserve">Explotación del software: </w:t>
            </w:r>
            <w:r>
              <w:rPr>
                <w:b/>
                <w:bCs/>
                <w:sz w:val="19"/>
                <w:szCs w:val="19"/>
              </w:rPr>
              <w:t xml:space="preserve">reproducción, transformación, distribución</w:t>
            </w:r>
            <w:r>
              <w:rPr>
                <w:sz w:val="19"/>
                <w:szCs w:val="19"/>
              </w:rPr>
              <w:t xml:space="preserve"> (99). Límites: uso legítimo, </w:t>
            </w:r>
            <w:r>
              <w:rPr>
                <w:b/>
                <w:bCs/>
                <w:sz w:val="19"/>
                <w:szCs w:val="19"/>
              </w:rPr>
              <w:t xml:space="preserve">copia de seguridad</w:t>
            </w:r>
            <w:r>
              <w:rPr>
                <w:sz w:val="19"/>
                <w:szCs w:val="19"/>
              </w:rPr>
              <w:t xml:space="preserve">, estudio, </w:t>
            </w:r>
            <w:r>
              <w:rPr>
                <w:b/>
                <w:bCs/>
                <w:sz w:val="19"/>
                <w:szCs w:val="19"/>
              </w:rPr>
              <w:t xml:space="preserve">descompilación</w:t>
            </w:r>
            <w:r>
              <w:rPr>
                <w:sz w:val="19"/>
                <w:szCs w:val="19"/>
              </w:rPr>
              <w:t xml:space="preserve"> para interoperabilidad (100).</w:t>
            </w:r>
          </w:p>
          <w:p>
            <w:pPr>
              <w:pStyle w:val="ListParagraph"/>
              <w:numPr>
                <w:ilvl w:val="0"/>
                <w:numId w:val="2"/>
              </w:numPr>
              <w:spacing w:after="40"/>
            </w:pPr>
            <w:r>
              <w:rPr>
                <w:sz w:val="19"/>
                <w:szCs w:val="19"/>
              </w:rPr>
              <w:t xml:space="preserve">Patentes: </w:t>
            </w:r>
            <w:r>
              <w:rPr>
                <w:b/>
                <w:bCs/>
                <w:sz w:val="19"/>
                <w:szCs w:val="19"/>
              </w:rPr>
              <w:t xml:space="preserve">Ley 24/2015</w:t>
            </w:r>
            <w:r>
              <w:rPr>
                <w:sz w:val="19"/>
                <w:szCs w:val="19"/>
              </w:rPr>
              <w:t xml:space="preserve"> (+ RD 316/2017); software «</w:t>
            </w:r>
            <w:r>
              <w:rPr>
                <w:b/>
                <w:bCs/>
                <w:sz w:val="19"/>
                <w:szCs w:val="19"/>
              </w:rPr>
              <w:t xml:space="preserve">como tal</w:t>
            </w:r>
            <w:r>
              <w:rPr>
                <w:sz w:val="19"/>
                <w:szCs w:val="19"/>
              </w:rPr>
              <w:t xml:space="preserve">» no patentable (art. 4.4-4.5); sí invenciones con </w:t>
            </w:r>
            <w:r>
              <w:rPr>
                <w:b/>
                <w:bCs/>
                <w:sz w:val="19"/>
                <w:szCs w:val="19"/>
              </w:rPr>
              <w:t xml:space="preserve">contribución técnica</w:t>
            </w:r>
            <w:r>
              <w:rPr>
                <w:sz w:val="19"/>
                <w:szCs w:val="19"/>
              </w:rPr>
              <w:t xml:space="preserve">.</w:t>
            </w:r>
          </w:p>
          <w:p>
            <w:pPr>
              <w:pStyle w:val="ListParagraph"/>
              <w:numPr>
                <w:ilvl w:val="0"/>
                <w:numId w:val="2"/>
              </w:numPr>
              <w:spacing w:after="40"/>
            </w:pPr>
            <w:r>
              <w:rPr>
                <w:sz w:val="19"/>
                <w:szCs w:val="19"/>
              </w:rPr>
              <w:t xml:space="preserve">LSSI: </w:t>
            </w:r>
            <w:r>
              <w:rPr>
                <w:b/>
                <w:bCs/>
                <w:sz w:val="19"/>
                <w:szCs w:val="19"/>
              </w:rPr>
              <w:t xml:space="preserve">Ley 34/2002</w:t>
            </w:r>
            <w:r>
              <w:rPr>
                <w:sz w:val="19"/>
                <w:szCs w:val="19"/>
              </w:rPr>
              <w:t xml:space="preserve">; intermediarios arts. 13-17 (+ DSA arts. 4-6); spam art. 21; cookies </w:t>
            </w:r>
            <w:r>
              <w:rPr>
                <w:b/>
                <w:bCs/>
                <w:sz w:val="19"/>
                <w:szCs w:val="19"/>
              </w:rPr>
              <w:t xml:space="preserve">art. 22.2</w:t>
            </w:r>
            <w:r>
              <w:rPr>
                <w:sz w:val="19"/>
                <w:szCs w:val="19"/>
              </w:rPr>
              <w:t xml:space="preserve">; sanciones hasta </w:t>
            </w:r>
            <w:r>
              <w:rPr>
                <w:b/>
                <w:bCs/>
                <w:sz w:val="19"/>
                <w:szCs w:val="19"/>
              </w:rPr>
              <w:t xml:space="preserve">600.000 €</w:t>
            </w:r>
            <w:r>
              <w:rPr>
                <w:sz w:val="19"/>
                <w:szCs w:val="19"/>
              </w:rPr>
              <w:t xml:space="preserve">.</w:t>
            </w:r>
          </w:p>
          <w:p>
            <w:pPr>
              <w:pStyle w:val="ListParagraph"/>
              <w:numPr>
                <w:ilvl w:val="0"/>
                <w:numId w:val="2"/>
              </w:numPr>
              <w:spacing w:after="40"/>
            </w:pPr>
            <w:r>
              <w:rPr>
                <w:sz w:val="19"/>
                <w:szCs w:val="19"/>
              </w:rPr>
              <w:t xml:space="preserve">Firma: </w:t>
            </w:r>
            <w:r>
              <w:rPr>
                <w:b/>
                <w:bCs/>
                <w:sz w:val="19"/>
                <w:szCs w:val="19"/>
              </w:rPr>
              <w:t xml:space="preserve">eIDAS 910/2014</w:t>
            </w:r>
            <w:r>
              <w:rPr>
                <w:sz w:val="19"/>
                <w:szCs w:val="19"/>
              </w:rPr>
              <w:t xml:space="preserve"> (+ 2024/1183) y </w:t>
            </w:r>
            <w:r>
              <w:rPr>
                <w:b/>
                <w:bCs/>
                <w:sz w:val="19"/>
                <w:szCs w:val="19"/>
              </w:rPr>
              <w:t xml:space="preserve">Ley 6/2020</w:t>
            </w:r>
            <w:r>
              <w:rPr>
                <w:sz w:val="19"/>
                <w:szCs w:val="19"/>
              </w:rPr>
              <w:t xml:space="preserve"> (deroga Ley 59/2003). Cualificada = manuscrita (art. 25.2).</w:t>
            </w:r>
          </w:p>
          <w:p>
            <w:pPr>
              <w:pStyle w:val="ListParagraph"/>
              <w:numPr>
                <w:ilvl w:val="0"/>
                <w:numId w:val="2"/>
              </w:numPr>
              <w:spacing w:after="40"/>
            </w:pPr>
            <w:r>
              <w:rPr>
                <w:sz w:val="19"/>
                <w:szCs w:val="19"/>
              </w:rPr>
              <w:t xml:space="preserve">CP: intimidad </w:t>
            </w:r>
            <w:r>
              <w:rPr>
                <w:b/>
                <w:bCs/>
                <w:sz w:val="19"/>
                <w:szCs w:val="19"/>
              </w:rPr>
              <w:t xml:space="preserve">197-201</w:t>
            </w:r>
            <w:r>
              <w:rPr>
                <w:sz w:val="19"/>
                <w:szCs w:val="19"/>
              </w:rPr>
              <w:t xml:space="preserve"> (acceso ilícito </w:t>
            </w:r>
            <w:r>
              <w:rPr>
                <w:b/>
                <w:bCs/>
                <w:sz w:val="19"/>
                <w:szCs w:val="19"/>
              </w:rPr>
              <w:t xml:space="preserve">197 bis</w:t>
            </w:r>
            <w:r>
              <w:rPr>
                <w:sz w:val="19"/>
                <w:szCs w:val="19"/>
              </w:rPr>
              <w:t xml:space="preserve">), daños </w:t>
            </w:r>
            <w:r>
              <w:rPr>
                <w:b/>
                <w:bCs/>
                <w:sz w:val="19"/>
                <w:szCs w:val="19"/>
              </w:rPr>
              <w:t xml:space="preserve">264-264 quater</w:t>
            </w:r>
            <w:r>
              <w:rPr>
                <w:sz w:val="19"/>
                <w:szCs w:val="19"/>
              </w:rPr>
              <w:t xml:space="preserve">, estafa informática </w:t>
            </w:r>
            <w:r>
              <w:rPr>
                <w:b/>
                <w:bCs/>
                <w:sz w:val="19"/>
                <w:szCs w:val="19"/>
              </w:rPr>
              <w:t xml:space="preserve">249</w:t>
            </w:r>
            <w:r>
              <w:rPr>
                <w:sz w:val="19"/>
                <w:szCs w:val="19"/>
              </w:rPr>
              <w:t xml:space="preserve"> (tras LO 14/2022), PI </w:t>
            </w:r>
            <w:r>
              <w:rPr>
                <w:b/>
                <w:bCs/>
                <w:sz w:val="19"/>
                <w:szCs w:val="19"/>
              </w:rPr>
              <w:t xml:space="preserve">270-272</w:t>
            </w:r>
            <w:r>
              <w:rPr>
                <w:sz w:val="19"/>
                <w:szCs w:val="19"/>
              </w:rPr>
              <w:t xml:space="preserve">.</w:t>
            </w:r>
          </w:p>
          <w:p>
            <w:pPr>
              <w:pStyle w:val="ListParagraph"/>
              <w:numPr>
                <w:ilvl w:val="0"/>
                <w:numId w:val="2"/>
              </w:numPr>
              <w:spacing w:after="40"/>
            </w:pPr>
            <w:r>
              <w:rPr>
                <w:sz w:val="19"/>
                <w:szCs w:val="19"/>
              </w:rPr>
              <w:t xml:space="preserve">Budapest: </w:t>
            </w:r>
            <w:r>
              <w:rPr>
                <w:b/>
                <w:bCs/>
                <w:sz w:val="19"/>
                <w:szCs w:val="19"/>
              </w:rPr>
              <w:t xml:space="preserve">2001</w:t>
            </w:r>
            <w:r>
              <w:rPr>
                <w:sz w:val="19"/>
                <w:szCs w:val="19"/>
              </w:rPr>
              <w:t xml:space="preserve">, vigor </w:t>
            </w:r>
            <w:r>
              <w:rPr>
                <w:b/>
                <w:bCs/>
                <w:sz w:val="19"/>
                <w:szCs w:val="19"/>
              </w:rPr>
              <w:t xml:space="preserve">2004</w:t>
            </w:r>
            <w:r>
              <w:rPr>
                <w:sz w:val="19"/>
                <w:szCs w:val="19"/>
              </w:rPr>
              <w:t xml:space="preserve">, España </w:t>
            </w:r>
            <w:r>
              <w:rPr>
                <w:b/>
                <w:bCs/>
                <w:sz w:val="19"/>
                <w:szCs w:val="19"/>
              </w:rPr>
              <w:t xml:space="preserve">2010</w:t>
            </w:r>
            <w:r>
              <w:rPr>
                <w:sz w:val="19"/>
                <w:szCs w:val="19"/>
              </w:rPr>
              <w:t xml:space="preserve">; Segundo Protocolo firmado por España en </w:t>
            </w:r>
            <w:r>
              <w:rPr>
                <w:b/>
                <w:bCs/>
                <w:sz w:val="19"/>
                <w:szCs w:val="19"/>
              </w:rPr>
              <w:t xml:space="preserve">2022</w:t>
            </w:r>
            <w:r>
              <w:rPr>
                <w:sz w:val="19"/>
                <w:szCs w:val="19"/>
              </w:rPr>
              <w:t xml:space="preserve">; e-evidence UE aplicable desde </w:t>
            </w:r>
            <w:r>
              <w:rPr>
                <w:b/>
                <w:bCs/>
                <w:sz w:val="19"/>
                <w:szCs w:val="19"/>
              </w:rPr>
              <w:t xml:space="preserve">18/08/2026</w:t>
            </w:r>
            <w:r>
              <w:rPr>
                <w:sz w:val="19"/>
                <w:szCs w:val="19"/>
              </w:rPr>
              <w:t xml:space="preserve">.</w:t>
            </w:r>
          </w:p>
          <w:p>
            <w:pPr>
              <w:pStyle w:val="ListParagraph"/>
              <w:numPr>
                <w:ilvl w:val="0"/>
                <w:numId w:val="2"/>
              </w:numPr>
              <w:spacing w:after="40"/>
            </w:pPr>
            <w:r>
              <w:rPr>
                <w:sz w:val="19"/>
                <w:szCs w:val="19"/>
              </w:rPr>
              <w:t xml:space="preserve">Forense: DFRWS 2001 (definición); </w:t>
            </w:r>
            <w:r>
              <w:rPr>
                <w:b/>
                <w:bCs/>
                <w:sz w:val="19"/>
                <w:szCs w:val="19"/>
              </w:rPr>
              <w:t xml:space="preserve">RFC 3227</w:t>
            </w:r>
            <w:r>
              <w:rPr>
                <w:sz w:val="19"/>
                <w:szCs w:val="19"/>
              </w:rPr>
              <w:t xml:space="preserve"> (volatilidad); </w:t>
            </w:r>
            <w:r>
              <w:rPr>
                <w:b/>
                <w:bCs/>
                <w:sz w:val="19"/>
                <w:szCs w:val="19"/>
              </w:rPr>
              <w:t xml:space="preserve">ISO/IEC 27037</w:t>
            </w:r>
            <w:r>
              <w:rPr>
                <w:sz w:val="19"/>
                <w:szCs w:val="19"/>
              </w:rPr>
              <w:t xml:space="preserve"> (identificación, recolección, adquisición, preservación); </w:t>
            </w:r>
            <w:r>
              <w:rPr>
                <w:b/>
                <w:bCs/>
                <w:sz w:val="19"/>
                <w:szCs w:val="19"/>
              </w:rPr>
              <w:t xml:space="preserve">NIST SP 800-86</w:t>
            </w:r>
            <w:r>
              <w:rPr>
                <w:sz w:val="19"/>
                <w:szCs w:val="19"/>
              </w:rPr>
              <w:t xml:space="preserve"> (recolección, examen, análisis, informe); </w:t>
            </w:r>
            <w:r>
              <w:rPr>
                <w:b/>
                <w:bCs/>
                <w:sz w:val="19"/>
                <w:szCs w:val="19"/>
              </w:rPr>
              <w:t xml:space="preserve">UNE 71506</w:t>
            </w:r>
            <w:r>
              <w:rPr>
                <w:sz w:val="19"/>
                <w:szCs w:val="19"/>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4"/>
              <w:left w:val="single" w:color="C00000" w:sz="24"/>
              <w:bottom w:val="single" w:color="C00000" w:sz="4"/>
              <w:right w:val="single" w:color="C00000" w:sz="4"/>
            </w:tcBorders>
            <w:shd w:fill="FBE4E4" w:color="auto" w:val="clear"/>
            <w:tcMar>
              <w:top w:type="dxa" w:w="100"/>
              <w:left w:type="dxa" w:w="160"/>
              <w:bottom w:type="dxa" w:w="100"/>
              <w:right w:type="dxa" w:w="140"/>
            </w:tcMar>
          </w:tcPr>
          <w:p>
            <w:pPr>
              <w:spacing w:after="80"/>
            </w:pPr>
            <w:r>
              <w:rPr>
                <w:b/>
                <w:bCs/>
                <w:color w:val="C00000"/>
                <w:sz w:val="20"/>
                <w:szCs w:val="20"/>
              </w:rPr>
              <w:t xml:space="preserve">OJO CON EL TEST</w:t>
            </w:r>
          </w:p>
          <w:p>
            <w:pPr>
              <w:pStyle w:val="ListParagraph"/>
              <w:numPr>
                <w:ilvl w:val="0"/>
                <w:numId w:val="2"/>
              </w:numPr>
              <w:spacing w:after="40"/>
            </w:pPr>
            <w:r>
              <w:rPr>
                <w:sz w:val="19"/>
                <w:szCs w:val="19"/>
              </w:rPr>
              <w:t xml:space="preserve">Confundir </w:t>
            </w:r>
            <w:r>
              <w:rPr>
                <w:b/>
                <w:bCs/>
                <w:sz w:val="19"/>
                <w:szCs w:val="19"/>
              </w:rPr>
              <w:t xml:space="preserve">software libre</w:t>
            </w:r>
            <w:r>
              <w:rPr>
                <w:sz w:val="19"/>
                <w:szCs w:val="19"/>
              </w:rPr>
              <w:t xml:space="preserve"> con </w:t>
            </w:r>
            <w:r>
              <w:rPr>
                <w:b/>
                <w:bCs/>
                <w:sz w:val="19"/>
                <w:szCs w:val="19"/>
              </w:rPr>
              <w:t xml:space="preserve">gratuito</w:t>
            </w:r>
            <w:r>
              <w:rPr>
                <w:sz w:val="19"/>
                <w:szCs w:val="19"/>
              </w:rPr>
              <w:t xml:space="preserve">.</w:t>
            </w:r>
          </w:p>
          <w:p>
            <w:pPr>
              <w:pStyle w:val="ListParagraph"/>
              <w:numPr>
                <w:ilvl w:val="0"/>
                <w:numId w:val="2"/>
              </w:numPr>
              <w:spacing w:after="40"/>
            </w:pPr>
            <w:r>
              <w:rPr>
                <w:sz w:val="19"/>
                <w:szCs w:val="19"/>
              </w:rPr>
              <w:t xml:space="preserve">Confundir </w:t>
            </w:r>
            <w:r>
              <w:rPr>
                <w:b/>
                <w:bCs/>
                <w:sz w:val="19"/>
                <w:szCs w:val="19"/>
              </w:rPr>
              <w:t xml:space="preserve">propiedad del software</w:t>
            </w:r>
            <w:r>
              <w:rPr>
                <w:sz w:val="19"/>
                <w:szCs w:val="19"/>
              </w:rPr>
              <w:t xml:space="preserve"> con </w:t>
            </w:r>
            <w:r>
              <w:rPr>
                <w:b/>
                <w:bCs/>
                <w:sz w:val="19"/>
                <w:szCs w:val="19"/>
              </w:rPr>
              <w:t xml:space="preserve">licencia de uso</w:t>
            </w:r>
            <w:r>
              <w:rPr>
                <w:sz w:val="19"/>
                <w:szCs w:val="19"/>
              </w:rPr>
              <w:t xml:space="preserve">.</w:t>
            </w:r>
          </w:p>
          <w:p>
            <w:pPr>
              <w:pStyle w:val="ListParagraph"/>
              <w:numPr>
                <w:ilvl w:val="0"/>
                <w:numId w:val="2"/>
              </w:numPr>
              <w:spacing w:after="40"/>
            </w:pPr>
            <w:r>
              <w:rPr>
                <w:sz w:val="19"/>
                <w:szCs w:val="19"/>
              </w:rPr>
              <w:t xml:space="preserve">Confundir </w:t>
            </w:r>
            <w:r>
              <w:rPr>
                <w:b/>
                <w:bCs/>
                <w:sz w:val="19"/>
                <w:szCs w:val="19"/>
              </w:rPr>
              <w:t xml:space="preserve">copyright</w:t>
            </w:r>
            <w:r>
              <w:rPr>
                <w:sz w:val="19"/>
                <w:szCs w:val="19"/>
              </w:rPr>
              <w:t xml:space="preserve"> con </w:t>
            </w:r>
            <w:r>
              <w:rPr>
                <w:b/>
                <w:bCs/>
                <w:sz w:val="19"/>
                <w:szCs w:val="19"/>
              </w:rPr>
              <w:t xml:space="preserve">patente</w:t>
            </w:r>
            <w:r>
              <w:rPr>
                <w:sz w:val="19"/>
                <w:szCs w:val="19"/>
              </w:rPr>
              <w:t xml:space="preserve"> (o afirmar que el software nunca/siempre es patentable).</w:t>
            </w:r>
          </w:p>
          <w:p>
            <w:pPr>
              <w:pStyle w:val="ListParagraph"/>
              <w:numPr>
                <w:ilvl w:val="0"/>
                <w:numId w:val="2"/>
              </w:numPr>
              <w:spacing w:after="40"/>
            </w:pPr>
            <w:r>
              <w:rPr>
                <w:sz w:val="19"/>
                <w:szCs w:val="19"/>
              </w:rPr>
              <w:t xml:space="preserve">Confundir </w:t>
            </w:r>
            <w:r>
              <w:rPr>
                <w:b/>
                <w:bCs/>
                <w:sz w:val="19"/>
                <w:szCs w:val="19"/>
              </w:rPr>
              <w:t xml:space="preserve">base de datos</w:t>
            </w:r>
            <w:r>
              <w:rPr>
                <w:sz w:val="19"/>
                <w:szCs w:val="19"/>
              </w:rPr>
              <w:t xml:space="preserve"> con los </w:t>
            </w:r>
            <w:r>
              <w:rPr>
                <w:b/>
                <w:bCs/>
                <w:sz w:val="19"/>
                <w:szCs w:val="19"/>
              </w:rPr>
              <w:t xml:space="preserve">datos</w:t>
            </w:r>
            <w:r>
              <w:rPr>
                <w:sz w:val="19"/>
                <w:szCs w:val="19"/>
              </w:rPr>
              <w:t xml:space="preserve"> que contiene.</w:t>
            </w:r>
          </w:p>
          <w:p>
            <w:pPr>
              <w:pStyle w:val="ListParagraph"/>
              <w:numPr>
                <w:ilvl w:val="0"/>
                <w:numId w:val="2"/>
              </w:numPr>
              <w:spacing w:after="40"/>
            </w:pPr>
            <w:r>
              <w:rPr>
                <w:sz w:val="19"/>
                <w:szCs w:val="19"/>
              </w:rPr>
              <w:t xml:space="preserve">Negar que la LPI regula el </w:t>
            </w:r>
            <w:r>
              <w:rPr>
                <w:b/>
                <w:bCs/>
                <w:sz w:val="19"/>
                <w:szCs w:val="19"/>
              </w:rPr>
              <w:t xml:space="preserve">derecho sui generis</w:t>
            </w:r>
            <w:r>
              <w:rPr>
                <w:sz w:val="19"/>
                <w:szCs w:val="19"/>
              </w:rPr>
              <w:t xml:space="preserve"> (sí: arts. 133-137).</w:t>
            </w:r>
          </w:p>
          <w:p>
            <w:pPr>
              <w:pStyle w:val="ListParagraph"/>
              <w:numPr>
                <w:ilvl w:val="0"/>
                <w:numId w:val="2"/>
              </w:numPr>
              <w:spacing w:after="40"/>
            </w:pPr>
            <w:r>
              <w:rPr>
                <w:sz w:val="19"/>
                <w:szCs w:val="19"/>
              </w:rPr>
              <w:t xml:space="preserve">Confundir </w:t>
            </w:r>
            <w:r>
              <w:rPr>
                <w:b/>
                <w:bCs/>
                <w:sz w:val="19"/>
                <w:szCs w:val="19"/>
              </w:rPr>
              <w:t xml:space="preserve">hash</w:t>
            </w:r>
            <w:r>
              <w:rPr>
                <w:sz w:val="19"/>
                <w:szCs w:val="19"/>
              </w:rPr>
              <w:t xml:space="preserve"> con </w:t>
            </w:r>
            <w:r>
              <w:rPr>
                <w:b/>
                <w:bCs/>
                <w:sz w:val="19"/>
                <w:szCs w:val="19"/>
              </w:rPr>
              <w:t xml:space="preserve">firma digital</w:t>
            </w:r>
            <w:r>
              <w:rPr>
                <w:sz w:val="19"/>
                <w:szCs w:val="19"/>
              </w:rPr>
              <w:t xml:space="preserve">.</w:t>
            </w:r>
          </w:p>
          <w:p>
            <w:pPr>
              <w:pStyle w:val="ListParagraph"/>
              <w:numPr>
                <w:ilvl w:val="0"/>
                <w:numId w:val="2"/>
              </w:numPr>
              <w:spacing w:after="40"/>
            </w:pPr>
            <w:r>
              <w:rPr>
                <w:sz w:val="19"/>
                <w:szCs w:val="19"/>
              </w:rPr>
              <w:t xml:space="preserve">Tratar </w:t>
            </w:r>
            <w:r>
              <w:rPr>
                <w:b/>
                <w:bCs/>
                <w:sz w:val="19"/>
                <w:szCs w:val="19"/>
              </w:rPr>
              <w:t xml:space="preserve">phishing</w:t>
            </w:r>
            <w:r>
              <w:rPr>
                <w:sz w:val="19"/>
                <w:szCs w:val="19"/>
              </w:rPr>
              <w:t xml:space="preserve"> o </w:t>
            </w:r>
            <w:r>
              <w:rPr>
                <w:b/>
                <w:bCs/>
                <w:sz w:val="19"/>
                <w:szCs w:val="19"/>
              </w:rPr>
              <w:t xml:space="preserve">malware</w:t>
            </w:r>
            <w:r>
              <w:rPr>
                <w:sz w:val="19"/>
                <w:szCs w:val="19"/>
              </w:rPr>
              <w:t xml:space="preserve"> como </w:t>
            </w:r>
            <w:r>
              <w:rPr>
                <w:b/>
                <w:bCs/>
                <w:sz w:val="19"/>
                <w:szCs w:val="19"/>
              </w:rPr>
              <w:t xml:space="preserve">tipos penales</w:t>
            </w:r>
            <w:r>
              <w:rPr>
                <w:sz w:val="19"/>
                <w:szCs w:val="19"/>
              </w:rPr>
              <w:t xml:space="preserve">.</w:t>
            </w:r>
          </w:p>
          <w:p>
            <w:pPr>
              <w:pStyle w:val="ListParagraph"/>
              <w:numPr>
                <w:ilvl w:val="0"/>
                <w:numId w:val="2"/>
              </w:numPr>
              <w:spacing w:after="40"/>
            </w:pPr>
            <w:r>
              <w:rPr>
                <w:sz w:val="19"/>
                <w:szCs w:val="19"/>
              </w:rPr>
              <w:t xml:space="preserve">Confundir </w:t>
            </w:r>
            <w:r>
              <w:rPr>
                <w:b/>
                <w:bCs/>
                <w:sz w:val="19"/>
                <w:szCs w:val="19"/>
              </w:rPr>
              <w:t xml:space="preserve">cadena de custodia</w:t>
            </w:r>
            <w:r>
              <w:rPr>
                <w:sz w:val="19"/>
                <w:szCs w:val="19"/>
              </w:rPr>
              <w:t xml:space="preserve"> con </w:t>
            </w:r>
            <w:r>
              <w:rPr>
                <w:b/>
                <w:bCs/>
                <w:sz w:val="19"/>
                <w:szCs w:val="19"/>
              </w:rPr>
              <w:t xml:space="preserve">copia de seguridad</w:t>
            </w:r>
            <w:r>
              <w:rPr>
                <w:sz w:val="19"/>
                <w:szCs w:val="19"/>
              </w:rPr>
              <w:t xml:space="preserve">.</w:t>
            </w:r>
          </w:p>
          <w:p>
            <w:pPr>
              <w:pStyle w:val="ListParagraph"/>
              <w:numPr>
                <w:ilvl w:val="0"/>
                <w:numId w:val="2"/>
              </w:numPr>
              <w:spacing w:after="40"/>
            </w:pPr>
            <w:r>
              <w:rPr>
                <w:sz w:val="19"/>
                <w:szCs w:val="19"/>
              </w:rPr>
              <w:t xml:space="preserve">Tratar la </w:t>
            </w:r>
            <w:r>
              <w:rPr>
                <w:b/>
                <w:bCs/>
                <w:sz w:val="19"/>
                <w:szCs w:val="19"/>
              </w:rPr>
              <w:t xml:space="preserve">evidencia digital</w:t>
            </w:r>
            <w:r>
              <w:rPr>
                <w:sz w:val="19"/>
                <w:szCs w:val="19"/>
              </w:rPr>
              <w:t xml:space="preserve"> como </w:t>
            </w:r>
            <w:r>
              <w:rPr>
                <w:b/>
                <w:bCs/>
                <w:sz w:val="19"/>
                <w:szCs w:val="19"/>
              </w:rPr>
              <w:t xml:space="preserve">prueba automáticamente válida</w:t>
            </w:r>
            <w:r>
              <w:rPr>
                <w:sz w:val="19"/>
                <w:szCs w:val="19"/>
              </w:rPr>
              <w:t xml:space="preserve">.</w:t>
            </w:r>
          </w:p>
          <w:p>
            <w:pPr>
              <w:pStyle w:val="ListParagraph"/>
              <w:numPr>
                <w:ilvl w:val="0"/>
                <w:numId w:val="2"/>
              </w:numPr>
              <w:spacing w:after="40"/>
            </w:pPr>
            <w:r>
              <w:rPr>
                <w:sz w:val="19"/>
                <w:szCs w:val="19"/>
              </w:rPr>
              <w:t xml:space="preserve">Citar normas derogadas: </w:t>
            </w:r>
            <w:r>
              <w:rPr>
                <w:b/>
                <w:bCs/>
                <w:sz w:val="19"/>
                <w:szCs w:val="19"/>
              </w:rPr>
              <w:t xml:space="preserve">Ley 59/2003</w:t>
            </w:r>
            <w:r>
              <w:rPr>
                <w:sz w:val="19"/>
                <w:szCs w:val="19"/>
              </w:rPr>
              <w:t xml:space="preserve">, </w:t>
            </w:r>
            <w:r>
              <w:rPr>
                <w:b/>
                <w:bCs/>
                <w:sz w:val="19"/>
                <w:szCs w:val="19"/>
              </w:rPr>
              <w:t xml:space="preserve">Ley 9/2014</w:t>
            </w:r>
            <w:r>
              <w:rPr>
                <w:sz w:val="19"/>
                <w:szCs w:val="19"/>
              </w:rPr>
              <w:t xml:space="preserve">, </w:t>
            </w:r>
            <w:r>
              <w:rPr>
                <w:b/>
                <w:bCs/>
                <w:sz w:val="19"/>
                <w:szCs w:val="19"/>
              </w:rPr>
              <w:t xml:space="preserve">LOPD 15/1999</w:t>
            </w:r>
            <w:r>
              <w:rPr>
                <w:sz w:val="19"/>
                <w:szCs w:val="19"/>
              </w:rPr>
              <w:t xml:space="preserve">, art. </w:t>
            </w:r>
            <w:r>
              <w:rPr>
                <w:b/>
                <w:bCs/>
                <w:sz w:val="19"/>
                <w:szCs w:val="19"/>
              </w:rPr>
              <w:t xml:space="preserve">248.2 CP</w:t>
            </w:r>
            <w:r>
              <w:rPr>
                <w:sz w:val="19"/>
                <w:szCs w:val="19"/>
              </w:rPr>
              <w:t xml:space="preserve"> para la estafa informática.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75623" w:sz="4"/>
              <w:left w:val="single" w:color="375623" w:sz="24"/>
              <w:bottom w:val="single" w:color="375623" w:sz="4"/>
              <w:right w:val="single" w:color="375623" w:sz="4"/>
            </w:tcBorders>
            <w:shd w:fill="E2EFDA" w:color="auto" w:val="clear"/>
            <w:tcMar>
              <w:top w:type="dxa" w:w="100"/>
              <w:left w:type="dxa" w:w="160"/>
              <w:bottom w:type="dxa" w:w="100"/>
              <w:right w:type="dxa" w:w="140"/>
            </w:tcMar>
          </w:tcPr>
          <w:p>
            <w:pPr>
              <w:spacing w:after="80"/>
            </w:pPr>
            <w:r>
              <w:rPr>
                <w:b/>
                <w:bCs/>
                <w:color w:val="375623"/>
                <w:sz w:val="20"/>
                <w:szCs w:val="20"/>
              </w:rPr>
              <w:t xml:space="preserve">PREGUNTA TÍPICA</w:t>
            </w:r>
          </w:p>
          <w:p>
            <w:pPr>
              <w:pStyle w:val="ListParagraph"/>
              <w:numPr>
                <w:ilvl w:val="0"/>
                <w:numId w:val="2"/>
              </w:numPr>
              <w:spacing w:after="40"/>
            </w:pPr>
            <w:r>
              <w:rPr>
                <w:sz w:val="19"/>
                <w:szCs w:val="19"/>
              </w:rPr>
              <w:t xml:space="preserve">«¿Qué caracteriza a una licencia de usuario concurrente?» → número máximo de usuarios </w:t>
            </w:r>
            <w:r>
              <w:rPr>
                <w:b/>
                <w:bCs/>
                <w:sz w:val="19"/>
                <w:szCs w:val="19"/>
              </w:rPr>
              <w:t xml:space="preserve">simultáneos</w:t>
            </w:r>
            <w:r>
              <w:rPr>
                <w:sz w:val="19"/>
                <w:szCs w:val="19"/>
              </w:rPr>
              <w:t xml:space="preserve">.</w:t>
            </w:r>
          </w:p>
          <w:p>
            <w:pPr>
              <w:pStyle w:val="ListParagraph"/>
              <w:numPr>
                <w:ilvl w:val="0"/>
                <w:numId w:val="2"/>
              </w:numPr>
              <w:spacing w:after="40"/>
            </w:pPr>
            <w:r>
              <w:rPr>
                <w:sz w:val="19"/>
                <w:szCs w:val="19"/>
              </w:rPr>
              <w:t xml:space="preserve">«¿Cuándo es patentable un software?» → cuando aporta </w:t>
            </w:r>
            <w:r>
              <w:rPr>
                <w:b/>
                <w:bCs/>
                <w:sz w:val="19"/>
                <w:szCs w:val="19"/>
              </w:rPr>
              <w:t xml:space="preserve">contribución técnica</w:t>
            </w:r>
            <w:r>
              <w:rPr>
                <w:sz w:val="19"/>
                <w:szCs w:val="19"/>
              </w:rPr>
              <w:t xml:space="preserve"> (no «como tal»).</w:t>
            </w:r>
          </w:p>
          <w:p>
            <w:pPr>
              <w:pStyle w:val="ListParagraph"/>
              <w:numPr>
                <w:ilvl w:val="0"/>
                <w:numId w:val="2"/>
              </w:numPr>
              <w:spacing w:after="40"/>
            </w:pPr>
            <w:r>
              <w:rPr>
                <w:sz w:val="19"/>
                <w:szCs w:val="19"/>
              </w:rPr>
              <w:t xml:space="preserve">«¿A qué se refiere el derecho sui generis de la LPI?» → a las </w:t>
            </w:r>
            <w:r>
              <w:rPr>
                <w:b/>
                <w:bCs/>
                <w:sz w:val="19"/>
                <w:szCs w:val="19"/>
              </w:rPr>
              <w:t xml:space="preserve">bases de datos</w:t>
            </w:r>
            <w:r>
              <w:rPr>
                <w:sz w:val="19"/>
                <w:szCs w:val="19"/>
              </w:rPr>
              <w:t xml:space="preserve">.</w:t>
            </w:r>
          </w:p>
          <w:p>
            <w:pPr>
              <w:pStyle w:val="ListParagraph"/>
              <w:numPr>
                <w:ilvl w:val="0"/>
                <w:numId w:val="2"/>
              </w:numPr>
              <w:spacing w:after="40"/>
            </w:pPr>
            <w:r>
              <w:rPr>
                <w:sz w:val="19"/>
                <w:szCs w:val="19"/>
              </w:rPr>
              <w:t xml:space="preserve">«¿Cómo se llama la disciplina que recolecta, preserva, analiza y presenta evidencia digital…?» → </w:t>
            </w:r>
            <w:r>
              <w:rPr>
                <w:b/>
                <w:bCs/>
                <w:sz w:val="19"/>
                <w:szCs w:val="19"/>
              </w:rPr>
              <w:t xml:space="preserve">informática forense</w:t>
            </w:r>
            <w:r>
              <w:rPr>
                <w:sz w:val="19"/>
                <w:szCs w:val="19"/>
              </w:rPr>
              <w:t xml:space="preserve">.</w:t>
            </w:r>
          </w:p>
          <w:p>
            <w:pPr>
              <w:pStyle w:val="ListParagraph"/>
              <w:numPr>
                <w:ilvl w:val="0"/>
                <w:numId w:val="2"/>
              </w:numPr>
              <w:spacing w:after="40"/>
            </w:pPr>
            <w:r>
              <w:rPr>
                <w:sz w:val="19"/>
                <w:szCs w:val="19"/>
              </w:rPr>
              <w:t xml:space="preserve">«¿Quién es titular de los derechos de explotación de un programa creado por un empleado en sus funciones?» → el </w:t>
            </w:r>
            <w:r>
              <w:rPr>
                <w:b/>
                <w:bCs/>
                <w:sz w:val="19"/>
                <w:szCs w:val="19"/>
              </w:rPr>
              <w:t xml:space="preserve">empleador</w:t>
            </w:r>
            <w:r>
              <w:rPr>
                <w:sz w:val="19"/>
                <w:szCs w:val="19"/>
              </w:rPr>
              <w:t xml:space="preserve">.</w:t>
            </w:r>
          </w:p>
        </w:tc>
      </w:tr>
    </w:tbl>
    <w:p>
      <w:pPr>
        <w:spacing w:after="120"/>
      </w:pPr>
    </w:p>
    <w:p>
      <w:pPr>
        <w:pStyle w:val="Heading1"/>
        <w:keepNext/>
        <w:pageBreakBefore/>
        <w:spacing w:after="200" w:before="360"/>
      </w:pPr>
      <w:r>
        <w:t xml:space="preserve">46. Análisis de las preguntas de exámenes anteriores</w:t>
      </w:r>
    </w:p>
    <w:p>
      <w:pPr>
        <w:spacing w:after="120"/>
        <w:jc w:val="both"/>
      </w:pPr>
      <w:r>
        <w:t xml:space="preserve">Se analizan las </w:t>
      </w:r>
      <w:r>
        <w:rPr>
          <w:b/>
          <w:bCs/>
        </w:rPr>
        <w:t xml:space="preserve">7 preguntas</w:t>
      </w:r>
      <w:r>
        <w:t xml:space="preserve"> del CSV. La columna «Clave del CSV» reproduce la respuesta marcada como correcta en el fichero; cuando este tema discrepa, se indica expresamente y se razona.</w:t>
      </w:r>
    </w:p>
    <w:p>
      <w:pPr>
        <w:pStyle w:val="Heading3"/>
        <w:keepNext/>
      </w:pPr>
      <w:r>
        <w:t xml:space="preserve">Pregunta ID 190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rPr>
          <w:tblHeader/>
        </w:trPr>
        <w:tc>
          <w:tcPr>
            <w:tcW w:type="dxa" w:w="229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Campo</w:t>
            </w:r>
          </w:p>
        </w:tc>
        <w:tc>
          <w:tcPr>
            <w:tcW w:type="dxa" w:w="734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Contenido</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Enunciado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¿Cuál es la principal característica de las licencias de usuario concurrente?</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Opciones</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 Uso en múltiples dispositivos simultáneamente. B) Un número específico de usuarios accede y utiliza el software al mismo tiempo. C) Nunca expira. D) Solo en un único dispositivo.</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Clave del CSV</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B</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Respuesta correcta (según este tema)</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B</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Concepto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Métricas de licenciamiento.</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Explicación</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La licencia concurrente (flotante) limita el </w:t>
            </w:r>
            <w:r>
              <w:rPr>
                <w:sz w:val="18"/>
                <w:szCs w:val="18"/>
              </w:rPr>
              <w:t xml:space="preserve">número de usos simultáneos</w:t>
            </w:r>
            <w:r>
              <w:rPr>
                <w:sz w:val="18"/>
                <w:szCs w:val="18"/>
              </w:rPr>
              <w:t xml:space="preserve">, no a personas concretas; se gestiona con un servidor de licencias.</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Fundamento jurídico / técnico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Práctica contractual de licenciamiento (no hay definición legal); apartado 7.2.</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Por qué fallan las demás</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 describe una licencia por usuario multidispositivo; C, una licencia perpetua; D, una licencia por dispositivo (node-locked).</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Apartado del tema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7.2 y 44.</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Dificultad</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Baja.</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Posible trampa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Confundir «usuarios simultáneos» con «dispositivos simultáneos».</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Normativa y versión</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 normativa (terminología contractual).</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Advertencia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w:t>
            </w:r>
          </w:p>
        </w:tc>
      </w:tr>
    </w:tbl>
    <w:p>
      <w:pPr>
        <w:spacing w:after="120"/>
      </w:pPr>
    </w:p>
    <w:p>
      <w:pPr>
        <w:pStyle w:val="Heading3"/>
        <w:keepNext/>
      </w:pPr>
      <w:r>
        <w:t xml:space="preserve">Pregunta ID 435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rPr>
          <w:tblHeader/>
        </w:trPr>
        <w:tc>
          <w:tcPr>
            <w:tcW w:type="dxa" w:w="229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Campo</w:t>
            </w:r>
          </w:p>
        </w:tc>
        <w:tc>
          <w:tcPr>
            <w:tcW w:type="dxa" w:w="734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Contenido</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Enunciado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 qué tipo de obras se refiere el RDL 1/1996 (LPI) cuando alude al derecho «sui géneris»?</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Opciones</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 Base de datos. B) Programas informáticos. C) Grabaciones audiovisuales. D) No se referencia al derecho sui géneris.</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Clave del CSV</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 (según el CSV)</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Respuesta correcta (según este tema)</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 Base de datos</w:t>
            </w:r>
            <w:r>
              <w:rPr>
                <w:sz w:val="18"/>
                <w:szCs w:val="18"/>
              </w:rPr>
              <w:t xml:space="preserve"> — </w:t>
            </w:r>
            <w:r>
              <w:rPr>
                <w:sz w:val="18"/>
                <w:szCs w:val="18"/>
              </w:rPr>
              <w:t xml:space="preserve">discrepa de la clave del CSV</w:t>
            </w:r>
            <w:r>
              <w:rPr>
                <w:sz w:val="18"/>
                <w:szCs w:val="18"/>
              </w:rPr>
              <w:t xml:space="preserve">.</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Concepto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Derecho sui generis sobre bases de datos.</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Explicación</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El texto vigente de la LPI contiene el </w:t>
            </w:r>
            <w:r>
              <w:rPr>
                <w:sz w:val="18"/>
                <w:szCs w:val="18"/>
              </w:rPr>
              <w:t xml:space="preserve">Título VIII del Libro II</w:t>
            </w:r>
            <w:r>
              <w:rPr>
                <w:sz w:val="18"/>
                <w:szCs w:val="18"/>
              </w:rPr>
              <w:t xml:space="preserve">, «Derecho </w:t>
            </w:r>
            <w:r>
              <w:rPr>
                <w:i/>
                <w:iCs/>
                <w:sz w:val="18"/>
                <w:szCs w:val="18"/>
              </w:rPr>
              <w:t xml:space="preserve">sui generis</w:t>
            </w:r>
            <w:r>
              <w:rPr>
                <w:sz w:val="18"/>
                <w:szCs w:val="18"/>
              </w:rPr>
              <w:t xml:space="preserve"> sobre las bases de datos» (arts. 133-137), introducido por la </w:t>
            </w:r>
            <w:r>
              <w:rPr>
                <w:sz w:val="18"/>
                <w:szCs w:val="18"/>
              </w:rPr>
              <w:t xml:space="preserve">Ley 5/1998</w:t>
            </w:r>
            <w:r>
              <w:rPr>
                <w:sz w:val="18"/>
                <w:szCs w:val="18"/>
              </w:rPr>
              <w:t xml:space="preserve"> al transponer la Directiva 96/9/CE. Además, el art. 164 regula sus beneficiarios. Por tanto, la LPI </w:t>
            </w:r>
            <w:r>
              <w:rPr>
                <w:sz w:val="18"/>
                <w:szCs w:val="18"/>
              </w:rPr>
              <w:t xml:space="preserve">sí</w:t>
            </w:r>
            <w:r>
              <w:rPr>
                <w:sz w:val="18"/>
                <w:szCs w:val="18"/>
              </w:rPr>
              <w:t xml:space="preserve"> se refiere a este derecho y lo hace respecto de las </w:t>
            </w:r>
            <w:r>
              <w:rPr>
                <w:sz w:val="18"/>
                <w:szCs w:val="18"/>
              </w:rPr>
              <w:t xml:space="preserve">bases de datos</w:t>
            </w:r>
            <w:r>
              <w:rPr>
                <w:sz w:val="18"/>
                <w:szCs w:val="18"/>
              </w:rPr>
              <w:t xml:space="preserve">.</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Fundamento jurídico / técnico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LPI arts. 133-137 y 164; Ley 5/1998; Directiva 96/9/CE.</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Por qué fallan las demás</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B: los programas se protegen por derecho de autor (Título VII del Libro I). C: las grabaciones audiovisuales tienen derechos conexos de productores (arts. 120-125), no sui generis. D: falso, la LPI lo regula expresamente.</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Apartado del tema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10.4.</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Dificultad</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Baja en contenido; alta por la clave errónea.</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Posible trampa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La propia clave del banco.</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Normativa y versión</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RDL 1/1996 en su redacción dada por la Ley 5/1998 (1998) y posteriores.</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Advertencia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La clave D solo sería defendible respecto del </w:t>
            </w:r>
            <w:r>
              <w:rPr>
                <w:sz w:val="18"/>
                <w:szCs w:val="18"/>
              </w:rPr>
              <w:t xml:space="preserve">texto original de 1996, anterior a la Ley 5/1998</w:t>
            </w:r>
            <w:r>
              <w:rPr>
                <w:sz w:val="18"/>
                <w:szCs w:val="18"/>
              </w:rPr>
              <w:t xml:space="preserve">, lo que no tiene sentido para un examen actual. Si en tu examen aparece esta pregunta, contesta </w:t>
            </w:r>
            <w:r>
              <w:rPr>
                <w:sz w:val="18"/>
                <w:szCs w:val="18"/>
              </w:rPr>
              <w:t xml:space="preserve">A</w:t>
            </w:r>
            <w:r>
              <w:rPr>
                <w:sz w:val="18"/>
                <w:szCs w:val="18"/>
              </w:rPr>
              <w:t xml:space="preserve"> salvo que la plantilla oficial publicada diga otra cosa, y considera </w:t>
            </w:r>
            <w:r>
              <w:rPr>
                <w:sz w:val="18"/>
                <w:szCs w:val="18"/>
              </w:rPr>
              <w:t xml:space="preserve">impugnarla</w:t>
            </w:r>
            <w:r>
              <w:rPr>
                <w:sz w:val="18"/>
                <w:szCs w:val="18"/>
              </w:rPr>
              <w:t xml:space="preserve">. Revisa el origen de la clave (posible error de transcripción del banco).</w:t>
            </w:r>
          </w:p>
        </w:tc>
      </w:tr>
    </w:tbl>
    <w:p>
      <w:pPr>
        <w:spacing w:after="120"/>
      </w:pPr>
    </w:p>
    <w:p>
      <w:pPr>
        <w:pStyle w:val="Heading3"/>
        <w:keepNext/>
      </w:pPr>
      <w:r>
        <w:t xml:space="preserve">Pregunta ID 585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rPr>
          <w:tblHeader/>
        </w:trPr>
        <w:tc>
          <w:tcPr>
            <w:tcW w:type="dxa" w:w="229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Campo</w:t>
            </w:r>
          </w:p>
        </w:tc>
        <w:tc>
          <w:tcPr>
            <w:tcW w:type="dxa" w:w="734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Contenido</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Enunciado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¿Cómo se conoce al conjunto de principios y métodos científicos que comprende la recolección, preservación, documentación, validación, identificación, análisis, interpretación y presentación de evidencia digital derivada a partir de fuentes digitales con el propósito de facilitar la reconstrucción de eventos delictivos?</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Opciones</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 Ingeniería inversa. B) Informática forense. C) Exploits. D) Hacking forense.</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Clave del CSV</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B</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Respuesta correcta (según este tema)</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B</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Concepto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Definición de informática forense.</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Explicación</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El enunciado reproduce en esencia la definición del </w:t>
            </w:r>
            <w:r>
              <w:rPr>
                <w:sz w:val="18"/>
                <w:szCs w:val="18"/>
              </w:rPr>
              <w:t xml:space="preserve">DFRWS (2001)</w:t>
            </w:r>
            <w:r>
              <w:rPr>
                <w:sz w:val="18"/>
                <w:szCs w:val="18"/>
              </w:rPr>
              <w:t xml:space="preserve"> de ciencia forense digital.</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Fundamento jurídico / técnico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DFRWS 2001; ISO/IEC 27037/27042/27043 (conceptos de identificación, adquisición, análisis).</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Por qué fallan las demás</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 análisis del funcionamiento de un sistema/programa. C: código que explota vulnerabilidades. D: no es disciplina reconocida.</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Apartado del tema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27.1.</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Dificultad</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Baja.</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Posible trampa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«Hacking forense» suena plausible pero no es el término.</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Normativa y versión</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 normativa (definición doctrinal/técnica).</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Advertencia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w:t>
            </w:r>
          </w:p>
        </w:tc>
      </w:tr>
    </w:tbl>
    <w:p>
      <w:pPr>
        <w:spacing w:after="120"/>
      </w:pPr>
    </w:p>
    <w:p>
      <w:pPr>
        <w:pStyle w:val="Heading3"/>
        <w:keepNext/>
      </w:pPr>
      <w:r>
        <w:t xml:space="preserve">Pregunta ID 918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rPr>
          <w:tblHeader/>
        </w:trPr>
        <w:tc>
          <w:tcPr>
            <w:tcW w:type="dxa" w:w="229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Campo</w:t>
            </w:r>
          </w:p>
        </w:tc>
        <w:tc>
          <w:tcPr>
            <w:tcW w:type="dxa" w:w="734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Contenido</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Enunciado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¿Cuál de los siguientes es un lenguaje de especificación utilizado en informática forense?</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Opciones</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 SCRUM. B) BABILON. C) OVAL. D) CIRCLE.</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Clave del CSV</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Respuesta correcta (según este tema)</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Concepto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Lenguajes estructurados en seguridad y forensia.</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Explicación</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OVAL</w:t>
            </w:r>
            <w:r>
              <w:rPr>
                <w:sz w:val="18"/>
                <w:szCs w:val="18"/>
              </w:rPr>
              <w:t xml:space="preserve"> (</w:t>
            </w:r>
            <w:r>
              <w:rPr>
                <w:i/>
                <w:iCs/>
                <w:sz w:val="18"/>
                <w:szCs w:val="18"/>
              </w:rPr>
              <w:t xml:space="preserve">Open Vulnerability and Assessment Language</w:t>
            </w:r>
            <w:r>
              <w:rPr>
                <w:sz w:val="18"/>
                <w:szCs w:val="18"/>
              </w:rPr>
              <w:t xml:space="preserve">), creado por MITRE y mantenido hoy por CIS, es un lenguaje XML para describir estados de sistemas y realizar comprobaciones; se usa para evaluar vulnerabilidades/configuración y para recoger el estado de un sistema de forma estandarizada.</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Fundamento jurídico / técnico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Especificación OVAL; apartado 37.</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Por qué fallan las demás</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SCRUM es un marco ágil de gestión de proyectos; BABILON y CIRCLE no son lenguajes de especificación forense reconocidos.</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Apartado del tema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37.</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Dificultad</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Media (dato memorístico).</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Posible trampa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Descartar por eliminación es suficiente.</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Normativa y versión</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Estándar técnico, no norma jurídica.</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Advertencia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OVAL es más propiamente un lenguaje de </w:t>
            </w:r>
            <w:r>
              <w:rPr>
                <w:sz w:val="18"/>
                <w:szCs w:val="18"/>
              </w:rPr>
              <w:t xml:space="preserve">evaluación de vulnerabilidades y configuración</w:t>
            </w:r>
            <w:r>
              <w:rPr>
                <w:sz w:val="18"/>
                <w:szCs w:val="18"/>
              </w:rPr>
              <w:t xml:space="preserve"> que «de informática forense»; la pregunta es imprecisa, pero C es la única opción válida.</w:t>
            </w:r>
          </w:p>
        </w:tc>
      </w:tr>
    </w:tbl>
    <w:p>
      <w:pPr>
        <w:spacing w:after="120"/>
      </w:pPr>
    </w:p>
    <w:p>
      <w:pPr>
        <w:pStyle w:val="Heading3"/>
        <w:keepNext/>
      </w:pPr>
      <w:r>
        <w:t xml:space="preserve">Pregunta ID 1212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rPr>
          <w:tblHeader/>
        </w:trPr>
        <w:tc>
          <w:tcPr>
            <w:tcW w:type="dxa" w:w="229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Campo</w:t>
            </w:r>
          </w:p>
        </w:tc>
        <w:tc>
          <w:tcPr>
            <w:tcW w:type="dxa" w:w="734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Contenido</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Enunciado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Sobre la protección jurídica de los programas de ordenador, ¿en qué casos podría ser posible patentar un software?</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Opciones</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 Si supone una contribución técnica novedosa, implementada en una máquina y no puede usarse autónomamente. B) Siempre que tenga originalidad. C) En cualquier caso. D) En ningún caso.</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Clave del CSV</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Respuesta correcta (según este tema)</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Concepto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Invenciones implementadas en ordenador.</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Explicación</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El software «como tal» no es invención (art. 4.4-4.5 Ley 24/2015; art. 52 CPE), pero sí puede patentarse una invención con </w:t>
            </w:r>
            <w:r>
              <w:rPr>
                <w:sz w:val="18"/>
                <w:szCs w:val="18"/>
              </w:rPr>
              <w:t xml:space="preserve">carácter técnico</w:t>
            </w:r>
            <w:r>
              <w:rPr>
                <w:sz w:val="18"/>
                <w:szCs w:val="18"/>
              </w:rPr>
              <w:t xml:space="preserve"> que se implementa mediante software. La redacción «no pueda ser usado autónomamente» refleja la idea de que se protege la solución técnica integrada en un sistema, no el programa aislado.</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Fundamento jurídico / técnico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Ley 24/2015, art. 4; CPE art. 52; práctica de la EPO.</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Por qué fallan las demás</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B: originalidad es requisito del </w:t>
            </w:r>
            <w:r>
              <w:rPr>
                <w:sz w:val="18"/>
                <w:szCs w:val="18"/>
              </w:rPr>
              <w:t xml:space="preserve">derecho de autor</w:t>
            </w:r>
            <w:r>
              <w:rPr>
                <w:sz w:val="18"/>
                <w:szCs w:val="18"/>
              </w:rPr>
              <w:t xml:space="preserve">, no de la patente. C y D: absolutos incorrectos.</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Apartado del tema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2.5.</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Dificultad</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Media.</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Posible trampa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Confundir originalidad (autor) con novedad/actividad inventiva (patente).</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Normativa y versión</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Ley 24/2015 vigente desde 01/04/2017; antes, Ley 11/1986 con idéntica exclusión (art. 4.2-4.3).</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Advertencia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w:t>
            </w:r>
          </w:p>
        </w:tc>
      </w:tr>
    </w:tbl>
    <w:p>
      <w:pPr>
        <w:spacing w:after="120"/>
      </w:pPr>
    </w:p>
    <w:p>
      <w:pPr>
        <w:pStyle w:val="Heading3"/>
        <w:keepNext/>
      </w:pPr>
      <w:r>
        <w:t xml:space="preserve">Pregunta ID 1242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rPr>
          <w:tblHeader/>
        </w:trPr>
        <w:tc>
          <w:tcPr>
            <w:tcW w:type="dxa" w:w="229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Campo</w:t>
            </w:r>
          </w:p>
        </w:tc>
        <w:tc>
          <w:tcPr>
            <w:tcW w:type="dxa" w:w="734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Contenido</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Enunciado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Según la Ley 24/2015 y el RD 316/2017, los programas de ordenador en el ámbito sanitario son patentables:</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Opciones</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 Solo son patentables invenciones técnicas que aportan al estado de la técnica, p. ej., una controladora de un dispositivo electromédico. B) Nunca; solo PI. C) Solo programas y BD que innovan en procesos sanitarios. D) En cualquier caso, invenciones técnicas que acceden a BD protegidas por patente.</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Clave del CSV</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Respuesta correcta (según este tema)</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Concepto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Patentabilidad del software en sanidad.</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Explicación</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El software de control de un dispositivo electromédico produce un </w:t>
            </w:r>
            <w:r>
              <w:rPr>
                <w:sz w:val="18"/>
                <w:szCs w:val="18"/>
              </w:rPr>
              <w:t xml:space="preserve">efecto técnico</w:t>
            </w:r>
            <w:r>
              <w:rPr>
                <w:sz w:val="18"/>
                <w:szCs w:val="18"/>
              </w:rPr>
              <w:t xml:space="preserve"> y puede formar parte de una invención patentable. La innovación organizativa o de «procesos sanitarios» (gestión) no es técnica por sí misma; además, los </w:t>
            </w:r>
            <w:r>
              <w:rPr>
                <w:sz w:val="18"/>
                <w:szCs w:val="18"/>
              </w:rPr>
              <w:t xml:space="preserve">métodos de tratamiento quirúrgico o terapéutico y de diagnóstico</w:t>
            </w:r>
            <w:r>
              <w:rPr>
                <w:sz w:val="18"/>
                <w:szCs w:val="18"/>
              </w:rPr>
              <w:t xml:space="preserve"> aplicados al cuerpo humano están excluidos de patentabilidad (art. 5.4 Ley 24/2015), aunque no los productos para su aplicación.</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Fundamento jurídico / técnico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Ley 24/2015, arts. 4 y 5; RD 316/2017.</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Por qué fallan las demás</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B: absoluto incorrecto. C: las BD no son patentables y la mera innovación de procesos no basta. D: las BD no se protegen por patente.</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Apartado del tema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2.5.</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Dificultad</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Media.</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Posible trampa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Opción C mezcla BD y patente.</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Normativa y versión</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Ley 24/2015 y RD 316/2017, vigentes.</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Advertencia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w:t>
            </w:r>
          </w:p>
        </w:tc>
      </w:tr>
    </w:tbl>
    <w:p>
      <w:pPr>
        <w:spacing w:after="120"/>
      </w:pPr>
    </w:p>
    <w:p>
      <w:pPr>
        <w:pStyle w:val="Heading3"/>
        <w:keepNext/>
      </w:pPr>
      <w:r>
        <w:t xml:space="preserve">Pregunta ID 1311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4"/>
        <w:gridCol w:w="7344"/>
      </w:tblGrid>
      <w:tr>
        <w:trPr>
          <w:tblHeader/>
        </w:trPr>
        <w:tc>
          <w:tcPr>
            <w:tcW w:type="dxa" w:w="229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Campo</w:t>
            </w:r>
          </w:p>
        </w:tc>
        <w:tc>
          <w:tcPr>
            <w:tcW w:type="dxa" w:w="7344"/>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Contenido</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Enunciado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Caso práctico: sistema de información de un centro sanitario (portal del paciente, cuadro de mandos…). Según la Ley 24/2015 y el RD 316/2017, la forma de proteger la propiedad del sistema es:</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Opciones</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 Registro de la PI por los autores expresando que el SAS es propietario de los derechos de explotación. B) Solicitud de patente americana para defenderla en Europa. C) Registro de la PI por los autores y contrato de transferencia al SAS. D) Declararlo software libre por el mecanismo de la Junta.</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Clave del CSV</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Respuesta correcta (según este tema)</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w:t>
            </w:r>
            <w:r>
              <w:rPr>
                <w:sz w:val="18"/>
                <w:szCs w:val="18"/>
              </w:rPr>
              <w:t xml:space="preserve"> (la más ajustada), con matices.</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Concepto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Titularidad y protección del software institucional.</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Explicación</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Un sistema de información de gestión no es una invención técnica patentable: se protege por </w:t>
            </w:r>
            <w:r>
              <w:rPr>
                <w:sz w:val="18"/>
                <w:szCs w:val="18"/>
              </w:rPr>
              <w:t xml:space="preserve">derecho de autor</w:t>
            </w:r>
            <w:r>
              <w:rPr>
                <w:sz w:val="18"/>
                <w:szCs w:val="18"/>
              </w:rPr>
              <w:t xml:space="preserve">. Si lo desarrollan empleados en sus funciones, los derechos de explotación son del SAS </w:t>
            </w:r>
            <w:r>
              <w:rPr>
                <w:sz w:val="18"/>
                <w:szCs w:val="18"/>
              </w:rPr>
              <w:t xml:space="preserve">por ley (art. 97.4 LPI)</w:t>
            </w:r>
            <w:r>
              <w:rPr>
                <w:sz w:val="18"/>
                <w:szCs w:val="18"/>
              </w:rPr>
              <w:t xml:space="preserve">, sin necesidad de contrato de transferencia; la inscripción en el Registro de la PI (art. 101 y 145 LPI) sirve de prueba haciendo constar al SAS como titular de la explotación.</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Fundamento jurídico / técnico</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LPI arts. 97.4, 101, 145; Ley 24/2015, art. 4 (exclusión); LCSP art. 308 si hay contratista.</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Por qué fallan las demás</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B: una patente estadounidense no produce efectos en Europa y el software «como tal» no es patentable. C: la transferencia contractual es innecesaria para asalariados (sí sería adecuada si el autor es externo). D: liberar como software libre no «protege la propiedad»; presupone la titularidad.</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Apartado del tema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4.1, 4.3 y 2.5.</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Dificultad</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Media-alta (enunciado confuso).</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Posible trampa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El enunciado invoca la ley de </w:t>
            </w:r>
            <w:r>
              <w:rPr>
                <w:sz w:val="18"/>
                <w:szCs w:val="18"/>
              </w:rPr>
              <w:t xml:space="preserve">patentes</w:t>
            </w:r>
            <w:r>
              <w:rPr>
                <w:sz w:val="18"/>
                <w:szCs w:val="18"/>
              </w:rPr>
              <w:t xml:space="preserve">, pero la respuesta es de </w:t>
            </w:r>
            <w:r>
              <w:rPr>
                <w:sz w:val="18"/>
                <w:szCs w:val="18"/>
              </w:rPr>
              <w:t xml:space="preserve">propiedad intelectual</w:t>
            </w:r>
            <w:r>
              <w:rPr>
                <w:sz w:val="18"/>
                <w:szCs w:val="18"/>
              </w:rPr>
              <w:t xml:space="preserve">.</w:t>
            </w:r>
          </w:p>
        </w:tc>
      </w:tr>
      <w:tr>
        <w:trPr>
          <w:cantSplit/>
        </w:trPr>
        <w:tc>
          <w:tcPr>
            <w:tcW w:type="dxa" w:w="229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Normativa y versión</w:t>
            </w:r>
          </w:p>
        </w:tc>
        <w:tc>
          <w:tcPr>
            <w:tcW w:type="dxa" w:w="7344"/>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LPI vigente; Ley 24/2015.</w:t>
            </w:r>
          </w:p>
        </w:tc>
      </w:tr>
      <w:tr>
        <w:trPr>
          <w:cantSplit/>
        </w:trPr>
        <w:tc>
          <w:tcPr>
            <w:tcW w:type="dxa" w:w="229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Advertencia</w:t>
            </w:r>
          </w:p>
        </w:tc>
        <w:tc>
          <w:tcPr>
            <w:tcW w:type="dxa" w:w="734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Pregunta </w:t>
            </w:r>
            <w:r>
              <w:rPr>
                <w:sz w:val="18"/>
                <w:szCs w:val="18"/>
              </w:rPr>
              <w:t xml:space="preserve">ambigua</w:t>
            </w:r>
            <w:r>
              <w:rPr>
                <w:sz w:val="18"/>
                <w:szCs w:val="18"/>
              </w:rPr>
              <w:t xml:space="preserve">: la registración no es constitutiva y los autores personas físicas no «ceden» nada si son asalariados. Si el desarrollo fuese externo, C sería defendible. Estudia la lógica, no la frase.</w:t>
            </w:r>
          </w:p>
        </w:tc>
      </w:tr>
    </w:tbl>
    <w:p>
      <w:pPr>
        <w:spacing w:after="120"/>
      </w:pPr>
    </w:p>
    <w:p>
      <w:pPr>
        <w:pStyle w:val="Heading2"/>
        <w:keepNext/>
      </w:pPr>
      <w:r>
        <w:t xml:space="preserve">46.1 Preguntas afectadas por normativa histórica o dudosa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5B2C83" w:sz="4"/>
              <w:left w:val="single" w:color="5B2C83" w:sz="24"/>
              <w:bottom w:val="single" w:color="5B2C83" w:sz="4"/>
              <w:right w:val="single" w:color="5B2C83" w:sz="4"/>
            </w:tcBorders>
            <w:shd w:fill="EDE4F5" w:color="auto" w:val="clear"/>
            <w:tcMar>
              <w:top w:type="dxa" w:w="100"/>
              <w:left w:type="dxa" w:w="160"/>
              <w:bottom w:type="dxa" w:w="100"/>
              <w:right w:type="dxa" w:w="140"/>
            </w:tcMar>
          </w:tcPr>
          <w:p>
            <w:pPr>
              <w:spacing w:after="80"/>
            </w:pPr>
            <w:r>
              <w:rPr>
                <w:b/>
                <w:bCs/>
                <w:color w:val="5B2C83"/>
                <w:sz w:val="20"/>
                <w:szCs w:val="20"/>
              </w:rPr>
              <w:t xml:space="preserve">NORMATIVA HISTÓRICA / VIGENCIA</w:t>
            </w:r>
          </w:p>
          <w:p>
            <w:pPr>
              <w:spacing w:after="60"/>
              <w:jc w:val="both"/>
            </w:pPr>
            <w:r>
              <w:rPr>
                <w:b/>
                <w:bCs/>
                <w:sz w:val="19"/>
                <w:szCs w:val="19"/>
              </w:rPr>
              <w:t xml:space="preserve">Pregunta 435.</w:t>
            </w:r>
            <w:r>
              <w:rPr>
                <w:sz w:val="19"/>
                <w:szCs w:val="19"/>
              </w:rPr>
              <w:t xml:space="preserve"> </w:t>
            </w:r>
            <w:r>
              <w:rPr>
                <w:i/>
                <w:iCs/>
                <w:sz w:val="19"/>
                <w:szCs w:val="19"/>
              </w:rPr>
              <w:t xml:space="preserve">En el examen histórico:</w:t>
            </w:r>
            <w:r>
              <w:rPr>
                <w:sz w:val="19"/>
                <w:szCs w:val="19"/>
              </w:rPr>
              <w:t xml:space="preserve"> clave D. </w:t>
            </w:r>
            <w:r>
              <w:rPr>
                <w:i/>
                <w:iCs/>
                <w:sz w:val="19"/>
                <w:szCs w:val="19"/>
              </w:rPr>
              <w:t xml:space="preserve">Normativa aplicable:</w:t>
            </w:r>
            <w:r>
              <w:rPr>
                <w:sz w:val="19"/>
                <w:szCs w:val="19"/>
              </w:rPr>
              <w:t xml:space="preserve"> LPI con el Título VIII del Libro II (Ley 5/1998) desde 1998. </w:t>
            </w:r>
            <w:r>
              <w:rPr>
                <w:i/>
                <w:iCs/>
                <w:sz w:val="19"/>
                <w:szCs w:val="19"/>
              </w:rPr>
              <w:t xml:space="preserve">Situación actual:</w:t>
            </w:r>
            <w:r>
              <w:rPr>
                <w:sz w:val="19"/>
                <w:szCs w:val="19"/>
              </w:rPr>
              <w:t xml:space="preserve"> el derecho sui generis sigue regulado en los arts. 133-137. </w:t>
            </w:r>
            <w:r>
              <w:rPr>
                <w:i/>
                <w:iCs/>
                <w:sz w:val="19"/>
                <w:szCs w:val="19"/>
              </w:rPr>
              <w:t xml:space="preserve">Cómo estudiarla:</w:t>
            </w:r>
            <w:r>
              <w:rPr>
                <w:sz w:val="19"/>
                <w:szCs w:val="19"/>
              </w:rPr>
              <w:t xml:space="preserve"> respuesta </w:t>
            </w:r>
            <w:r>
              <w:rPr>
                <w:b/>
                <w:bCs/>
                <w:sz w:val="19"/>
                <w:szCs w:val="19"/>
              </w:rPr>
              <w:t xml:space="preserve">A (bases de datos)</w:t>
            </w:r>
            <w:r>
              <w:rPr>
                <w:sz w:val="19"/>
                <w:szCs w:val="19"/>
              </w:rPr>
              <w:t xml:space="preserve">.</w:t>
            </w:r>
          </w:p>
          <w:p>
            <w:pPr>
              <w:spacing w:after="60"/>
              <w:jc w:val="both"/>
            </w:pPr>
            <w:r>
              <w:rPr>
                <w:b/>
                <w:bCs/>
                <w:sz w:val="19"/>
                <w:szCs w:val="19"/>
              </w:rPr>
              <w:t xml:space="preserve">Pregunta 1212.</w:t>
            </w:r>
            <w:r>
              <w:rPr>
                <w:sz w:val="19"/>
                <w:szCs w:val="19"/>
              </w:rPr>
              <w:t xml:space="preserve"> </w:t>
            </w:r>
            <w:r>
              <w:rPr>
                <w:i/>
                <w:iCs/>
                <w:sz w:val="19"/>
                <w:szCs w:val="19"/>
              </w:rPr>
              <w:t xml:space="preserve">En el examen histórico:</w:t>
            </w:r>
            <w:r>
              <w:rPr>
                <w:sz w:val="19"/>
                <w:szCs w:val="19"/>
              </w:rPr>
              <w:t xml:space="preserve"> pudo formularse con la Ley 11/1986 de Patentes. </w:t>
            </w:r>
            <w:r>
              <w:rPr>
                <w:i/>
                <w:iCs/>
                <w:sz w:val="19"/>
                <w:szCs w:val="19"/>
              </w:rPr>
              <w:t xml:space="preserve">Situación actual:</w:t>
            </w:r>
            <w:r>
              <w:rPr>
                <w:sz w:val="19"/>
                <w:szCs w:val="19"/>
              </w:rPr>
              <w:t xml:space="preserve"> Ley 24/2015 mantiene la exclusión del software «como tal». </w:t>
            </w:r>
            <w:r>
              <w:rPr>
                <w:i/>
                <w:iCs/>
                <w:sz w:val="19"/>
                <w:szCs w:val="19"/>
              </w:rPr>
              <w:t xml:space="preserve">Cómo estudiarla:</w:t>
            </w:r>
            <w:r>
              <w:rPr>
                <w:sz w:val="19"/>
                <w:szCs w:val="19"/>
              </w:rPr>
              <w:t xml:space="preserve"> sin cambios en la respuesta.</w:t>
            </w:r>
          </w:p>
          <w:p>
            <w:pPr>
              <w:spacing w:after="60"/>
              <w:jc w:val="both"/>
            </w:pPr>
            <w:r>
              <w:rPr>
                <w:b/>
                <w:bCs/>
                <w:sz w:val="19"/>
                <w:szCs w:val="19"/>
              </w:rPr>
              <w:t xml:space="preserve">Preguntas sobre fraude informático</w:t>
            </w:r>
            <w:r>
              <w:rPr>
                <w:sz w:val="19"/>
                <w:szCs w:val="19"/>
              </w:rPr>
              <w:t xml:space="preserve"> (no presentes en este CSV, pero frecuentes): antes art. 248.2 CP, ahora </w:t>
            </w:r>
            <w:r>
              <w:rPr>
                <w:b/>
                <w:bCs/>
                <w:sz w:val="19"/>
                <w:szCs w:val="19"/>
              </w:rPr>
              <w:t xml:space="preserve">art. 249</w:t>
            </w:r>
            <w:r>
              <w:rPr>
                <w:sz w:val="19"/>
                <w:szCs w:val="19"/>
              </w:rPr>
              <w:t xml:space="preserve"> (LO 14/2022).</w:t>
            </w:r>
          </w:p>
        </w:tc>
      </w:tr>
    </w:tbl>
    <w:p>
      <w:pPr>
        <w:spacing w:after="120"/>
      </w:pPr>
    </w:p>
    <w:p>
      <w:pPr>
        <w:pStyle w:val="Heading1"/>
        <w:keepNext/>
        <w:spacing w:after="200" w:before="360"/>
      </w:pPr>
      <w:r>
        <w:t xml:space="preserve">47. Matriz de cobertura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17"/>
        <w:gridCol w:w="2065"/>
        <w:gridCol w:w="1147"/>
        <w:gridCol w:w="1147"/>
        <w:gridCol w:w="2180"/>
        <w:gridCol w:w="2182"/>
      </w:tblGrid>
      <w:tr>
        <w:trPr>
          <w:tblHeader/>
        </w:trPr>
        <w:tc>
          <w:tcPr>
            <w:tcW w:type="dxa" w:w="91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Pregunta</w:t>
            </w:r>
          </w:p>
        </w:tc>
        <w:tc>
          <w:tcPr>
            <w:tcW w:type="dxa" w:w="2065"/>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Concepto</w:t>
            </w:r>
          </w:p>
        </w:tc>
        <w:tc>
          <w:tcPr>
            <w:tcW w:type="dxa" w:w="114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Cubierta</w:t>
            </w:r>
          </w:p>
        </w:tc>
        <w:tc>
          <w:tcPr>
            <w:tcW w:type="dxa" w:w="1147"/>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Apartado</w:t>
            </w:r>
          </w:p>
        </w:tc>
        <w:tc>
          <w:tcPr>
            <w:tcW w:type="dxa" w:w="21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Norma / fuente</w:t>
            </w:r>
          </w:p>
        </w:tc>
        <w:tc>
          <w:tcPr>
            <w:tcW w:type="dxa" w:w="2182"/>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Observaciones</w:t>
            </w:r>
          </w:p>
        </w:tc>
      </w:tr>
      <w:tr>
        <w:trPr>
          <w:cantSplit/>
        </w:trPr>
        <w:tc>
          <w:tcPr>
            <w:tcW w:type="dxa" w:w="9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190</w:t>
            </w:r>
          </w:p>
        </w:tc>
        <w:tc>
          <w:tcPr>
            <w:tcW w:type="dxa" w:w="20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Licencia concurrente</w:t>
            </w:r>
          </w:p>
        </w:tc>
        <w:tc>
          <w:tcPr>
            <w:tcW w:type="dxa" w:w="11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Completa</w:t>
            </w:r>
          </w:p>
        </w:tc>
        <w:tc>
          <w:tcPr>
            <w:tcW w:type="dxa" w:w="11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7.2, 44</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Práctica contractual</w:t>
            </w:r>
          </w:p>
        </w:tc>
        <w:tc>
          <w:tcPr>
            <w:tcW w:type="dxa" w:w="2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w:t>
            </w:r>
          </w:p>
        </w:tc>
      </w:tr>
      <w:tr>
        <w:trPr>
          <w:cantSplit/>
        </w:trPr>
        <w:tc>
          <w:tcPr>
            <w:tcW w:type="dxa" w:w="9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435</w:t>
            </w:r>
          </w:p>
        </w:tc>
        <w:tc>
          <w:tcPr>
            <w:tcW w:type="dxa" w:w="206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Derecho sui generis</w:t>
            </w:r>
          </w:p>
        </w:tc>
        <w:tc>
          <w:tcPr>
            <w:tcW w:type="dxa" w:w="11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Completa</w:t>
            </w:r>
          </w:p>
        </w:tc>
        <w:tc>
          <w:tcPr>
            <w:tcW w:type="dxa" w:w="11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10.4, 46</w:t>
            </w:r>
          </w:p>
        </w:tc>
        <w:tc>
          <w:tcPr>
            <w:tcW w:type="dxa" w:w="21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LPI arts. 133-137</w:t>
            </w:r>
          </w:p>
        </w:tc>
        <w:tc>
          <w:tcPr>
            <w:tcW w:type="dxa" w:w="21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Clave del CSV errónea</w:t>
            </w:r>
            <w:r>
              <w:rPr>
                <w:sz w:val="18"/>
                <w:szCs w:val="18"/>
              </w:rPr>
              <w:t xml:space="preserve"> (D); correcta A.</w:t>
            </w:r>
          </w:p>
        </w:tc>
      </w:tr>
      <w:tr>
        <w:trPr>
          <w:cantSplit/>
        </w:trPr>
        <w:tc>
          <w:tcPr>
            <w:tcW w:type="dxa" w:w="9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585</w:t>
            </w:r>
          </w:p>
        </w:tc>
        <w:tc>
          <w:tcPr>
            <w:tcW w:type="dxa" w:w="20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Definición informática forense</w:t>
            </w:r>
          </w:p>
        </w:tc>
        <w:tc>
          <w:tcPr>
            <w:tcW w:type="dxa" w:w="11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Completa</w:t>
            </w:r>
          </w:p>
        </w:tc>
        <w:tc>
          <w:tcPr>
            <w:tcW w:type="dxa" w:w="11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27.1</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DFRWS 2001</w:t>
            </w:r>
          </w:p>
        </w:tc>
        <w:tc>
          <w:tcPr>
            <w:tcW w:type="dxa" w:w="2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w:t>
            </w:r>
          </w:p>
        </w:tc>
      </w:tr>
      <w:tr>
        <w:trPr>
          <w:cantSplit/>
        </w:trPr>
        <w:tc>
          <w:tcPr>
            <w:tcW w:type="dxa" w:w="9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918</w:t>
            </w:r>
          </w:p>
        </w:tc>
        <w:tc>
          <w:tcPr>
            <w:tcW w:type="dxa" w:w="206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OVAL</w:t>
            </w:r>
          </w:p>
        </w:tc>
        <w:tc>
          <w:tcPr>
            <w:tcW w:type="dxa" w:w="11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Completa</w:t>
            </w:r>
          </w:p>
        </w:tc>
        <w:tc>
          <w:tcPr>
            <w:tcW w:type="dxa" w:w="11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37</w:t>
            </w:r>
          </w:p>
        </w:tc>
        <w:tc>
          <w:tcPr>
            <w:tcW w:type="dxa" w:w="21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Especificación OVAL</w:t>
            </w:r>
          </w:p>
        </w:tc>
        <w:tc>
          <w:tcPr>
            <w:tcW w:type="dxa" w:w="21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Pregunta imprecisa.</w:t>
            </w:r>
          </w:p>
        </w:tc>
      </w:tr>
      <w:tr>
        <w:trPr>
          <w:cantSplit/>
        </w:trPr>
        <w:tc>
          <w:tcPr>
            <w:tcW w:type="dxa" w:w="9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1212</w:t>
            </w:r>
          </w:p>
        </w:tc>
        <w:tc>
          <w:tcPr>
            <w:tcW w:type="dxa" w:w="20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Patentabilidad software</w:t>
            </w:r>
          </w:p>
        </w:tc>
        <w:tc>
          <w:tcPr>
            <w:tcW w:type="dxa" w:w="11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Completa</w:t>
            </w:r>
          </w:p>
        </w:tc>
        <w:tc>
          <w:tcPr>
            <w:tcW w:type="dxa" w:w="11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2.5</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Ley 24/2015 art. 4; CPE art. 52</w:t>
            </w:r>
          </w:p>
        </w:tc>
        <w:tc>
          <w:tcPr>
            <w:tcW w:type="dxa" w:w="2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w:t>
            </w:r>
          </w:p>
        </w:tc>
      </w:tr>
      <w:tr>
        <w:trPr>
          <w:cantSplit/>
        </w:trPr>
        <w:tc>
          <w:tcPr>
            <w:tcW w:type="dxa" w:w="91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1242</w:t>
            </w:r>
          </w:p>
        </w:tc>
        <w:tc>
          <w:tcPr>
            <w:tcW w:type="dxa" w:w="2065"/>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Patentabilidad en sanidad</w:t>
            </w:r>
          </w:p>
        </w:tc>
        <w:tc>
          <w:tcPr>
            <w:tcW w:type="dxa" w:w="11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Completa</w:t>
            </w:r>
          </w:p>
        </w:tc>
        <w:tc>
          <w:tcPr>
            <w:tcW w:type="dxa" w:w="1147"/>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2.5, 46</w:t>
            </w:r>
          </w:p>
        </w:tc>
        <w:tc>
          <w:tcPr>
            <w:tcW w:type="dxa" w:w="218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Ley 24/2015 arts. 4-5</w:t>
            </w:r>
          </w:p>
        </w:tc>
        <w:tc>
          <w:tcPr>
            <w:tcW w:type="dxa" w:w="218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w:t>
            </w:r>
          </w:p>
        </w:tc>
      </w:tr>
      <w:tr>
        <w:trPr>
          <w:cantSplit/>
        </w:trPr>
        <w:tc>
          <w:tcPr>
            <w:tcW w:type="dxa" w:w="9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1311</w:t>
            </w:r>
          </w:p>
        </w:tc>
        <w:tc>
          <w:tcPr>
            <w:tcW w:type="dxa" w:w="20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Protección de la titularidad</w:t>
            </w:r>
          </w:p>
        </w:tc>
        <w:tc>
          <w:tcPr>
            <w:tcW w:type="dxa" w:w="11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Completa</w:t>
            </w:r>
          </w:p>
        </w:tc>
        <w:tc>
          <w:tcPr>
            <w:tcW w:type="dxa" w:w="114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4, 2.5, 46</w:t>
            </w:r>
          </w:p>
        </w:tc>
        <w:tc>
          <w:tcPr>
            <w:tcW w:type="dxa" w:w="21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LPI 97.4, 101; LCSP 308</w:t>
            </w:r>
          </w:p>
        </w:tc>
        <w:tc>
          <w:tcPr>
            <w:tcW w:type="dxa" w:w="21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Enunciado ambiguo.</w:t>
            </w:r>
          </w:p>
        </w:tc>
      </w:tr>
    </w:tbl>
    <w:p>
      <w:pPr>
        <w:spacing w:after="120"/>
      </w:pPr>
    </w:p>
    <w:p>
      <w:pPr>
        <w:spacing w:after="120"/>
        <w:jc w:val="both"/>
      </w:pPr>
      <w:r>
        <w:rPr>
          <w:b/>
          <w:bCs/>
        </w:rPr>
        <w:t xml:space="preserve">Cobertura: 7 de 7 preguntas (100 %)</w:t>
      </w:r>
      <w:r>
        <w:t xml:space="preserve"> respondibles con el contenido del tema. De ellas, </w:t>
      </w:r>
      <w:r>
        <w:rPr>
          <w:b/>
          <w:bCs/>
        </w:rPr>
        <w:t xml:space="preserve">1</w:t>
      </w:r>
      <w:r>
        <w:t xml:space="preserve"> tiene una clave del CSV que este tema considera </w:t>
      </w:r>
      <w:r>
        <w:rPr>
          <w:b/>
          <w:bCs/>
        </w:rPr>
        <w:t xml:space="preserve">errónea</w:t>
      </w:r>
      <w:r>
        <w:t xml:space="preserve"> (435) y </w:t>
      </w:r>
      <w:r>
        <w:rPr>
          <w:b/>
          <w:bCs/>
        </w:rPr>
        <w:t xml:space="preserve">2</w:t>
      </w:r>
      <w:r>
        <w:t xml:space="preserve"> son </w:t>
      </w:r>
      <w:r>
        <w:rPr>
          <w:b/>
          <w:bCs/>
        </w:rPr>
        <w:t xml:space="preserve">ambiguas o imprecisas</w:t>
      </w:r>
      <w:r>
        <w:t xml:space="preserve"> (918 y 1311). No se ha forzado ninguna respuesta para aumentar la cobertura.</w:t>
      </w:r>
    </w:p>
    <w:p>
      <w:pPr>
        <w:pStyle w:val="Heading1"/>
        <w:keepNext/>
        <w:spacing w:after="200" w:before="360"/>
      </w:pPr>
      <w:r>
        <w:t xml:space="preserve">48. Resumen de alto rendimiento (repaso de última hora)</w:t>
      </w:r>
    </w:p>
    <w:p>
      <w:pPr>
        <w:pStyle w:val="Heading2"/>
        <w:keepNext/>
      </w:pPr>
      <w:r>
        <w:t xml:space="preserve">Normas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0"/>
        <w:gridCol w:w="6868"/>
      </w:tblGrid>
      <w:tr>
        <w:trPr>
          <w:tblHeader/>
        </w:trPr>
        <w:tc>
          <w:tcPr>
            <w:tcW w:type="dxa" w:w="277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Norma</w:t>
            </w:r>
          </w:p>
        </w:tc>
        <w:tc>
          <w:tcPr>
            <w:tcW w:type="dxa" w:w="6868"/>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Qué retener</w:t>
            </w:r>
          </w:p>
        </w:tc>
      </w:tr>
      <w:tr>
        <w:trPr>
          <w:cantSplit/>
        </w:trPr>
        <w:tc>
          <w:tcPr>
            <w:tcW w:type="dxa" w:w="27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RDL 1/1996 (LPI)</w:t>
            </w:r>
          </w:p>
        </w:tc>
        <w:tc>
          <w:tcPr>
            <w:tcW w:type="dxa" w:w="68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Software arts. 95-104; BD art. 12 y 133-137 (sui generis, 15 años); límites art. 100; asalariado 97.4.</w:t>
            </w:r>
          </w:p>
        </w:tc>
      </w:tr>
      <w:tr>
        <w:trPr>
          <w:cantSplit/>
        </w:trPr>
        <w:tc>
          <w:tcPr>
            <w:tcW w:type="dxa" w:w="27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Directivas UE</w:t>
            </w:r>
          </w:p>
        </w:tc>
        <w:tc>
          <w:tcPr>
            <w:tcW w:type="dxa" w:w="68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2009/24/CE (programas); 96/9/CE (BD); 2001/29/CE (InfoSoc); 2019/790 (DSM).</w:t>
            </w:r>
          </w:p>
        </w:tc>
      </w:tr>
      <w:tr>
        <w:trPr>
          <w:cantSplit/>
        </w:trPr>
        <w:tc>
          <w:tcPr>
            <w:tcW w:type="dxa" w:w="27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Ley 24/2015 + RD 316/2017</w:t>
            </w:r>
          </w:p>
        </w:tc>
        <w:tc>
          <w:tcPr>
            <w:tcW w:type="dxa" w:w="68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Software «como tal» no patentable; sí con contribución técnica; patente 20 años.</w:t>
            </w:r>
          </w:p>
        </w:tc>
      </w:tr>
      <w:tr>
        <w:trPr>
          <w:cantSplit/>
        </w:trPr>
        <w:tc>
          <w:tcPr>
            <w:tcW w:type="dxa" w:w="27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Ley 34/2002 (LSSI)</w:t>
            </w:r>
          </w:p>
        </w:tc>
        <w:tc>
          <w:tcPr>
            <w:tcW w:type="dxa" w:w="68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Intermediarios 13-17 (conocimiento efectivo); spam 21; cookies 22.2; contratación 23-29; sanciones hasta 600.000 €.</w:t>
            </w:r>
          </w:p>
        </w:tc>
      </w:tr>
      <w:tr>
        <w:trPr>
          <w:cantSplit/>
        </w:trPr>
        <w:tc>
          <w:tcPr>
            <w:tcW w:type="dxa" w:w="27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Reglamento 2022/2065 (DSA)</w:t>
            </w:r>
          </w:p>
        </w:tc>
        <w:tc>
          <w:tcPr>
            <w:tcW w:type="dxa" w:w="68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Aplicable desde 17/02/2024; mera transmisión, caché y alojamiento (arts. 4-6).</w:t>
            </w:r>
          </w:p>
        </w:tc>
      </w:tr>
      <w:tr>
        <w:trPr>
          <w:cantSplit/>
        </w:trPr>
        <w:tc>
          <w:tcPr>
            <w:tcW w:type="dxa" w:w="27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RGPD + LOPDGDD + LO 7/2021</w:t>
            </w:r>
          </w:p>
        </w:tc>
        <w:tc>
          <w:tcPr>
            <w:tcW w:type="dxa" w:w="68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Datos de salud = especiales; brecha 72 h; seudonimizado sigue siendo personal.</w:t>
            </w:r>
          </w:p>
        </w:tc>
      </w:tr>
      <w:tr>
        <w:trPr>
          <w:cantSplit/>
        </w:trPr>
        <w:tc>
          <w:tcPr>
            <w:tcW w:type="dxa" w:w="27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eIDAS (910/2014 + 2024/1183) + Ley 6/2020</w:t>
            </w:r>
          </w:p>
        </w:tc>
        <w:tc>
          <w:tcPr>
            <w:tcW w:type="dxa" w:w="68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Simple, avanzada, cualificada (= manuscrita); sello = persona jurídica; Ley 59/2003 derogada.</w:t>
            </w:r>
          </w:p>
        </w:tc>
      </w:tr>
      <w:tr>
        <w:trPr>
          <w:cantSplit/>
        </w:trPr>
        <w:tc>
          <w:tcPr>
            <w:tcW w:type="dxa" w:w="27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Ley 11/2022 + Ley 25/2007</w:t>
            </w:r>
          </w:p>
        </w:tc>
        <w:tc>
          <w:tcPr>
            <w:tcW w:type="dxa" w:w="68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Telecomunicaciones (deroga Ley 9/2014); conservación de datos de tráfico 12 meses.</w:t>
            </w:r>
          </w:p>
        </w:tc>
      </w:tr>
      <w:tr>
        <w:trPr>
          <w:cantSplit/>
        </w:trPr>
        <w:tc>
          <w:tcPr>
            <w:tcW w:type="dxa" w:w="27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Código Penal</w:t>
            </w:r>
          </w:p>
        </w:tc>
        <w:tc>
          <w:tcPr>
            <w:tcW w:type="dxa" w:w="68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197 (intimidad), 197 bis (acceso/interceptación), 198 (funcionario), 199 (secreto profesional), 264-264 quater (daños/obstaculización), 249 (estafa informática), 270 (PI).</w:t>
            </w:r>
          </w:p>
        </w:tc>
      </w:tr>
      <w:tr>
        <w:trPr>
          <w:cantSplit/>
        </w:trPr>
        <w:tc>
          <w:tcPr>
            <w:tcW w:type="dxa" w:w="27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LECrim (LO 13/2015)</w:t>
            </w:r>
          </w:p>
        </w:tc>
        <w:tc>
          <w:tcPr>
            <w:tcW w:type="dxa" w:w="68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Arts. 588 bis-588 octies: registro de dispositivos (sexies), registros remotos (septies), conservación de datos 90 días (octies).</w:t>
            </w:r>
          </w:p>
        </w:tc>
      </w:tr>
      <w:tr>
        <w:trPr>
          <w:cantSplit/>
        </w:trPr>
        <w:tc>
          <w:tcPr>
            <w:tcW w:type="dxa" w:w="27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Convenio de Budapest</w:t>
            </w:r>
          </w:p>
        </w:tc>
        <w:tc>
          <w:tcPr>
            <w:tcW w:type="dxa" w:w="68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2001 / 2004 / España 2010; 2.º Protocolo firmado 2022.</w:t>
            </w:r>
          </w:p>
        </w:tc>
      </w:tr>
      <w:tr>
        <w:trPr>
          <w:cantSplit/>
        </w:trPr>
        <w:tc>
          <w:tcPr>
            <w:tcW w:type="dxa" w:w="277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Reglamento 2023/1543 (e-evidence)</w:t>
            </w:r>
          </w:p>
        </w:tc>
        <w:tc>
          <w:tcPr>
            <w:tcW w:type="dxa" w:w="6868"/>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Aplicable 18/08/2026; órdenes europeas de producción (10 días / 8 h) y conservación.</w:t>
            </w:r>
          </w:p>
        </w:tc>
      </w:tr>
    </w:tbl>
    <w:p>
      <w:pPr>
        <w:spacing w:after="120"/>
      </w:pPr>
    </w:p>
    <w:p>
      <w:pPr>
        <w:pStyle w:val="Heading2"/>
        <w:keepNext/>
      </w:pPr>
      <w:r>
        <w:t xml:space="preserve">Conceptos y fases</w:t>
      </w:r>
    </w:p>
    <w:p>
      <w:pPr>
        <w:pStyle w:val="ListParagraph"/>
        <w:numPr>
          <w:ilvl w:val="0"/>
          <w:numId w:val="2"/>
        </w:numPr>
        <w:spacing w:after="60"/>
      </w:pPr>
      <w:r>
        <w:rPr>
          <w:b/>
          <w:bCs/>
        </w:rPr>
        <w:t xml:space="preserve">Licencias</w:t>
      </w:r>
      <w:r>
        <w:t xml:space="preserve">: libre ≠ gratuito; concurrente = usuarios simultáneos; OEM = ligada al hardware; GPL copyleft fuerte, LGPL débil, AGPL red; MIT/BSD/Apache permisivas; EUPL de la UE.</w:t>
      </w:r>
    </w:p>
    <w:p>
      <w:pPr>
        <w:pStyle w:val="ListParagraph"/>
        <w:numPr>
          <w:ilvl w:val="0"/>
          <w:numId w:val="2"/>
        </w:numPr>
        <w:spacing w:after="60"/>
      </w:pPr>
      <w:r>
        <w:rPr>
          <w:b/>
          <w:bCs/>
        </w:rPr>
        <w:t xml:space="preserve">Forense</w:t>
      </w:r>
      <w:r>
        <w:t xml:space="preserve">: identificación → preservación → adquisición → verificación → examen → análisis → informe → presentación.</w:t>
      </w:r>
    </w:p>
    <w:p>
      <w:pPr>
        <w:pStyle w:val="ListParagraph"/>
        <w:numPr>
          <w:ilvl w:val="0"/>
          <w:numId w:val="2"/>
        </w:numPr>
        <w:spacing w:after="60"/>
      </w:pPr>
      <w:r>
        <w:rPr>
          <w:b/>
          <w:bCs/>
        </w:rPr>
        <w:t xml:space="preserve">Evidencia</w:t>
      </w:r>
      <w:r>
        <w:t xml:space="preserve">: original → adquisición → hash/documentación → almacenamiento → análisis sobre copia → informe.</w:t>
      </w:r>
    </w:p>
    <w:p>
      <w:pPr>
        <w:pStyle w:val="ListParagraph"/>
        <w:numPr>
          <w:ilvl w:val="0"/>
          <w:numId w:val="2"/>
        </w:numPr>
        <w:spacing w:after="60"/>
      </w:pPr>
      <w:r>
        <w:rPr>
          <w:b/>
          <w:bCs/>
        </w:rPr>
        <w:t xml:space="preserve">Volatilidad</w:t>
      </w:r>
      <w:r>
        <w:t xml:space="preserve"> (RFC 3227): CPU → RAM/red/procesos → temporales → disco → logs remotos → topología → archivos.</w:t>
      </w:r>
    </w:p>
    <w:p>
      <w:pPr>
        <w:pStyle w:val="ListParagraph"/>
        <w:numPr>
          <w:ilvl w:val="0"/>
          <w:numId w:val="2"/>
        </w:numPr>
        <w:spacing w:after="60"/>
      </w:pPr>
      <w:r>
        <w:rPr>
          <w:b/>
          <w:bCs/>
        </w:rPr>
        <w:t xml:space="preserve">Hashes</w:t>
      </w:r>
      <w:r>
        <w:t xml:space="preserve">: MD5 128, SHA-1 160, SHA-256 256, SHA-512 512 bits; usar SHA-256/512.</w:t>
      </w:r>
    </w:p>
    <w:p>
      <w:pPr>
        <w:pStyle w:val="ListParagraph"/>
        <w:numPr>
          <w:ilvl w:val="0"/>
          <w:numId w:val="2"/>
        </w:numPr>
        <w:spacing w:after="60"/>
      </w:pPr>
      <w:r>
        <w:rPr>
          <w:b/>
          <w:bCs/>
        </w:rPr>
        <w:t xml:space="preserve">MACB</w:t>
      </w:r>
      <w:r>
        <w:t xml:space="preserve">: Modified, Accessed, Changed (metadatos), Born (creación).</w:t>
      </w:r>
    </w:p>
    <w:p>
      <w:pPr>
        <w:pStyle w:val="ListParagraph"/>
        <w:numPr>
          <w:ilvl w:val="0"/>
          <w:numId w:val="2"/>
        </w:numPr>
        <w:spacing w:after="60"/>
      </w:pPr>
      <w:r>
        <w:rPr>
          <w:b/>
          <w:bCs/>
        </w:rPr>
        <w:t xml:space="preserve">ISO/IEC</w:t>
      </w:r>
      <w:r>
        <w:t xml:space="preserve">: 27037 (recolección), 27041 (validación métodos), 27042 (análisis), 27043 (procesos); </w:t>
      </w:r>
      <w:r>
        <w:rPr>
          <w:b/>
          <w:bCs/>
        </w:rPr>
        <w:t xml:space="preserve">NIST</w:t>
      </w:r>
      <w:r>
        <w:t xml:space="preserve"> 800-86 (4 fases), 800-101 (móviles); </w:t>
      </w:r>
      <w:r>
        <w:rPr>
          <w:b/>
          <w:bCs/>
        </w:rPr>
        <w:t xml:space="preserve">UNE</w:t>
      </w:r>
      <w:r>
        <w:t xml:space="preserve"> 71506 (metodología), 197010 (informes).</w:t>
      </w:r>
    </w:p>
    <w:p>
      <w:pPr>
        <w:pStyle w:val="Heading1"/>
        <w:keepNext/>
        <w:pageBreakBefore/>
        <w:spacing w:after="200" w:before="360"/>
      </w:pPr>
      <w:r>
        <w:t xml:space="preserve">49. Bibliografía y fuentes</w:t>
      </w:r>
    </w:p>
    <w:p>
      <w:pPr>
        <w:pStyle w:val="Heading2"/>
        <w:keepNext/>
      </w:pPr>
      <w:r>
        <w:t xml:space="preserve">49.1 Legislación española (BOE, enlaces ELI)</w:t>
      </w:r>
    </w:p>
    <w:p>
      <w:pPr>
        <w:pStyle w:val="ListParagraph"/>
        <w:numPr>
          <w:ilvl w:val="0"/>
          <w:numId w:val="2"/>
        </w:numPr>
        <w:spacing w:after="60"/>
      </w:pPr>
      <w:r>
        <w:t xml:space="preserve">RDL 1/1996, texto refundido de la Ley de Propiedad Intelectual — https://www.boe.es/eli/es/rdlg/1996/04/12/1</w:t>
      </w:r>
    </w:p>
    <w:p>
      <w:pPr>
        <w:pStyle w:val="ListParagraph"/>
        <w:numPr>
          <w:ilvl w:val="0"/>
          <w:numId w:val="2"/>
        </w:numPr>
        <w:spacing w:after="60"/>
      </w:pPr>
      <w:r>
        <w:t xml:space="preserve">Ley 5/1998, de incorporación de la Directiva 96/9/CE — https://www.boe.es/eli/es/l/1998/03/06/5</w:t>
      </w:r>
    </w:p>
    <w:p>
      <w:pPr>
        <w:pStyle w:val="ListParagraph"/>
        <w:numPr>
          <w:ilvl w:val="0"/>
          <w:numId w:val="2"/>
        </w:numPr>
        <w:spacing w:after="60"/>
      </w:pPr>
      <w:r>
        <w:t xml:space="preserve">LO 10/1995, del Código Penal — https://www.boe.es/eli/es/lo/1995/11/23/10</w:t>
      </w:r>
    </w:p>
    <w:p>
      <w:pPr>
        <w:pStyle w:val="ListParagraph"/>
        <w:numPr>
          <w:ilvl w:val="0"/>
          <w:numId w:val="2"/>
        </w:numPr>
        <w:spacing w:after="60"/>
      </w:pPr>
      <w:r>
        <w:t xml:space="preserve">Ley 34/2002 (LSSI) — https://www.boe.es/eli/es/l/2002/07/11/34</w:t>
      </w:r>
    </w:p>
    <w:p>
      <w:pPr>
        <w:pStyle w:val="ListParagraph"/>
        <w:numPr>
          <w:ilvl w:val="0"/>
          <w:numId w:val="2"/>
        </w:numPr>
        <w:spacing w:after="60"/>
      </w:pPr>
      <w:r>
        <w:t xml:space="preserve">LO 3/2018 (LOPDGDD) — https://www.boe.es/eli/es/lo/2018/12/05/3</w:t>
      </w:r>
    </w:p>
    <w:p>
      <w:pPr>
        <w:pStyle w:val="ListParagraph"/>
        <w:numPr>
          <w:ilvl w:val="0"/>
          <w:numId w:val="2"/>
        </w:numPr>
        <w:spacing w:after="60"/>
      </w:pPr>
      <w:r>
        <w:t xml:space="preserve">LO 7/2021 (datos en el ámbito penal) — https://www.boe.es/eli/es/lo/2021/05/26/7</w:t>
      </w:r>
    </w:p>
    <w:p>
      <w:pPr>
        <w:pStyle w:val="ListParagraph"/>
        <w:numPr>
          <w:ilvl w:val="0"/>
          <w:numId w:val="2"/>
        </w:numPr>
        <w:spacing w:after="60"/>
      </w:pPr>
      <w:r>
        <w:t xml:space="preserve">Ley 6/2020 (servicios electrónicos de confianza) — https://www.boe.es/eli/es/l/2020/11/11/6</w:t>
      </w:r>
    </w:p>
    <w:p>
      <w:pPr>
        <w:pStyle w:val="ListParagraph"/>
        <w:numPr>
          <w:ilvl w:val="0"/>
          <w:numId w:val="2"/>
        </w:numPr>
        <w:spacing w:after="60"/>
      </w:pPr>
      <w:r>
        <w:t xml:space="preserve">Ley 24/2015, de Patentes — https://www.boe.es/eli/es/l/2015/07/24/24</w:t>
      </w:r>
    </w:p>
    <w:p>
      <w:pPr>
        <w:pStyle w:val="ListParagraph"/>
        <w:numPr>
          <w:ilvl w:val="0"/>
          <w:numId w:val="2"/>
        </w:numPr>
        <w:spacing w:after="60"/>
      </w:pPr>
      <w:r>
        <w:t xml:space="preserve">Ley 11/2022, General de Telecomunicaciones — https://www.boe.es/eli/es/l/2022/06/28/11</w:t>
      </w:r>
    </w:p>
    <w:p>
      <w:pPr>
        <w:pStyle w:val="ListParagraph"/>
        <w:numPr>
          <w:ilvl w:val="0"/>
          <w:numId w:val="2"/>
        </w:numPr>
        <w:spacing w:after="60"/>
      </w:pPr>
      <w:r>
        <w:t xml:space="preserve">Ley 25/2007, de conservación de datos — https://www.boe.es/eli/es/l/2007/10/18/25</w:t>
      </w:r>
    </w:p>
    <w:p>
      <w:pPr>
        <w:pStyle w:val="ListParagraph"/>
        <w:numPr>
          <w:ilvl w:val="0"/>
          <w:numId w:val="2"/>
        </w:numPr>
        <w:spacing w:after="60"/>
      </w:pPr>
      <w:r>
        <w:t xml:space="preserve">Ley 1/2000, de Enjuiciamiento Civil — https://www.boe.es/eli/es/l/2000/01/07/1</w:t>
      </w:r>
    </w:p>
    <w:p>
      <w:pPr>
        <w:pStyle w:val="ListParagraph"/>
        <w:numPr>
          <w:ilvl w:val="0"/>
          <w:numId w:val="2"/>
        </w:numPr>
        <w:spacing w:after="60"/>
      </w:pPr>
      <w:r>
        <w:t xml:space="preserve">Ley de Enjuiciamiento Criminal (RD de 14/09/1882, texto consolidado en boe.es)</w:t>
      </w:r>
    </w:p>
    <w:p>
      <w:pPr>
        <w:pStyle w:val="ListParagraph"/>
        <w:numPr>
          <w:ilvl w:val="0"/>
          <w:numId w:val="2"/>
        </w:numPr>
        <w:spacing w:after="60"/>
      </w:pPr>
      <w:r>
        <w:t xml:space="preserve">Ley 40/2015, de Régimen Jurídico del Sector Público — https://www.boe.es/eli/es/l/2015/10/01/40</w:t>
      </w:r>
    </w:p>
    <w:p>
      <w:pPr>
        <w:pStyle w:val="ListParagraph"/>
        <w:numPr>
          <w:ilvl w:val="0"/>
          <w:numId w:val="2"/>
        </w:numPr>
        <w:spacing w:after="60"/>
      </w:pPr>
      <w:r>
        <w:t xml:space="preserve">Ley 9/2017, de Contratos del Sector Público — https://www.boe.es/eli/es/l/2017/11/08/9</w:t>
      </w:r>
    </w:p>
    <w:p>
      <w:pPr>
        <w:pStyle w:val="ListParagraph"/>
        <w:numPr>
          <w:ilvl w:val="0"/>
          <w:numId w:val="2"/>
        </w:numPr>
        <w:spacing w:after="60"/>
      </w:pPr>
      <w:r>
        <w:t xml:space="preserve">RD 311/2022, Esquema Nacional de Seguridad — https://www.boe.es/eli/es/rd/2022/05/03/311</w:t>
      </w:r>
    </w:p>
    <w:p>
      <w:pPr>
        <w:pStyle w:val="ListParagraph"/>
        <w:numPr>
          <w:ilvl w:val="0"/>
          <w:numId w:val="2"/>
        </w:numPr>
        <w:spacing w:after="60"/>
      </w:pPr>
      <w:r>
        <w:t xml:space="preserve">RD 4/2010, Esquema Nacional de Interoperabilidad — https://www.boe.es/eli/es/rd/2010/01/08/4</w:t>
      </w:r>
    </w:p>
    <w:p>
      <w:pPr>
        <w:pStyle w:val="ListParagraph"/>
        <w:numPr>
          <w:ilvl w:val="0"/>
          <w:numId w:val="2"/>
        </w:numPr>
        <w:spacing w:after="60"/>
      </w:pPr>
      <w:r>
        <w:t xml:space="preserve">Ley 41/2002, de autonomía del paciente — https://www.boe.es/eli/es/l/2002/11/14/41</w:t>
      </w:r>
    </w:p>
    <w:p>
      <w:pPr>
        <w:pStyle w:val="ListParagraph"/>
        <w:numPr>
          <w:ilvl w:val="0"/>
          <w:numId w:val="2"/>
        </w:numPr>
        <w:spacing w:after="60"/>
      </w:pPr>
      <w:r>
        <w:t xml:space="preserve">Ley 1/2019, de Secretos Empresariales — https://www.boe.es/eli/es/l/2019/02/20/1</w:t>
      </w:r>
    </w:p>
    <w:p>
      <w:pPr>
        <w:pStyle w:val="ListParagraph"/>
        <w:numPr>
          <w:ilvl w:val="0"/>
          <w:numId w:val="2"/>
        </w:numPr>
        <w:spacing w:after="60"/>
      </w:pPr>
      <w:r>
        <w:t xml:space="preserve">RDL 5/2015 (TREBEP) — https://www.boe.es/eli/es/rdlg/2015/10/30/5</w:t>
      </w:r>
    </w:p>
    <w:p>
      <w:pPr>
        <w:pStyle w:val="ListParagraph"/>
        <w:numPr>
          <w:ilvl w:val="0"/>
          <w:numId w:val="2"/>
        </w:numPr>
        <w:spacing w:after="60"/>
      </w:pPr>
      <w:r>
        <w:t xml:space="preserve">Ley 55/2003, Estatuto Marco del personal estatutario — https://www.boe.es/eli/es/l/2003/12/16/55</w:t>
      </w:r>
    </w:p>
    <w:p>
      <w:pPr>
        <w:pStyle w:val="Heading2"/>
        <w:keepNext/>
      </w:pPr>
      <w:r>
        <w:t xml:space="preserve">49.2 Legislación europea (EUR-Lex)</w:t>
      </w:r>
    </w:p>
    <w:p>
      <w:pPr>
        <w:pStyle w:val="ListParagraph"/>
        <w:numPr>
          <w:ilvl w:val="0"/>
          <w:numId w:val="2"/>
        </w:numPr>
        <w:spacing w:after="60"/>
      </w:pPr>
      <w:r>
        <w:t xml:space="preserve">Directiva 2009/24/CE (programas de ordenador) — https://eur-lex.europa.eu/eli/dir/2009/24/oj</w:t>
      </w:r>
    </w:p>
    <w:p>
      <w:pPr>
        <w:pStyle w:val="ListParagraph"/>
        <w:numPr>
          <w:ilvl w:val="0"/>
          <w:numId w:val="2"/>
        </w:numPr>
        <w:spacing w:after="60"/>
      </w:pPr>
      <w:r>
        <w:t xml:space="preserve">Directiva 96/9/CE (bases de datos) — https://eur-lex.europa.eu/eli/dir/1996/9/oj</w:t>
      </w:r>
    </w:p>
    <w:p>
      <w:pPr>
        <w:pStyle w:val="ListParagraph"/>
        <w:numPr>
          <w:ilvl w:val="0"/>
          <w:numId w:val="2"/>
        </w:numPr>
        <w:spacing w:after="60"/>
      </w:pPr>
      <w:r>
        <w:t xml:space="preserve">Directiva (UE) 2019/790 (mercado único digital) — https://eur-lex.europa.eu/eli/dir/2019/790/oj</w:t>
      </w:r>
    </w:p>
    <w:p>
      <w:pPr>
        <w:pStyle w:val="ListParagraph"/>
        <w:numPr>
          <w:ilvl w:val="0"/>
          <w:numId w:val="2"/>
        </w:numPr>
        <w:spacing w:after="60"/>
      </w:pPr>
      <w:r>
        <w:t xml:space="preserve">Reglamento (UE) 2016/679 (RGPD) — https://eur-lex.europa.eu/eli/reg/2016/679/oj</w:t>
      </w:r>
    </w:p>
    <w:p>
      <w:pPr>
        <w:pStyle w:val="ListParagraph"/>
        <w:numPr>
          <w:ilvl w:val="0"/>
          <w:numId w:val="2"/>
        </w:numPr>
        <w:spacing w:after="60"/>
      </w:pPr>
      <w:r>
        <w:t xml:space="preserve">Reglamento (UE) 910/2014 (eIDAS) — https://eur-lex.europa.eu/eli/reg/2014/910/oj</w:t>
      </w:r>
    </w:p>
    <w:p>
      <w:pPr>
        <w:pStyle w:val="ListParagraph"/>
        <w:numPr>
          <w:ilvl w:val="0"/>
          <w:numId w:val="2"/>
        </w:numPr>
        <w:spacing w:after="60"/>
      </w:pPr>
      <w:r>
        <w:t xml:space="preserve">Reglamento (UE) 2024/1183 (eIDAS2) — https://eur-lex.europa.eu/eli/reg/2024/1183/oj</w:t>
      </w:r>
    </w:p>
    <w:p>
      <w:pPr>
        <w:pStyle w:val="ListParagraph"/>
        <w:numPr>
          <w:ilvl w:val="0"/>
          <w:numId w:val="2"/>
        </w:numPr>
        <w:spacing w:after="60"/>
      </w:pPr>
      <w:r>
        <w:t xml:space="preserve">Reglamento (UE) 2022/2065 (DSA) — https://eur-lex.europa.eu/eli/reg/2022/2065/oj</w:t>
      </w:r>
    </w:p>
    <w:p>
      <w:pPr>
        <w:pStyle w:val="ListParagraph"/>
        <w:numPr>
          <w:ilvl w:val="0"/>
          <w:numId w:val="2"/>
        </w:numPr>
        <w:spacing w:after="60"/>
      </w:pPr>
      <w:r>
        <w:t xml:space="preserve">Reglamento (UE) 2023/1543 (e-evidence) — https://eur-lex.europa.eu/eli/reg/2023/1543/oj</w:t>
      </w:r>
    </w:p>
    <w:p>
      <w:pPr>
        <w:pStyle w:val="ListParagraph"/>
        <w:numPr>
          <w:ilvl w:val="0"/>
          <w:numId w:val="2"/>
        </w:numPr>
        <w:spacing w:after="60"/>
      </w:pPr>
      <w:r>
        <w:t xml:space="preserve">Reglamento (UE) 2023/2854 (Data Act) — https://eur-lex.europa.eu/eli/reg/2023/2854/oj</w:t>
      </w:r>
    </w:p>
    <w:p>
      <w:pPr>
        <w:pStyle w:val="ListParagraph"/>
        <w:numPr>
          <w:ilvl w:val="0"/>
          <w:numId w:val="2"/>
        </w:numPr>
        <w:spacing w:after="60"/>
      </w:pPr>
      <w:r>
        <w:t xml:space="preserve">Reglamento (UE) 2025/327 (EHDS) — https://eur-lex.europa.eu/eli/reg/2025/327/oj</w:t>
      </w:r>
    </w:p>
    <w:p>
      <w:pPr>
        <w:pStyle w:val="ListParagraph"/>
        <w:numPr>
          <w:ilvl w:val="0"/>
          <w:numId w:val="2"/>
        </w:numPr>
        <w:spacing w:after="60"/>
      </w:pPr>
      <w:r>
        <w:t xml:space="preserve">Directiva 2013/40/UE (ataques contra sistemas de información) — https://eur-lex.europa.eu/eli/dir/2013/40/oj</w:t>
      </w:r>
    </w:p>
    <w:p>
      <w:pPr>
        <w:pStyle w:val="Heading2"/>
        <w:keepNext/>
      </w:pPr>
      <w:r>
        <w:t xml:space="preserve">49.3 Normas, estándares y fuentes internacionales</w:t>
      </w:r>
    </w:p>
    <w:p>
      <w:pPr>
        <w:pStyle w:val="ListParagraph"/>
        <w:numPr>
          <w:ilvl w:val="0"/>
          <w:numId w:val="2"/>
        </w:numPr>
        <w:spacing w:after="60"/>
      </w:pPr>
      <w:r>
        <w:t xml:space="preserve">Consejo de Europa: Convenio sobre la Ciberdelincuencia (ETS n.º 185) y Protocolos (ETS 189, CETS 224) — https://www.coe.int/cybercrime</w:t>
      </w:r>
    </w:p>
    <w:p>
      <w:pPr>
        <w:pStyle w:val="ListParagraph"/>
        <w:numPr>
          <w:ilvl w:val="0"/>
          <w:numId w:val="2"/>
        </w:numPr>
        <w:spacing w:after="60"/>
      </w:pPr>
      <w:r>
        <w:t xml:space="preserve">ISO/IEC 27037:2012, 27041:2015, 27042:2015, 27043:2015 — https://www.iso.org</w:t>
      </w:r>
    </w:p>
    <w:p>
      <w:pPr>
        <w:pStyle w:val="ListParagraph"/>
        <w:numPr>
          <w:ilvl w:val="0"/>
          <w:numId w:val="2"/>
        </w:numPr>
        <w:spacing w:after="60"/>
      </w:pPr>
      <w:r>
        <w:t xml:space="preserve">NIST SP 800-86; SP 800-101 Rev. 1; SP 800-61 Rev. 3 — https://csrc.nist.gov</w:t>
      </w:r>
    </w:p>
    <w:p>
      <w:pPr>
        <w:pStyle w:val="ListParagraph"/>
        <w:numPr>
          <w:ilvl w:val="0"/>
          <w:numId w:val="2"/>
        </w:numPr>
        <w:spacing w:after="60"/>
      </w:pPr>
      <w:r>
        <w:t xml:space="preserve">IETF RFC 3227, RFC 7208 (SPF), RFC 6376 (DKIM), RFC 7489 (DMARC) — https://www.rfc-editor.org</w:t>
      </w:r>
    </w:p>
    <w:p>
      <w:pPr>
        <w:pStyle w:val="ListParagraph"/>
        <w:numPr>
          <w:ilvl w:val="0"/>
          <w:numId w:val="2"/>
        </w:numPr>
        <w:spacing w:after="60"/>
      </w:pPr>
      <w:r>
        <w:t xml:space="preserve">UNE 71506:2013 y UNE 197010:2015 — https://www.une.org</w:t>
      </w:r>
    </w:p>
    <w:p>
      <w:pPr>
        <w:pStyle w:val="ListParagraph"/>
        <w:numPr>
          <w:ilvl w:val="0"/>
          <w:numId w:val="2"/>
        </w:numPr>
        <w:spacing w:after="60"/>
      </w:pPr>
      <w:r>
        <w:t xml:space="preserve">OMPI/WIPO: Tratado de la OMPI sobre Derecho de Autor (1996) — https://www.wipo.int</w:t>
      </w:r>
    </w:p>
    <w:p>
      <w:pPr>
        <w:pStyle w:val="ListParagraph"/>
        <w:numPr>
          <w:ilvl w:val="0"/>
          <w:numId w:val="2"/>
        </w:numPr>
        <w:spacing w:after="60"/>
      </w:pPr>
      <w:r>
        <w:t xml:space="preserve">Free Software Foundation (definición de software libre) y Open Source Initiative (Open Source Definition).</w:t>
      </w:r>
    </w:p>
    <w:p>
      <w:pPr>
        <w:pStyle w:val="Heading2"/>
        <w:keepNext/>
      </w:pPr>
      <w:r>
        <w:t xml:space="preserve">49.4 Fuentes oficiales institucionales</w:t>
      </w:r>
    </w:p>
    <w:p>
      <w:pPr>
        <w:pStyle w:val="ListParagraph"/>
        <w:numPr>
          <w:ilvl w:val="0"/>
          <w:numId w:val="2"/>
        </w:numPr>
        <w:spacing w:after="60"/>
      </w:pPr>
      <w:r>
        <w:t xml:space="preserve">AEPD: Guía sobre el uso de las cookies (2023) y guías de brechas — https://www.aepd.es</w:t>
      </w:r>
    </w:p>
    <w:p>
      <w:pPr>
        <w:pStyle w:val="ListParagraph"/>
        <w:numPr>
          <w:ilvl w:val="0"/>
          <w:numId w:val="2"/>
        </w:numPr>
        <w:spacing w:after="60"/>
      </w:pPr>
      <w:r>
        <w:t xml:space="preserve">CCN-CERT (guías CCN-STIC, ENS) — https://www.ccn-cert.cni.es</w:t>
      </w:r>
    </w:p>
    <w:p>
      <w:pPr>
        <w:pStyle w:val="ListParagraph"/>
        <w:numPr>
          <w:ilvl w:val="0"/>
          <w:numId w:val="2"/>
        </w:numPr>
        <w:spacing w:after="60"/>
      </w:pPr>
      <w:r>
        <w:t xml:space="preserve">INCIBE — https://www.incibe.es</w:t>
      </w:r>
    </w:p>
    <w:p>
      <w:pPr>
        <w:pStyle w:val="ListParagraph"/>
        <w:numPr>
          <w:ilvl w:val="0"/>
          <w:numId w:val="2"/>
        </w:numPr>
        <w:spacing w:after="60"/>
      </w:pPr>
      <w:r>
        <w:t xml:space="preserve">Fiscalía General del Estado: Circular 3/2017 (delitos de descubrimiento y revelación de secretos y daños informáticos) y circulares de 2019 sobre diligencias de investigación tecnológica — https://www.fiscal.es</w:t>
      </w:r>
    </w:p>
    <w:p>
      <w:pPr>
        <w:pStyle w:val="ListParagraph"/>
        <w:numPr>
          <w:ilvl w:val="0"/>
          <w:numId w:val="2"/>
        </w:numPr>
        <w:spacing w:after="60"/>
      </w:pPr>
      <w:r>
        <w:t xml:space="preserve">Ministerio de Justicia: anteproyecto de ley de adaptación al Reglamento e-evidence (2026) — https://www.mjusticia.gob.es</w:t>
      </w:r>
    </w:p>
    <w:p>
      <w:pPr>
        <w:pStyle w:val="ListParagraph"/>
        <w:numPr>
          <w:ilvl w:val="0"/>
          <w:numId w:val="2"/>
        </w:numPr>
        <w:spacing w:after="60"/>
      </w:pPr>
      <w:r>
        <w:t xml:space="preserve">Junta de Andalucía / Servicio Andaluz de Salud — https://www.sspa.juntadeandalucia.es/servicioandaluzdesalud</w:t>
      </w:r>
    </w:p>
    <w:p>
      <w:pPr>
        <w:pStyle w:val="Heading1"/>
        <w:keepNext/>
        <w:spacing w:after="200" w:before="360"/>
      </w:pPr>
      <w:r>
        <w:t xml:space="preserve">50. Informe final de calidad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2"/>
        <w:gridCol w:w="6506"/>
      </w:tblGrid>
      <w:tr>
        <w:trPr>
          <w:tblHeader/>
        </w:trPr>
        <w:tc>
          <w:tcPr>
            <w:tcW w:type="dxa" w:w="3132"/>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Indicador</w:t>
            </w:r>
          </w:p>
        </w:tc>
        <w:tc>
          <w:tcPr>
            <w:tcW w:type="dxa" w:w="650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40"/>
              <w:jc w:val="left"/>
            </w:pPr>
            <w:r>
              <w:rPr>
                <w:b/>
                <w:bCs/>
                <w:color w:val="FFFFFF"/>
                <w:sz w:val="18"/>
                <w:szCs w:val="18"/>
              </w:rPr>
              <w:t xml:space="preserve">Resultado</w:t>
            </w:r>
          </w:p>
        </w:tc>
      </w:tr>
      <w:tr>
        <w:trPr>
          <w:cantSplit/>
        </w:trPr>
        <w:tc>
          <w:tcPr>
            <w:tcW w:type="dxa" w:w="31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Número de páginas del documento</w:t>
            </w:r>
          </w:p>
        </w:tc>
        <w:tc>
          <w:tcPr>
            <w:tcW w:type="dxa" w:w="6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53</w:t>
            </w:r>
          </w:p>
        </w:tc>
      </w:tr>
      <w:tr>
        <w:trPr>
          <w:cantSplit/>
        </w:trPr>
        <w:tc>
          <w:tcPr>
            <w:tcW w:type="dxa" w:w="313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Preguntas del CSV</w:t>
            </w:r>
          </w:p>
        </w:tc>
        <w:tc>
          <w:tcPr>
            <w:tcW w:type="dxa" w:w="65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7 (IDs 190, 435, 585, 918, 1212, 1242, 1311)</w:t>
            </w:r>
          </w:p>
        </w:tc>
      </w:tr>
      <w:tr>
        <w:trPr>
          <w:cantSplit/>
        </w:trPr>
        <w:tc>
          <w:tcPr>
            <w:tcW w:type="dxa" w:w="31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Preguntas repetidas / casi idénticas</w:t>
            </w:r>
          </w:p>
        </w:tc>
        <w:tc>
          <w:tcPr>
            <w:tcW w:type="dxa" w:w="6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0 / 0 (tres comparten eje temático: 1212, 1242, 1311)</w:t>
            </w:r>
          </w:p>
        </w:tc>
      </w:tr>
      <w:tr>
        <w:trPr>
          <w:cantSplit/>
        </w:trPr>
        <w:tc>
          <w:tcPr>
            <w:tcW w:type="dxa" w:w="313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Porcentaje de cobertura</w:t>
            </w:r>
          </w:p>
        </w:tc>
        <w:tc>
          <w:tcPr>
            <w:tcW w:type="dxa" w:w="65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100 % (7/7)</w:t>
            </w:r>
          </w:p>
        </w:tc>
      </w:tr>
      <w:tr>
        <w:trPr>
          <w:cantSplit/>
        </w:trPr>
        <w:tc>
          <w:tcPr>
            <w:tcW w:type="dxa" w:w="31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Preguntas no cubiertas</w:t>
            </w:r>
          </w:p>
        </w:tc>
        <w:tc>
          <w:tcPr>
            <w:tcW w:type="dxa" w:w="6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Ninguna</w:t>
            </w:r>
          </w:p>
        </w:tc>
      </w:tr>
      <w:tr>
        <w:trPr>
          <w:cantSplit/>
        </w:trPr>
        <w:tc>
          <w:tcPr>
            <w:tcW w:type="dxa" w:w="313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Preguntas con clave discutida</w:t>
            </w:r>
          </w:p>
        </w:tc>
        <w:tc>
          <w:tcPr>
            <w:tcW w:type="dxa" w:w="65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435 (clave CSV D; correcta A)</w:t>
            </w:r>
          </w:p>
        </w:tc>
      </w:tr>
      <w:tr>
        <w:trPr>
          <w:cantSplit/>
        </w:trPr>
        <w:tc>
          <w:tcPr>
            <w:tcW w:type="dxa" w:w="31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Preguntas ambiguas o imprecisas</w:t>
            </w:r>
          </w:p>
        </w:tc>
        <w:tc>
          <w:tcPr>
            <w:tcW w:type="dxa" w:w="6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918, 1311</w:t>
            </w:r>
          </w:p>
        </w:tc>
      </w:tr>
      <w:tr>
        <w:trPr>
          <w:cantSplit/>
        </w:trPr>
        <w:tc>
          <w:tcPr>
            <w:tcW w:type="dxa" w:w="313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Preguntas con dependencia histórica</w:t>
            </w:r>
          </w:p>
        </w:tc>
        <w:tc>
          <w:tcPr>
            <w:tcW w:type="dxa" w:w="65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435 (solo defendible con texto previo a 1998); 1212 (posible origen en Ley 11/1986, sin cambio de respuesta)</w:t>
            </w:r>
          </w:p>
        </w:tc>
      </w:tr>
      <w:tr>
        <w:trPr>
          <w:cantSplit/>
        </w:trPr>
        <w:tc>
          <w:tcPr>
            <w:tcW w:type="dxa" w:w="31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Normativa derogada detectada y señalada</w:t>
            </w:r>
          </w:p>
        </w:tc>
        <w:tc>
          <w:tcPr>
            <w:tcW w:type="dxa" w:w="6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Ley 59/2003; Ley 9/2014; LO 15/1999; Directiva 2006/24/CE (anulada); arts. 12-15 Directiva 2000/31/CE (sustituidos por DSA); art. 248.2 CP → 249; art. 183 ter → 183; Ley 11/1986 de Patentes.</w:t>
            </w:r>
          </w:p>
        </w:tc>
      </w:tr>
      <w:tr>
        <w:trPr>
          <w:cantSplit/>
        </w:trPr>
        <w:tc>
          <w:tcPr>
            <w:tcW w:type="dxa" w:w="313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Normativa vigente utilizada</w:t>
            </w:r>
          </w:p>
        </w:tc>
        <w:tc>
          <w:tcPr>
            <w:tcW w:type="dxa" w:w="65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LPI, Ley 24/2015, LSSI, DSA, RGPD, LOPDGDD, LO 7/2021, eIDAS/eIDAS2, Ley 6/2020, Ley 11/2022, Ley 25/2007, CP, LECrim, LEC, Ley 40/2015, LCSP, ENS, ENI, Ley 41/2002, Reglamentos 2023/1543, 2023/2854, 2025/327.</w:t>
            </w:r>
          </w:p>
        </w:tc>
      </w:tr>
      <w:tr>
        <w:trPr>
          <w:cantSplit/>
        </w:trPr>
        <w:tc>
          <w:tcPr>
            <w:tcW w:type="dxa" w:w="31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Estándares consultados</w:t>
            </w:r>
          </w:p>
        </w:tc>
        <w:tc>
          <w:tcPr>
            <w:tcW w:type="dxa" w:w="6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ISO/IEC 27037, 27041, 27042, 27043; NIST SP 800-86, 800-101 r1, 800-61 r3; RFC 3227, 7208, 6376, 7489; UNE 71506, 197010; OVAL.</w:t>
            </w:r>
          </w:p>
        </w:tc>
      </w:tr>
      <w:tr>
        <w:trPr>
          <w:cantSplit/>
        </w:trPr>
        <w:tc>
          <w:tcPr>
            <w:tcW w:type="dxa" w:w="313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Verificado con fuentes en la elaboración</w:t>
            </w:r>
          </w:p>
        </w:tc>
        <w:tc>
          <w:tcPr>
            <w:tcW w:type="dxa" w:w="65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Título VIII del Libro II LPI (arts. 133-137) y su origen en la Ley 5/1998 (BOE); aplicación del Reglamento (UE) 2023/1543 desde el 18/08/2026 y anteproyecto español de 2026 (Ministerio de Justicia); firma por España del 2.º Protocolo de Budapest el 12/05/2022 (Ministerio de Justicia / Exteriores); estado del proyecto de LO de protección de menores en entornos digitales (remitido a las Cortes el 25/03/2025).</w:t>
            </w:r>
          </w:p>
        </w:tc>
      </w:tr>
      <w:tr>
        <w:trPr>
          <w:cantSplit/>
        </w:trPr>
        <w:tc>
          <w:tcPr>
            <w:tcW w:type="dxa" w:w="31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Basado en conocimiento del redactor (verificar en BOE/EUR-Lex)</w:t>
            </w:r>
          </w:p>
        </w:tc>
        <w:tc>
          <w:tcPr>
            <w:tcW w:type="dxa" w:w="6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Numeración exacta de apartados de artículos (p. ej., 96.x, 100.x LPI), cuantías de sanciones LSSI, plazos de la Ley 25/2007, contenido de la LO 14/2022 y LO 10/2022, estado de ratificación de instrumentos internacionales, vigencia de ediciones ISO/UNE, vigencia del Decreto andaluz 72/2003.</w:t>
            </w:r>
          </w:p>
        </w:tc>
      </w:tr>
      <w:tr>
        <w:trPr>
          <w:cantSplit/>
        </w:trPr>
        <w:tc>
          <w:tcPr>
            <w:tcW w:type="dxa" w:w="313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Información específica del SAS verificada</w:t>
            </w:r>
          </w:p>
        </w:tc>
        <w:tc>
          <w:tcPr>
            <w:tcW w:type="dxa" w:w="65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Solo referencias públicas (Diraya, marco normativo). No hay información pública sobre protocolos forenses internos del SAS; no se ha incluido.</w:t>
            </w:r>
          </w:p>
        </w:tc>
      </w:tr>
      <w:tr>
        <w:trPr>
          <w:cantSplit/>
        </w:trPr>
        <w:tc>
          <w:tcPr>
            <w:tcW w:type="dxa" w:w="31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Conceptos más repetidos en el CSV</w:t>
            </w:r>
          </w:p>
        </w:tc>
        <w:tc>
          <w:tcPr>
            <w:tcW w:type="dxa" w:w="6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jc w:val="left"/>
            </w:pPr>
            <w:r>
              <w:rPr>
                <w:sz w:val="18"/>
                <w:szCs w:val="18"/>
              </w:rPr>
              <w:t xml:space="preserve">Patentabilidad del software frente a propiedad intelectual (3 de 7).</w:t>
            </w:r>
          </w:p>
        </w:tc>
      </w:tr>
      <w:tr>
        <w:trPr>
          <w:cantSplit/>
        </w:trPr>
        <w:tc>
          <w:tcPr>
            <w:tcW w:type="dxa" w:w="3132"/>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Conceptos prioritarios para memorizar</w:t>
            </w:r>
          </w:p>
        </w:tc>
        <w:tc>
          <w:tcPr>
            <w:tcW w:type="dxa" w:w="6506"/>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tcPr>
          <w:p>
            <w:pPr>
              <w:spacing w:after="40"/>
              <w:jc w:val="left"/>
            </w:pPr>
            <w:r>
              <w:rPr>
                <w:sz w:val="18"/>
                <w:szCs w:val="18"/>
              </w:rPr>
              <w:t xml:space="preserve">Arts. 96, 97.4, 98, 99, 100 y 133-137 LPI; art. 4 Ley 24/2015; tipos de licencia; arts. 197-197 bis, 264-264 bis, 249, 270 CP; eIDAS (tipos de firma); LSSI 16, 21, 22.2; Budapest; definición DFRWS; RFC 3227; ISO/IEC 27037; cadena de custodia; hash.</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8F00" w:sz="4"/>
              <w:left w:val="single" w:color="BF8F00" w:sz="24"/>
              <w:bottom w:val="single" w:color="BF8F00" w:sz="4"/>
              <w:right w:val="single" w:color="BF8F00" w:sz="4"/>
            </w:tcBorders>
            <w:shd w:fill="FFF2CC" w:color="auto" w:val="clear"/>
            <w:tcMar>
              <w:top w:type="dxa" w:w="100"/>
              <w:left w:type="dxa" w:w="160"/>
              <w:bottom w:type="dxa" w:w="100"/>
              <w:right w:type="dxa" w:w="140"/>
            </w:tcMar>
          </w:tcPr>
          <w:p>
            <w:pPr>
              <w:spacing w:after="80"/>
            </w:pPr>
            <w:r>
              <w:rPr>
                <w:b/>
                <w:bCs/>
                <w:color w:val="BF8F00"/>
                <w:sz w:val="20"/>
                <w:szCs w:val="20"/>
              </w:rPr>
              <w:t xml:space="preserve">NOTA</w:t>
            </w:r>
          </w:p>
          <w:p>
            <w:pPr>
              <w:spacing w:after="60"/>
              <w:jc w:val="both"/>
            </w:pPr>
            <w:r>
              <w:rPr>
                <w:sz w:val="19"/>
                <w:szCs w:val="19"/>
              </w:rPr>
              <w:t xml:space="preserve">Documento elaborado el </w:t>
            </w:r>
            <w:r>
              <w:rPr>
                <w:b/>
                <w:bCs/>
                <w:sz w:val="19"/>
                <w:szCs w:val="19"/>
              </w:rPr>
              <w:t xml:space="preserve">27/09/2026</w:t>
            </w:r>
            <w:r>
              <w:rPr>
                <w:sz w:val="19"/>
                <w:szCs w:val="19"/>
              </w:rPr>
              <w:t xml:space="preserve">. El Derecho de las TIC cambia con rapidez: antes del examen, revisa en el BOE las versiones consolidadas de la LPI, el Código Penal y la LSSI, y comprueba si se han aprobado la ley española de adaptación al Reglamento e-evidence y la LO de protección de menores en entornos digitales.</w:t>
            </w:r>
          </w:p>
        </w:tc>
      </w:tr>
    </w:tbl>
    <w:p>
      <w:pPr>
        <w:spacing w:after="12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Página </w:t>
    </w:r>
    <w:r>
      <w:rPr>
        <w:color w:val="7F7F7F"/>
        <w:sz w:val="16"/>
        <w:szCs w:val="16"/>
      </w:rPr>
      <w:fldChar w:fldCharType="begin"/>
      <w:instrText xml:space="preserve">PAGE</w:instrText>
      <w:fldChar w:fldCharType="separate"/>
      <w:fldChar w:fldCharType="end"/>
    </w:r>
    <w:r>
      <w:rPr>
        <w:color w:val="7F7F7F"/>
        <w:sz w:val="16"/>
        <w:szCs w:val="16"/>
      </w:rPr>
      <w:t xml:space="preserve"> de </w:t>
    </w:r>
    <w:r>
      <w:rPr>
        <w:color w:val="7F7F7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color w:val="7F7F7F"/>
        <w:sz w:val="16"/>
        <w:szCs w:val="16"/>
      </w:rPr>
      <w:t xml:space="preserve">Tema 81 · Protección jurídica del software, Internet, delito informático y forensia · TFA-SI SAS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20" w:hanging="280"/>
      </w:pPr>
    </w:lvl>
    <w:lvl w:ilvl="2" w15:tentative="1">
      <w:start w:val="1"/>
      <w:numFmt w:val="bullet"/>
      <w:lvlText w:val="·"/>
      <w:lvlJc w:val="left"/>
      <w:pPr>
        <w:ind w:left="1180" w:hanging="280"/>
      </w:pPr>
    </w:lvl>
  </w:abstractNum>
  <w:abstractNum w:abstractNumId="3" w15:restartNumberingAfterBreak="0">
    <w:multiLevelType w:val="hybridMultilevel"/>
    <w:lvl w:ilvl="0" w15:tentative="1">
      <w:start w:val="1"/>
      <w:numFmt w:val="decimal"/>
      <w:lvlText w:val="%1."/>
      <w:lvlJc w:val="left"/>
      <w:pPr>
        <w:ind w:left="500" w:hanging="360"/>
      </w:pPr>
    </w:lvl>
  </w:abstractNum>
  <w:abstractNum w:abstractNumId="4" w15:restartNumberingAfterBreak="0">
    <w:multiLevelType w:val="hybridMultilevel"/>
    <w:lvl w:ilvl="0" w15:tentative="1">
      <w:start w:val="1"/>
      <w:numFmt w:val="decimal"/>
      <w:lvlText w:val="%1."/>
      <w:lvlJc w:val="left"/>
      <w:pPr>
        <w:ind w:left="500" w:hanging="360"/>
      </w:pPr>
    </w:lvl>
  </w:abstractNum>
  <w:abstractNum w:abstractNumId="5" w15:restartNumberingAfterBreak="0">
    <w:multiLevelType w:val="hybridMultilevel"/>
    <w:lvl w:ilvl="0" w15:tentative="1">
      <w:start w:val="1"/>
      <w:numFmt w:val="decimal"/>
      <w:lvlText w:val="%1."/>
      <w:lvlJc w:val="left"/>
      <w:pPr>
        <w:ind w:left="500" w:hanging="360"/>
      </w:pPr>
    </w:lvl>
  </w:abstractNum>
  <w:abstractNum w:abstractNumId="6" w15:restartNumberingAfterBreak="0">
    <w:multiLevelType w:val="hybridMultilevel"/>
    <w:lvl w:ilvl="0" w15:tentative="1">
      <w:start w:val="1"/>
      <w:numFmt w:val="decimal"/>
      <w:lvlText w:val="%1."/>
      <w:lvlJc w:val="left"/>
      <w:pPr>
        <w:ind w:left="500" w:hanging="360"/>
      </w:pPr>
    </w:lvl>
  </w:abstractNum>
  <w:abstractNum w:abstractNumId="7"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Cambria" w:cs="Cambria" w:eastAsia="Cambria" w:hAnsi="Cambria"/>
      <w:b/>
      <w:bCs/>
      <w:color w:val="1F3864"/>
      <w:sz w:val="40"/>
      <w:szCs w:val="40"/>
    </w:rPr>
  </w:style>
  <w:style w:type="paragraph" w:styleId="Heading1">
    <w:name w:val="Heading 1"/>
    <w:basedOn w:val="Normal"/>
    <w:next w:val="Normal"/>
    <w:qFormat/>
    <w:pPr>
      <w:pBdr>
        <w:bottom w:val="single" w:color="2E75B6" w:sz="8" w:space="4"/>
      </w:pBdr>
      <w:spacing w:after="200" w:before="120"/>
      <w:outlineLvl w:val="0"/>
    </w:pPr>
    <w:rPr>
      <w:rFonts w:ascii="Cambria" w:cs="Cambria" w:eastAsia="Cambria" w:hAnsi="Cambria"/>
      <w:b/>
      <w:bCs/>
      <w:color w:val="1F3864"/>
      <w:sz w:val="32"/>
      <w:szCs w:val="32"/>
    </w:rPr>
  </w:style>
  <w:style w:type="paragraph" w:styleId="Heading2">
    <w:name w:val="Heading 2"/>
    <w:basedOn w:val="Normal"/>
    <w:next w:val="Normal"/>
    <w:qFormat/>
    <w:pPr>
      <w:spacing w:after="120" w:before="240"/>
      <w:outlineLvl w:val="1"/>
    </w:pPr>
    <w:rPr>
      <w:rFonts w:ascii="Cambria" w:cs="Cambria" w:eastAsia="Cambria" w:hAnsi="Cambria"/>
      <w:b/>
      <w:bCs/>
      <w:color w:val="2E75B6"/>
      <w:sz w:val="26"/>
      <w:szCs w:val="26"/>
    </w:rPr>
  </w:style>
  <w:style w:type="paragraph" w:styleId="Heading3">
    <w:name w:val="Heading 3"/>
    <w:basedOn w:val="Normal"/>
    <w:next w:val="Normal"/>
    <w:qFormat/>
    <w:pPr>
      <w:spacing w:after="100" w:before="200"/>
      <w:outlineLvl w:val="2"/>
    </w:pPr>
    <w:rPr>
      <w:rFonts w:ascii="Cambria" w:cs="Cambria" w:eastAsia="Cambria" w:hAnsi="Cambria"/>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81 – Protección jurídica del software, Internet, delito informático y técnicas forenses</dc:title>
  <dc:creator>Claude</dc:creator>
  <cp:lastModifiedBy>Un-named</cp:lastModifiedBy>
  <cp:revision>1</cp:revision>
  <dcterms:created xsi:type="dcterms:W3CDTF">2026-09-26T23:18:58.188Z</dcterms:created>
  <dcterms:modified xsi:type="dcterms:W3CDTF">2026-09-26T23:18:58.188Z</dcterms:modified>
</cp:coreProperties>
</file>

<file path=docProps/custom.xml><?xml version="1.0" encoding="utf-8"?>
<Properties xmlns="http://schemas.openxmlformats.org/officeDocument/2006/custom-properties" xmlns:vt="http://schemas.openxmlformats.org/officeDocument/2006/docPropsVTypes"/>
</file>