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FCC0D" w14:textId="77777777" w:rsidR="00A02A2D" w:rsidRDefault="00000000">
      <w:pPr>
        <w:rPr>
          <w:b/>
        </w:rPr>
      </w:pPr>
      <w:r>
        <w:rPr>
          <w:b/>
        </w:rPr>
        <w:t>TEMA 27: La Estrategia de Salud Digital en Andalucía. Modelos de gobernanza de las tecnologías de la información y las comunicaciones (TIC) y su implantación en las Administraciones Públicas. Gobernanza y modelo organizativo TIC en el SSPA.</w:t>
      </w:r>
    </w:p>
    <w:p w14:paraId="61C3C3C5" w14:textId="77777777" w:rsidR="00A02A2D" w:rsidRDefault="00000000">
      <w:pPr>
        <w:rPr>
          <w:b/>
        </w:rPr>
      </w:pPr>
      <w:r>
        <w:rPr>
          <w:b/>
        </w:rPr>
        <w:t>1. Introducción y Contexto</w:t>
      </w:r>
    </w:p>
    <w:p w14:paraId="2E3A4D7C" w14:textId="77777777" w:rsidR="00A02A2D" w:rsidRDefault="00000000">
      <w:pPr>
        <w:ind w:firstLine="708"/>
      </w:pPr>
      <w:r>
        <w:t>La transformación digital es un motor esencial para modernizar la Administración Pública y, en particular, el sector sanitario. En Andalucía, la </w:t>
      </w:r>
      <w:r>
        <w:rPr>
          <w:b/>
        </w:rPr>
        <w:t>Estrategia de Salud Digital</w:t>
      </w:r>
      <w:r>
        <w:t> se concibe como una iniciativa integral cuyo objetivo es mejorar la calidad asistencial, optimizar la eficiencia de la gestión pública y garantizar la transparencia y la interoperabilidad entre los diferentes sistemas y servicios. Esta estrategia se articula a partir de la integración de las Tecnologías de la Información y las Comunicaciones (TIC) en todos los niveles del Sistema Sanitario Público de Andalucía (SSPA) y en la Administración Pública en general.</w:t>
      </w:r>
    </w:p>
    <w:p w14:paraId="0DBB5DA0" w14:textId="77777777" w:rsidR="00A02A2D" w:rsidRDefault="00000000">
      <w:pPr>
        <w:ind w:firstLine="708"/>
      </w:pPr>
      <w:r>
        <w:t>La transformación digital en salud abarca desde la digitalización de procesos administrativos y clínicos hasta la implementación de soluciones innovadoras como la telemedicina, la historia clínica electrónica y los sistemas de análisis de datos. Para lograrlo, es fundamental contar con modelos de gobernanza y un modelo organizativo que asegure la correcta implantación y coordinación de las TIC.</w:t>
      </w:r>
    </w:p>
    <w:p w14:paraId="680372DA" w14:textId="77777777" w:rsidR="00A02A2D" w:rsidRDefault="00000000">
      <w:pPr>
        <w:rPr>
          <w:b/>
        </w:rPr>
      </w:pPr>
      <w:r>
        <w:rPr>
          <w:b/>
        </w:rPr>
        <w:t>2. Objetivos de la Estrategia de Salud Digital</w:t>
      </w:r>
    </w:p>
    <w:p w14:paraId="675A0A15" w14:textId="77777777" w:rsidR="00A02A2D" w:rsidRDefault="00000000">
      <w:r>
        <w:t>Los principales objetivos de la estrategia son:</w:t>
      </w:r>
    </w:p>
    <w:p w14:paraId="0441AF42" w14:textId="77777777" w:rsidR="00A02A2D" w:rsidRDefault="00000000">
      <w:pPr>
        <w:numPr>
          <w:ilvl w:val="0"/>
          <w:numId w:val="1"/>
        </w:numPr>
      </w:pPr>
      <w:r>
        <w:rPr>
          <w:b/>
        </w:rPr>
        <w:t>Mejorar la Calidad Asistencial:</w:t>
      </w:r>
      <w:r>
        <w:t> Mediante la implementación de sistemas electrónicos que faciliten la coordinación entre centros, agilicen la toma de decisiones clínicas y aseguren la continuidad en la atención a los pacientes.</w:t>
      </w:r>
    </w:p>
    <w:p w14:paraId="66ED3278" w14:textId="77777777" w:rsidR="00A02A2D" w:rsidRDefault="00000000">
      <w:pPr>
        <w:numPr>
          <w:ilvl w:val="0"/>
          <w:numId w:val="1"/>
        </w:numPr>
      </w:pPr>
      <w:r>
        <w:rPr>
          <w:b/>
        </w:rPr>
        <w:t>Optimizar la Eficiencia Administrativa:</w:t>
      </w:r>
      <w:r>
        <w:t> Automatizando procesos, reduciendo tiempos de respuesta y simplificando trámites, lo que repercute en una mayor productividad y una gestión más transparente.</w:t>
      </w:r>
    </w:p>
    <w:p w14:paraId="34B607FA" w14:textId="77777777" w:rsidR="00A02A2D" w:rsidRDefault="00000000">
      <w:pPr>
        <w:numPr>
          <w:ilvl w:val="0"/>
          <w:numId w:val="1"/>
        </w:numPr>
      </w:pPr>
      <w:r>
        <w:rPr>
          <w:b/>
        </w:rPr>
        <w:t>Fomentar la Interoperabilidad:</w:t>
      </w:r>
      <w:r>
        <w:t> Garantizar que los sistemas de información utilizados en hospitales, centros de salud y laboratorios puedan comunicarse de manera fluida y segura, facilitando el intercambio de datos y la coordinación interinstitucional.</w:t>
      </w:r>
    </w:p>
    <w:p w14:paraId="465CC841" w14:textId="77777777" w:rsidR="00A02A2D" w:rsidRDefault="00000000">
      <w:pPr>
        <w:numPr>
          <w:ilvl w:val="0"/>
          <w:numId w:val="1"/>
        </w:numPr>
      </w:pPr>
      <w:r>
        <w:rPr>
          <w:b/>
        </w:rPr>
        <w:t>Impulsar la Transformación Digital:</w:t>
      </w:r>
      <w:r>
        <w:t> Promover la adopción de tecnologías avanzadas (inteligencia artificial, big data, soluciones móviles, etc.) para mejorar la toma de decisiones y la innovación en la atención sanitaria.</w:t>
      </w:r>
    </w:p>
    <w:p w14:paraId="707B358F" w14:textId="77777777" w:rsidR="00A02A2D" w:rsidRDefault="00000000">
      <w:pPr>
        <w:numPr>
          <w:ilvl w:val="0"/>
          <w:numId w:val="1"/>
        </w:numPr>
      </w:pPr>
      <w:r>
        <w:rPr>
          <w:b/>
        </w:rPr>
        <w:t>Asegurar la Transparencia y Participación:</w:t>
      </w:r>
      <w:r>
        <w:t> Facilitar el acceso a la información a ciudadanos y profesionales, permitiendo la participación activa y la rendición de cuentas en la gestión sanitaria.</w:t>
      </w:r>
    </w:p>
    <w:p w14:paraId="41C2A7E2" w14:textId="77777777" w:rsidR="00A02A2D" w:rsidRDefault="00000000">
      <w:pPr>
        <w:pBdr>
          <w:left w:val="single" w:sz="12" w:space="6" w:color="2E75B6"/>
        </w:pBdr>
        <w:shd w:val="clear" w:color="auto" w:fill="EAF1FB"/>
        <w:ind w:left="284"/>
        <w:jc w:val="both"/>
      </w:pPr>
      <w:r>
        <w:t>Los objetivos anteriores son una síntesis general. Los objetivos oficiales de la ESDA (4 objetivos generales, 14 objetivos específicos y 3 líneas estratégicas) se desarrollan en el apartado 7.9.</w:t>
      </w:r>
    </w:p>
    <w:p w14:paraId="4199867B" w14:textId="77777777" w:rsidR="00F7524F" w:rsidRDefault="00F7524F">
      <w:pPr>
        <w:rPr>
          <w:b/>
        </w:rPr>
      </w:pPr>
    </w:p>
    <w:p w14:paraId="6D362965" w14:textId="77777777" w:rsidR="00F7524F" w:rsidRDefault="00F7524F">
      <w:pPr>
        <w:rPr>
          <w:b/>
        </w:rPr>
      </w:pPr>
    </w:p>
    <w:p w14:paraId="63AF6988" w14:textId="39C8F39A" w:rsidR="00A02A2D" w:rsidRDefault="00000000">
      <w:pPr>
        <w:rPr>
          <w:b/>
        </w:rPr>
      </w:pPr>
      <w:r>
        <w:rPr>
          <w:b/>
        </w:rPr>
        <w:lastRenderedPageBreak/>
        <w:t>3. Modelos de Gobernanza de las TIC en la Administración Pública</w:t>
      </w:r>
    </w:p>
    <w:p w14:paraId="5B707DD7" w14:textId="77777777" w:rsidR="00A02A2D" w:rsidRDefault="00000000">
      <w:pPr>
        <w:ind w:firstLine="360"/>
      </w:pPr>
      <w:r>
        <w:t>La implantación de las TIC en el sector público requiere de modelos de gobernanza que se adapten a las características y necesidades de cada organización. Entre los modelos más destacados se encuentran:</w:t>
      </w:r>
    </w:p>
    <w:p w14:paraId="05988F7B" w14:textId="77777777" w:rsidR="00A02A2D" w:rsidRDefault="00000000">
      <w:pPr>
        <w:numPr>
          <w:ilvl w:val="0"/>
          <w:numId w:val="2"/>
        </w:numPr>
      </w:pPr>
      <w:r>
        <w:rPr>
          <w:b/>
        </w:rPr>
        <w:t>Modelo Centralizado:</w:t>
      </w:r>
      <w:r>
        <w:br/>
        <w:t>En este modelo, la toma de decisiones y la gestión de las TIC se concentran en un único ente central. Esto permite establecer estándares uniformes, garantizar la coherencia en la implementación y facilitar el control y la rendición de cuentas.</w:t>
      </w:r>
      <w:r>
        <w:br/>
      </w:r>
      <w:r>
        <w:rPr>
          <w:i/>
        </w:rPr>
        <w:t>Ventajas:</w:t>
      </w:r>
      <w:r>
        <w:t> Uniformidad, mayor control y consistencia en la aplicación de políticas.</w:t>
      </w:r>
      <w:r>
        <w:br/>
      </w:r>
      <w:r>
        <w:rPr>
          <w:i/>
        </w:rPr>
        <w:t>Desventajas:</w:t>
      </w:r>
      <w:r>
        <w:t> Menor adaptabilidad a necesidades locales y posible rigidez ante cambios específicos.</w:t>
      </w:r>
    </w:p>
    <w:p w14:paraId="48C50427" w14:textId="77777777" w:rsidR="00A02A2D" w:rsidRDefault="00000000">
      <w:pPr>
        <w:numPr>
          <w:ilvl w:val="0"/>
          <w:numId w:val="2"/>
        </w:numPr>
      </w:pPr>
      <w:r>
        <w:rPr>
          <w:b/>
        </w:rPr>
        <w:t>Modelo Descentralizado:</w:t>
      </w:r>
      <w:r>
        <w:br/>
        <w:t>Aquí, la gestión de las TIC se distribuye entre distintas entidades o niveles administrativos. Cada unidad tiene la libertad de adaptar las soluciones tecnológicas a sus necesidades particulares.</w:t>
      </w:r>
      <w:r>
        <w:br/>
      </w:r>
      <w:r>
        <w:rPr>
          <w:i/>
        </w:rPr>
        <w:t>Ventajas:</w:t>
      </w:r>
      <w:r>
        <w:t> Flexibilidad, adaptación local y mayor innovación en cada área.</w:t>
      </w:r>
      <w:r>
        <w:br/>
      </w:r>
      <w:r>
        <w:rPr>
          <w:i/>
        </w:rPr>
        <w:t>Desventajas:</w:t>
      </w:r>
      <w:r>
        <w:t> Riesgo de fragmentación, dificultades para la interoperabilidad y la estandarización.</w:t>
      </w:r>
    </w:p>
    <w:p w14:paraId="493D14EC" w14:textId="77777777" w:rsidR="00A02A2D" w:rsidRDefault="00000000">
      <w:pPr>
        <w:numPr>
          <w:ilvl w:val="0"/>
          <w:numId w:val="2"/>
        </w:numPr>
      </w:pPr>
      <w:r>
        <w:rPr>
          <w:b/>
        </w:rPr>
        <w:t>Modelo Mixto:</w:t>
      </w:r>
      <w:r>
        <w:br/>
        <w:t>Combina la centralización para definir políticas estratégicas y estándares comunes, y la descentralización en la implementación operativa. Este modelo permite aprovechar las ventajas de ambos enfoques, asegurando una coordinación adecuada mientras se mantiene la flexibilidad necesaria para atender demandas específicas.</w:t>
      </w:r>
      <w:r>
        <w:br/>
      </w:r>
      <w:r>
        <w:rPr>
          <w:i/>
        </w:rPr>
        <w:t>Ventajas:</w:t>
      </w:r>
      <w:r>
        <w:t> Equilibrio entre control central y autonomía local.</w:t>
      </w:r>
      <w:r>
        <w:br/>
      </w:r>
      <w:r>
        <w:rPr>
          <w:i/>
        </w:rPr>
        <w:t>Desventajas:</w:t>
      </w:r>
      <w:r>
        <w:t> Requiere mecanismos de coordinación muy robustos para evitar duplicidades y conflictos.</w:t>
      </w:r>
    </w:p>
    <w:p w14:paraId="475889E2" w14:textId="77777777" w:rsidR="00A02A2D" w:rsidRDefault="00000000">
      <w:pPr>
        <w:spacing w:before="160" w:after="60"/>
        <w:rPr>
          <w:b/>
        </w:rPr>
      </w:pPr>
      <w:r>
        <w:rPr>
          <w:b/>
        </w:rPr>
        <w:t>3.1. Marcos de referencia para el gobierno de las TIC</w:t>
      </w:r>
    </w:p>
    <w:p w14:paraId="2AAE8F60" w14:textId="77777777" w:rsidR="00A02A2D" w:rsidRDefault="00000000">
      <w:pPr>
        <w:ind w:firstLine="708"/>
        <w:jc w:val="both"/>
      </w:pPr>
      <w:r>
        <w:t xml:space="preserve">Además de la forma de distribuir el poder de decisión (centralizada, descentralizada o mixta), el gobierno TIC se apoya en marcos de referencia. La norma </w:t>
      </w:r>
      <w:r>
        <w:rPr>
          <w:b/>
        </w:rPr>
        <w:t>ISO/IEC 38500</w:t>
      </w:r>
      <w:r>
        <w:t xml:space="preserve"> (gobierno corporativo de las TI) establece el ciclo </w:t>
      </w:r>
      <w:r>
        <w:rPr>
          <w:b/>
        </w:rPr>
        <w:t>Evaluar – Dirigir – Monitorizar (EDM)</w:t>
      </w:r>
      <w:r>
        <w:t xml:space="preserve"> y seis principios: responsabilidad, estrategia, adquisición, rendimiento, conformidad y comportamiento humano. </w:t>
      </w:r>
      <w:r>
        <w:rPr>
          <w:b/>
        </w:rPr>
        <w:t>COBIT</w:t>
      </w:r>
      <w:r>
        <w:t xml:space="preserve"> (ISACA) distingue claramente entre gobierno (EDM) y gestión (planificar, construir, ejecutar y supervisar). En todos ellos la idea clave es la misma: la planificación TIC debe integrarse en la planificación estratégica de la organización (en el SAS, con la planificación asistencial y directiva), con órganos colegiados de decisión, cartera de proyectos priorizada y evaluación periódica de resultados.</w:t>
      </w:r>
    </w:p>
    <w:p w14:paraId="05BF1B6A" w14:textId="77777777" w:rsidR="00A02A2D" w:rsidRDefault="00000000">
      <w:pPr>
        <w:spacing w:before="160" w:after="60"/>
        <w:rPr>
          <w:b/>
        </w:rPr>
      </w:pPr>
      <w:r>
        <w:rPr>
          <w:b/>
        </w:rPr>
        <w:t>3.2. Gobernanza TIC en la Administración General del Estado: Real Decreto 806/2014</w:t>
      </w:r>
    </w:p>
    <w:p w14:paraId="0F8B5434" w14:textId="77777777" w:rsidR="00A02A2D" w:rsidRDefault="00000000">
      <w:pPr>
        <w:ind w:firstLine="708"/>
        <w:jc w:val="both"/>
      </w:pPr>
      <w:r>
        <w:t xml:space="preserve">El </w:t>
      </w:r>
      <w:r>
        <w:rPr>
          <w:b/>
        </w:rPr>
        <w:t>Real Decreto 806/2014, de 19 de septiembre</w:t>
      </w:r>
      <w:r>
        <w:t>, sobre organización e instrumentos operativos de las TIC en la Administración General del Estado (AGE) y sus organismos públicos, configura un modelo de gobernanza TIC de tipo mixto: decisiones estratégicas y servicios comunes centralizados y ejecución departamental. Sus órganos principales son:</w:t>
      </w:r>
    </w:p>
    <w:p w14:paraId="6F2A062F" w14:textId="77777777" w:rsidR="00A02A2D" w:rsidRDefault="00000000">
      <w:pPr>
        <w:numPr>
          <w:ilvl w:val="0"/>
          <w:numId w:val="1"/>
        </w:numPr>
        <w:spacing w:after="40"/>
        <w:jc w:val="both"/>
      </w:pPr>
      <w:r>
        <w:rPr>
          <w:b/>
        </w:rPr>
        <w:lastRenderedPageBreak/>
        <w:t>Comisión de Estrategia TIC (CETIC):</w:t>
      </w:r>
      <w:r>
        <w:t xml:space="preserve"> órgano colegiado encargado de la </w:t>
      </w:r>
      <w:r>
        <w:rPr>
          <w:b/>
        </w:rPr>
        <w:t>definición y supervisión de la aplicación de la Estrategia sobre TIC</w:t>
      </w:r>
      <w:r>
        <w:t xml:space="preserve"> de la AGE y sus organismos públicos. Es el máximo órgano de decisión en materia TIC; dispone de un Comité Ejecutivo.</w:t>
      </w:r>
    </w:p>
    <w:p w14:paraId="3A3C3B3A" w14:textId="77777777" w:rsidR="00A02A2D" w:rsidRDefault="00000000">
      <w:pPr>
        <w:numPr>
          <w:ilvl w:val="0"/>
          <w:numId w:val="1"/>
        </w:numPr>
        <w:spacing w:after="40"/>
        <w:jc w:val="both"/>
      </w:pPr>
      <w:r>
        <w:rPr>
          <w:b/>
        </w:rPr>
        <w:t>Dirección de Tecnologías de la Información y las Comunicaciones (DTIC):</w:t>
      </w:r>
      <w:r>
        <w:t xml:space="preserve"> órgano que impulsa y coordina la ejecución de la estrategia TIC y la racionalización de medios (funciones hoy asumidas por la Secretaría General de Administración Digital).</w:t>
      </w:r>
    </w:p>
    <w:p w14:paraId="33B8E72E" w14:textId="77777777" w:rsidR="00A02A2D" w:rsidRDefault="00000000">
      <w:pPr>
        <w:numPr>
          <w:ilvl w:val="0"/>
          <w:numId w:val="1"/>
        </w:numPr>
        <w:spacing w:after="40"/>
        <w:jc w:val="both"/>
      </w:pPr>
      <w:r>
        <w:rPr>
          <w:b/>
        </w:rPr>
        <w:t>Comisiones Ministeriales de Administración Digital (CMAD):</w:t>
      </w:r>
      <w:r>
        <w:t xml:space="preserve"> órganos colegiados de cada ministerio para el impulso y coordinación de la administración digital en su ámbito, que elaboran los Planes de Acción Departamentales.</w:t>
      </w:r>
    </w:p>
    <w:p w14:paraId="578991A6" w14:textId="77777777" w:rsidR="00A02A2D" w:rsidRDefault="00000000">
      <w:pPr>
        <w:numPr>
          <w:ilvl w:val="0"/>
          <w:numId w:val="1"/>
        </w:numPr>
        <w:spacing w:after="40"/>
        <w:jc w:val="both"/>
      </w:pPr>
      <w:r>
        <w:rPr>
          <w:b/>
        </w:rPr>
        <w:t>Unidades TIC</w:t>
      </w:r>
      <w:r>
        <w:t xml:space="preserve"> de cada departamento u organismo, que ejecutan los proyectos.</w:t>
      </w:r>
    </w:p>
    <w:p w14:paraId="53A56126" w14:textId="77777777" w:rsidR="00A02A2D" w:rsidRDefault="00000000">
      <w:pPr>
        <w:ind w:firstLine="708"/>
        <w:jc w:val="both"/>
      </w:pPr>
      <w:r>
        <w:t xml:space="preserve">Como instrumentos operativos destacan la Estrategia TIC de la AGE, los planes de acción departamentales, la declaración de </w:t>
      </w:r>
      <w:r>
        <w:rPr>
          <w:b/>
        </w:rPr>
        <w:t>medios y servicios compartidos</w:t>
      </w:r>
      <w:r>
        <w:t xml:space="preserve"> y la comunicación previa de proyectos TIC de especial relevancia.</w:t>
      </w:r>
    </w:p>
    <w:p w14:paraId="0A8CD277" w14:textId="77777777" w:rsidR="00A02A2D" w:rsidRDefault="00000000">
      <w:pPr>
        <w:rPr>
          <w:b/>
        </w:rPr>
      </w:pPr>
      <w:r>
        <w:rPr>
          <w:b/>
        </w:rPr>
        <w:t>4. Implantación de las TIC en las Administraciones Públicas</w:t>
      </w:r>
    </w:p>
    <w:p w14:paraId="5772C2AC" w14:textId="77777777" w:rsidR="00A02A2D" w:rsidRDefault="00000000">
      <w:pPr>
        <w:ind w:firstLine="360"/>
      </w:pPr>
      <w:r>
        <w:t>La implantación de las TIC en la administración pública implica la integración de sistemas que mejoren la gestión interna, la atención al ciudadano y la transparencia en el uso de recursos. En el contexto sanitario, esta implantación se traduce en:</w:t>
      </w:r>
    </w:p>
    <w:p w14:paraId="68A31719" w14:textId="77777777" w:rsidR="00A02A2D" w:rsidRDefault="00000000">
      <w:pPr>
        <w:numPr>
          <w:ilvl w:val="0"/>
          <w:numId w:val="3"/>
        </w:numPr>
      </w:pPr>
      <w:r>
        <w:rPr>
          <w:b/>
        </w:rPr>
        <w:t>Digitalización de Procesos:</w:t>
      </w:r>
      <w:r>
        <w:br/>
        <w:t>Automatización de la gestión de citas, historiales clínicos y procedimientos administrativos, lo que reduce errores y agiliza los servicios.</w:t>
      </w:r>
    </w:p>
    <w:p w14:paraId="53BA1962" w14:textId="77777777" w:rsidR="00A02A2D" w:rsidRDefault="00000000">
      <w:pPr>
        <w:numPr>
          <w:ilvl w:val="0"/>
          <w:numId w:val="3"/>
        </w:numPr>
      </w:pPr>
      <w:r>
        <w:rPr>
          <w:b/>
        </w:rPr>
        <w:t>Sistemas de Interoperabilidad:</w:t>
      </w:r>
      <w:r>
        <w:br/>
        <w:t>Implementación de plataformas que permitan el intercambio de información entre hospitales, centros de salud y otros servicios, asegurando una atención coordinada y unificada.</w:t>
      </w:r>
    </w:p>
    <w:p w14:paraId="256CB5BF" w14:textId="77777777" w:rsidR="00A02A2D" w:rsidRDefault="00000000">
      <w:pPr>
        <w:numPr>
          <w:ilvl w:val="0"/>
          <w:numId w:val="3"/>
        </w:numPr>
      </w:pPr>
      <w:r>
        <w:rPr>
          <w:b/>
        </w:rPr>
        <w:t>Seguridad y Protección de Datos:</w:t>
      </w:r>
      <w:r>
        <w:br/>
        <w:t>Aplicación de protocolos de ciberseguridad para garantizar la confidencialidad, integridad y disponibilidad de la información sensible.</w:t>
      </w:r>
    </w:p>
    <w:p w14:paraId="56851E80" w14:textId="77777777" w:rsidR="00A02A2D" w:rsidRDefault="00000000">
      <w:pPr>
        <w:numPr>
          <w:ilvl w:val="0"/>
          <w:numId w:val="3"/>
        </w:numPr>
      </w:pPr>
      <w:r>
        <w:rPr>
          <w:b/>
        </w:rPr>
        <w:t>Formación y Capacitación:</w:t>
      </w:r>
      <w:r>
        <w:br/>
        <w:t>Programas continuos de formación para que el personal sanitario y administrativo se familiarice con las nuevas tecnologías, facilitando la transición digital y reduciendo la resistencia al cambio.</w:t>
      </w:r>
    </w:p>
    <w:p w14:paraId="4BF00498" w14:textId="77777777" w:rsidR="00A02A2D" w:rsidRDefault="00000000">
      <w:pPr>
        <w:rPr>
          <w:b/>
        </w:rPr>
      </w:pPr>
      <w:r>
        <w:rPr>
          <w:b/>
        </w:rPr>
        <w:t>5. Gobernanza y Modelo Organizativo TIC en el SSPA</w:t>
      </w:r>
    </w:p>
    <w:p w14:paraId="51ED0ADE" w14:textId="77777777" w:rsidR="00A02A2D" w:rsidRDefault="00000000">
      <w:pPr>
        <w:ind w:firstLine="360"/>
      </w:pPr>
      <w:r>
        <w:t>En el Sistema Sanitario Público de Andalucía, la gobernanza y el modelo organizativo TIC se diseñan para integrar las soluciones digitales en todos los niveles de la atención sanitaria. Algunos aspectos clave son:</w:t>
      </w:r>
    </w:p>
    <w:p w14:paraId="0DC6C3B6" w14:textId="77777777" w:rsidR="00A02A2D" w:rsidRDefault="00000000">
      <w:pPr>
        <w:numPr>
          <w:ilvl w:val="0"/>
          <w:numId w:val="1"/>
        </w:numPr>
        <w:spacing w:after="40"/>
        <w:jc w:val="both"/>
      </w:pPr>
      <w:r>
        <w:rPr>
          <w:b/>
        </w:rPr>
        <w:t>Órgano TIC del Servicio Andaluz de Salud:</w:t>
      </w:r>
      <w:r>
        <w:t xml:space="preserve"> la dirección técnica de los sistemas de información y de las infraestructuras TIC del SSPA ha correspondido históricamente a la </w:t>
      </w:r>
      <w:r>
        <w:rPr>
          <w:b/>
        </w:rPr>
        <w:t>Subdirección de Tecnologías de la Información y Comunicaciones (STIC)</w:t>
      </w:r>
      <w:r>
        <w:t xml:space="preserve"> del SAS. Desde 2024 este nivel se eleva a Dirección </w:t>
      </w:r>
      <w:r>
        <w:lastRenderedPageBreak/>
        <w:t>General (véase el apartado 5.1). No existe una “Dirección General de Tecnología Sanitaria” con estas funciones.</w:t>
      </w:r>
    </w:p>
    <w:p w14:paraId="1D4EE786" w14:textId="77777777" w:rsidR="00A02A2D" w:rsidRDefault="00000000">
      <w:pPr>
        <w:numPr>
          <w:ilvl w:val="0"/>
          <w:numId w:val="4"/>
        </w:numPr>
      </w:pPr>
      <w:r>
        <w:rPr>
          <w:b/>
        </w:rPr>
        <w:t>Unidades de Coordinación TIC:</w:t>
      </w:r>
      <w:r>
        <w:br/>
        <w:t>Equipos especializados que trabajan en la integración de sistemas, garantizando la interoperabilidad y la seguridad de los datos.</w:t>
      </w:r>
    </w:p>
    <w:p w14:paraId="7714C150" w14:textId="77777777" w:rsidR="00A02A2D" w:rsidRDefault="00000000">
      <w:pPr>
        <w:numPr>
          <w:ilvl w:val="0"/>
          <w:numId w:val="4"/>
        </w:numPr>
      </w:pPr>
      <w:r>
        <w:rPr>
          <w:b/>
        </w:rPr>
        <w:t>Modelo Organizativo:</w:t>
      </w:r>
      <w:r>
        <w:br/>
        <w:t>La estructura interna del SSPA se adapta para incorporar la tecnología en todos los procesos, desde la gestión de recursos hasta la atención directa al paciente. Esto implica la creación de políticas de actualización, protocolos de seguridad y mecanismos de seguimiento que aseguren la continuidad y la eficiencia.</w:t>
      </w:r>
    </w:p>
    <w:p w14:paraId="72491EC2" w14:textId="77777777" w:rsidR="00A02A2D" w:rsidRDefault="00000000">
      <w:pPr>
        <w:numPr>
          <w:ilvl w:val="0"/>
          <w:numId w:val="4"/>
        </w:numPr>
      </w:pPr>
      <w:r>
        <w:rPr>
          <w:b/>
        </w:rPr>
        <w:t>Impacto en la Atención y Gestión:</w:t>
      </w:r>
      <w:r>
        <w:br/>
        <w:t>La integración de sistemas permite mejorar la calidad asistencial a través de una gestión más eficaz de la información, una mayor transparencia y una capacidad de respuesta rápida ante incidencias.</w:t>
      </w:r>
    </w:p>
    <w:p w14:paraId="7A2DECB0" w14:textId="77777777" w:rsidR="00A02A2D" w:rsidRDefault="00000000">
      <w:pPr>
        <w:spacing w:before="160" w:after="60"/>
        <w:rPr>
          <w:b/>
        </w:rPr>
      </w:pPr>
      <w:r>
        <w:rPr>
          <w:b/>
        </w:rPr>
        <w:t>5.1. Estructura organizativa funcional del Área TIC del SSPA</w:t>
      </w:r>
    </w:p>
    <w:p w14:paraId="4EDE11A6" w14:textId="77777777" w:rsidR="00A02A2D" w:rsidRDefault="00000000">
      <w:pPr>
        <w:ind w:firstLine="708"/>
        <w:jc w:val="both"/>
      </w:pPr>
      <w:r>
        <w:t xml:space="preserve">La base del modelo organizativo TIC actual es la </w:t>
      </w:r>
      <w:r>
        <w:rPr>
          <w:b/>
        </w:rPr>
        <w:t>Resolución conjunta SA 0157/2013, de 4 de abril</w:t>
      </w:r>
      <w:r>
        <w:t xml:space="preserve">, de la Secretaría General de Calidad e Innovación de la Consejería de Salud y Bienestar Social y de la Dirección Gerencia del Servicio Andaluz de Salud, por la que se establece la </w:t>
      </w:r>
      <w:r>
        <w:rPr>
          <w:b/>
        </w:rPr>
        <w:t>nueva estructura organizativa funcional del Área de Tecnologías de la Información y las Comunicaciones</w:t>
      </w:r>
      <w:r>
        <w:t xml:space="preserve"> en el ámbito del Sistema Sanitario Público de Andalucía. Sus rasgos principales son:</w:t>
      </w:r>
    </w:p>
    <w:p w14:paraId="3857F4EE" w14:textId="77777777" w:rsidR="00A02A2D" w:rsidRDefault="00000000">
      <w:pPr>
        <w:numPr>
          <w:ilvl w:val="0"/>
          <w:numId w:val="1"/>
        </w:numPr>
        <w:spacing w:after="40"/>
        <w:jc w:val="both"/>
      </w:pPr>
      <w:r>
        <w:t xml:space="preserve">Estructura el área estratégica TIC en </w:t>
      </w:r>
      <w:r>
        <w:rPr>
          <w:b/>
        </w:rPr>
        <w:t>dos áreas</w:t>
      </w:r>
      <w:r>
        <w:t xml:space="preserve">: una centrada en los </w:t>
      </w:r>
      <w:r>
        <w:rPr>
          <w:b/>
        </w:rPr>
        <w:t>aspectos técnicos</w:t>
      </w:r>
      <w:r>
        <w:t xml:space="preserve"> de los sistemas de información y las infraestructuras TIC, cuya responsabilidad recae en la </w:t>
      </w:r>
      <w:r>
        <w:rPr>
          <w:b/>
        </w:rPr>
        <w:t>Subdirección de Tecnologías de la Información y Comunicaciones (STIC)</w:t>
      </w:r>
      <w:r>
        <w:t xml:space="preserve"> del SAS, y otra en materia de </w:t>
      </w:r>
      <w:r>
        <w:rPr>
          <w:b/>
        </w:rPr>
        <w:t>dirección funcional</w:t>
      </w:r>
      <w:r>
        <w:t xml:space="preserve"> de los sistemas de información.</w:t>
      </w:r>
    </w:p>
    <w:p w14:paraId="215C3052" w14:textId="77777777" w:rsidR="00A02A2D" w:rsidRDefault="00000000">
      <w:pPr>
        <w:numPr>
          <w:ilvl w:val="0"/>
          <w:numId w:val="1"/>
        </w:numPr>
        <w:spacing w:after="40"/>
        <w:jc w:val="both"/>
      </w:pPr>
      <w:r>
        <w:t xml:space="preserve">El área técnica se organiza sobre la base de una </w:t>
      </w:r>
      <w:r>
        <w:rPr>
          <w:b/>
        </w:rPr>
        <w:t>cartera de servicios</w:t>
      </w:r>
      <w:r>
        <w:t xml:space="preserve"> y de una </w:t>
      </w:r>
      <w:r>
        <w:rPr>
          <w:b/>
        </w:rPr>
        <w:t>arquitectura de red</w:t>
      </w:r>
      <w:r>
        <w:t xml:space="preserve"> que integra los recursos e infraestructuras disponibles.</w:t>
      </w:r>
    </w:p>
    <w:p w14:paraId="68B675CE" w14:textId="77777777" w:rsidR="00A02A2D" w:rsidRDefault="00000000">
      <w:pPr>
        <w:numPr>
          <w:ilvl w:val="0"/>
          <w:numId w:val="1"/>
        </w:numPr>
        <w:spacing w:after="40"/>
        <w:jc w:val="both"/>
      </w:pPr>
      <w:r>
        <w:t xml:space="preserve">Los recursos humanos se estructuran en </w:t>
      </w:r>
      <w:r>
        <w:rPr>
          <w:b/>
        </w:rPr>
        <w:t>un nodo central y ocho nodos provinciales</w:t>
      </w:r>
      <w:r>
        <w:t xml:space="preserve"> (Subdirecciones Provinciales TIC).</w:t>
      </w:r>
    </w:p>
    <w:p w14:paraId="3AD24CA2" w14:textId="77777777" w:rsidR="00A02A2D" w:rsidRDefault="00000000">
      <w:pPr>
        <w:numPr>
          <w:ilvl w:val="0"/>
          <w:numId w:val="1"/>
        </w:numPr>
        <w:spacing w:after="40"/>
        <w:jc w:val="both"/>
      </w:pPr>
      <w:r>
        <w:t xml:space="preserve">Modelo </w:t>
      </w:r>
      <w:r>
        <w:rPr>
          <w:b/>
        </w:rPr>
        <w:t>matricial</w:t>
      </w:r>
      <w:r>
        <w:t>: el personal TIC mantiene su adscripción a su centro, pero depende funcionalmente de la STIC y se agrupa por ámbitos de conocimiento provinciales (gestión y proyectos TI; entrega del servicio y soporte al usuario; explotación y sistemas de información; sistemas, comunicaciones e infraestructuras). Los proyectos y plataformas corporativas se desarrollan por equipos centralizados. El Subdirector TIC provincial reporta al responsable TIC del SAS.</w:t>
      </w:r>
    </w:p>
    <w:p w14:paraId="30D2B2CD" w14:textId="77777777" w:rsidR="00A02A2D" w:rsidRDefault="00000000">
      <w:pPr>
        <w:ind w:firstLine="708"/>
        <w:jc w:val="both"/>
      </w:pPr>
      <w:r>
        <w:t xml:space="preserve">Dentro de la estructura central TIC se definen áreas y unidades especializadas. A efectos de examen conviene recordar, entre otras: el </w:t>
      </w:r>
      <w:r>
        <w:rPr>
          <w:b/>
        </w:rPr>
        <w:t>Área de Gobernanza y Calidad</w:t>
      </w:r>
      <w:r>
        <w:t xml:space="preserve">, responsable de </w:t>
      </w:r>
      <w:r>
        <w:rPr>
          <w:b/>
        </w:rPr>
        <w:t>normalizar y definir estándares, procedimientos y metodologías</w:t>
      </w:r>
      <w:r>
        <w:t xml:space="preserve"> (incluidos los relacionados con la explotación de datos); la </w:t>
      </w:r>
      <w:r>
        <w:rPr>
          <w:b/>
        </w:rPr>
        <w:t>Unidad de Arquitectura</w:t>
      </w:r>
      <w:r>
        <w:t xml:space="preserve">, que se encarga tanto de la </w:t>
      </w:r>
      <w:r>
        <w:rPr>
          <w:b/>
        </w:rPr>
        <w:t>definición de requisitos y la hoja de ruta de evolución tecnológica</w:t>
      </w:r>
      <w:r>
        <w:t xml:space="preserve"> como de la </w:t>
      </w:r>
      <w:r>
        <w:rPr>
          <w:b/>
        </w:rPr>
        <w:t>definición normativa, guías y buenas prácticas relativas al desarrollo de software</w:t>
      </w:r>
      <w:r>
        <w:t>; el Área de Seguridad TIC; y el Área de Soluciones Corporativas y Sociedad Digital (Diraya, ClicSalud+, Salud Andalucía…).</w:t>
      </w:r>
    </w:p>
    <w:p w14:paraId="1E22350C" w14:textId="77777777" w:rsidR="00A02A2D" w:rsidRDefault="00000000">
      <w:pPr>
        <w:pBdr>
          <w:left w:val="single" w:sz="12" w:space="6" w:color="2E75B6"/>
        </w:pBdr>
        <w:shd w:val="clear" w:color="auto" w:fill="EAF1FB"/>
        <w:ind w:left="284"/>
        <w:jc w:val="both"/>
      </w:pPr>
      <w:r>
        <w:rPr>
          <w:b/>
        </w:rPr>
        <w:lastRenderedPageBreak/>
        <w:t xml:space="preserve">Distractores habituales: </w:t>
      </w:r>
      <w:r>
        <w:t xml:space="preserve">en las preguntas aparecen como opciones otras unidades, como el Área de Seguridad TIC, el Área de Provisión de datos o el Servicio de Coordinación de Sistemas de Información (SCSI). La función de normalizar estándares, procedimientos y metodologías se asigna al </w:t>
      </w:r>
      <w:r>
        <w:rPr>
          <w:b/>
        </w:rPr>
        <w:t>Área de Gobernanza y Calidad</w:t>
      </w:r>
      <w:r>
        <w:t xml:space="preserve">. Igualmente, la responsabilidad sobre los aspectos técnicos de los SSII e infraestructuras TIC corresponde a la </w:t>
      </w:r>
      <w:r>
        <w:rPr>
          <w:b/>
        </w:rPr>
        <w:t>Subdirección TIC</w:t>
      </w:r>
      <w:r>
        <w:t xml:space="preserve"> y no a la Subdirección Técnica Asesora de Gestión de la Información ni a una Dirección General de Asistencia Sanitaria.</w:t>
      </w:r>
    </w:p>
    <w:p w14:paraId="2159C748" w14:textId="77777777" w:rsidR="00A02A2D" w:rsidRDefault="00000000">
      <w:pPr>
        <w:spacing w:before="160" w:after="60"/>
        <w:rPr>
          <w:b/>
        </w:rPr>
      </w:pPr>
      <w:r>
        <w:rPr>
          <w:b/>
        </w:rPr>
        <w:t>5.2. Evolución reciente de los órganos directivos TIC y de salud digital</w:t>
      </w:r>
    </w:p>
    <w:p w14:paraId="0C3ED84C" w14:textId="77777777" w:rsidR="00A02A2D" w:rsidRDefault="00000000">
      <w:pPr>
        <w:numPr>
          <w:ilvl w:val="0"/>
          <w:numId w:val="1"/>
        </w:numPr>
        <w:spacing w:after="40"/>
        <w:jc w:val="both"/>
      </w:pPr>
      <w:r>
        <w:rPr>
          <w:b/>
        </w:rPr>
        <w:t>Decreto 156/2022</w:t>
      </w:r>
      <w:r>
        <w:t xml:space="preserve"> (estructura de la Consejería de Salud y Consumo): atribuye a la </w:t>
      </w:r>
      <w:r>
        <w:rPr>
          <w:b/>
        </w:rPr>
        <w:t>Secretaría General de Humanización, Planificación, Atención Sociosanitaria y Consumo (SGHPASC)</w:t>
      </w:r>
      <w:r>
        <w:t xml:space="preserve"> el </w:t>
      </w:r>
      <w:r>
        <w:rPr>
          <w:b/>
        </w:rPr>
        <w:t>diseño, seguimiento y evaluación de la Estrategia de Salud Digital</w:t>
      </w:r>
      <w:r>
        <w:t xml:space="preserve"> (art. 6.g).</w:t>
      </w:r>
    </w:p>
    <w:p w14:paraId="61FC857E" w14:textId="77777777" w:rsidR="00A02A2D" w:rsidRDefault="00000000">
      <w:pPr>
        <w:numPr>
          <w:ilvl w:val="0"/>
          <w:numId w:val="1"/>
        </w:numPr>
        <w:spacing w:after="40"/>
        <w:jc w:val="both"/>
      </w:pPr>
      <w:r>
        <w:rPr>
          <w:b/>
        </w:rPr>
        <w:t>Decreto 198/2024</w:t>
      </w:r>
      <w:r>
        <w:t xml:space="preserve">: crea en el SAS la </w:t>
      </w:r>
      <w:r>
        <w:rPr>
          <w:b/>
        </w:rPr>
        <w:t>Dirección General de Sistemas de Información y Comunicaciones</w:t>
      </w:r>
      <w:r>
        <w:t xml:space="preserve">, con el objetivo de liderar las políticas y planes estratégicos para la transformación digital de la organización. Entre sus funciones figura la </w:t>
      </w:r>
      <w:r>
        <w:rPr>
          <w:b/>
        </w:rPr>
        <w:t>programación y planificación de los recursos tecnológicos para un uso eficiente y sostenible</w:t>
      </w:r>
      <w:r>
        <w:t>. La SGHPASC pasa a denominarse Secretaría General de Planificación Asistencial y Consumo.</w:t>
      </w:r>
    </w:p>
    <w:p w14:paraId="2F9A2138" w14:textId="77777777" w:rsidR="00A02A2D" w:rsidRDefault="00000000">
      <w:pPr>
        <w:numPr>
          <w:ilvl w:val="0"/>
          <w:numId w:val="1"/>
        </w:numPr>
        <w:spacing w:after="40"/>
        <w:jc w:val="both"/>
      </w:pPr>
      <w:r>
        <w:rPr>
          <w:b/>
        </w:rPr>
        <w:t>Decreto 168/2025</w:t>
      </w:r>
      <w:r>
        <w:t xml:space="preserve">: la salud digital se reparte entre la </w:t>
      </w:r>
      <w:r>
        <w:rPr>
          <w:b/>
        </w:rPr>
        <w:t>Secretaría General de Investigación, Innovación y Salud Digital</w:t>
      </w:r>
      <w:r>
        <w:t xml:space="preserve"> (plano estratégico) y la </w:t>
      </w:r>
      <w:r>
        <w:rPr>
          <w:b/>
        </w:rPr>
        <w:t>Dirección General de Tecnologías de la Información y Comunicaciones del SAS</w:t>
      </w:r>
      <w:r>
        <w:t xml:space="preserve"> (plano operativo), a la que corresponde, entre otras, el </w:t>
      </w:r>
      <w:r>
        <w:rPr>
          <w:b/>
        </w:rPr>
        <w:t>desarrollo y ejecución de la Estrategia de Salud Digital en el ámbito del SAS</w:t>
      </w:r>
      <w:r>
        <w:t>, en coordinación con la Agencia Digital de Andalucía.</w:t>
      </w:r>
    </w:p>
    <w:p w14:paraId="46F93124" w14:textId="77777777" w:rsidR="00A02A2D" w:rsidRDefault="00000000">
      <w:pPr>
        <w:numPr>
          <w:ilvl w:val="0"/>
          <w:numId w:val="1"/>
        </w:numPr>
        <w:spacing w:after="40"/>
        <w:jc w:val="both"/>
      </w:pPr>
      <w:r>
        <w:rPr>
          <w:b/>
        </w:rPr>
        <w:t>Decreto 189/2026, de 30 de julio</w:t>
      </w:r>
      <w:r>
        <w:t xml:space="preserve">: suprime la Secretaría General de Investigación, Innovación y Salud Digital y crea la </w:t>
      </w:r>
      <w:r>
        <w:rPr>
          <w:b/>
        </w:rPr>
        <w:t>Dirección General de Salud Digital y Ordenación Farmacéutica</w:t>
      </w:r>
      <w:r>
        <w:t>, que asume las competencias en salud digital.</w:t>
      </w:r>
    </w:p>
    <w:p w14:paraId="60DF1D13" w14:textId="77777777" w:rsidR="00A02A2D" w:rsidRDefault="00000000">
      <w:pPr>
        <w:pBdr>
          <w:left w:val="single" w:sz="12" w:space="6" w:color="2E75B6"/>
        </w:pBdr>
        <w:shd w:val="clear" w:color="auto" w:fill="EAF1FB"/>
        <w:ind w:left="284"/>
        <w:jc w:val="both"/>
      </w:pPr>
      <w:r>
        <w:t>Nota de estudio: las preguntas de examen suelen referirse a la estructura vigente en la fecha de la convocatoria. Si una pregunta antigua dice “Subdirección TIC” (STIC) para la responsabilidad técnica sobre SSII e infraestructuras, esa es la respuesta esperada; las preguntas más recientes pueden referirse ya a la Dirección General TIC del SAS.</w:t>
      </w:r>
    </w:p>
    <w:p w14:paraId="6A6B4A6D" w14:textId="77777777" w:rsidR="00A02A2D" w:rsidRDefault="00000000">
      <w:pPr>
        <w:spacing w:before="160" w:after="60"/>
        <w:rPr>
          <w:b/>
        </w:rPr>
      </w:pPr>
      <w:r>
        <w:rPr>
          <w:b/>
        </w:rPr>
        <w:t>5.3. Características del modelo de gobernanza TIC del SAS</w:t>
      </w:r>
    </w:p>
    <w:p w14:paraId="31132059" w14:textId="77777777" w:rsidR="00A02A2D" w:rsidRDefault="00000000">
      <w:pPr>
        <w:numPr>
          <w:ilvl w:val="0"/>
          <w:numId w:val="1"/>
        </w:numPr>
        <w:spacing w:after="40"/>
        <w:jc w:val="both"/>
      </w:pPr>
      <w:r>
        <w:rPr>
          <w:b/>
        </w:rPr>
        <w:t>Integra la planificación TIC con la planificación estratégica asistencial y directiva</w:t>
      </w:r>
      <w:r>
        <w:t xml:space="preserve"> (no delega la planificación en los equipos provinciales ni excluye a los centros).</w:t>
      </w:r>
    </w:p>
    <w:p w14:paraId="45CCCDA0" w14:textId="77777777" w:rsidR="00A02A2D" w:rsidRDefault="00000000">
      <w:pPr>
        <w:numPr>
          <w:ilvl w:val="0"/>
          <w:numId w:val="1"/>
        </w:numPr>
        <w:spacing w:after="40"/>
        <w:jc w:val="both"/>
      </w:pPr>
      <w:r>
        <w:t xml:space="preserve">Combina una dirección y estandarización central (arquitectura, seguridad, soluciones corporativas como Diraya) con ejecución y soporte provincial: es un </w:t>
      </w:r>
      <w:r>
        <w:rPr>
          <w:b/>
        </w:rPr>
        <w:t>modelo mixto</w:t>
      </w:r>
      <w:r>
        <w:t>.</w:t>
      </w:r>
    </w:p>
    <w:p w14:paraId="5CF93E0D" w14:textId="77777777" w:rsidR="00A02A2D" w:rsidRDefault="00000000">
      <w:pPr>
        <w:numPr>
          <w:ilvl w:val="0"/>
          <w:numId w:val="1"/>
        </w:numPr>
        <w:spacing w:after="40"/>
        <w:jc w:val="both"/>
      </w:pPr>
      <w:r>
        <w:t>Incluye órganos para la aprobación de iniciativas digitales (Comisión de Sistemas de Información del SAS y, desde la ESDA, los comités directivo, técnico y de expertos) y evaluación periódica de resultados.</w:t>
      </w:r>
    </w:p>
    <w:p w14:paraId="60CE6B23" w14:textId="77777777" w:rsidR="00A02A2D" w:rsidRDefault="00000000">
      <w:pPr>
        <w:rPr>
          <w:b/>
        </w:rPr>
      </w:pPr>
      <w:r>
        <w:rPr>
          <w:b/>
        </w:rPr>
        <w:t>6. Relevancia para el Profesional Informático</w:t>
      </w:r>
    </w:p>
    <w:p w14:paraId="69F10590" w14:textId="77777777" w:rsidR="00A02A2D" w:rsidRDefault="00000000">
      <w:pPr>
        <w:ind w:firstLine="360"/>
      </w:pPr>
      <w:r>
        <w:t>Para los opositores informáticos del Servicio de Salud de Andalucía, dominar estos conceptos es esencial, ya que:</w:t>
      </w:r>
    </w:p>
    <w:p w14:paraId="5E6F5C13" w14:textId="77777777" w:rsidR="00A02A2D" w:rsidRDefault="00000000">
      <w:pPr>
        <w:numPr>
          <w:ilvl w:val="0"/>
          <w:numId w:val="5"/>
        </w:numPr>
      </w:pPr>
      <w:r>
        <w:rPr>
          <w:b/>
        </w:rPr>
        <w:lastRenderedPageBreak/>
        <w:t>Diseño e Integración de Sistemas:</w:t>
      </w:r>
      <w:r>
        <w:br/>
        <w:t>Se requiere desarrollar, implementar y mantener plataformas que integren la información clínica, administrativa y financiera, optimizando la interoperabilidad.</w:t>
      </w:r>
    </w:p>
    <w:p w14:paraId="712C1AEB" w14:textId="77777777" w:rsidR="00A02A2D" w:rsidRDefault="00000000">
      <w:pPr>
        <w:numPr>
          <w:ilvl w:val="0"/>
          <w:numId w:val="5"/>
        </w:numPr>
      </w:pPr>
      <w:r>
        <w:rPr>
          <w:b/>
        </w:rPr>
        <w:t>Automatización y Análisis en Tiempo Real:</w:t>
      </w:r>
      <w:r>
        <w:br/>
        <w:t>La implementación de dashboards y sistemas de análisis permite a los gestores tomar decisiones basadas en datos actualizados, mejorando la eficiencia operativa.</w:t>
      </w:r>
    </w:p>
    <w:p w14:paraId="4411974A" w14:textId="77777777" w:rsidR="00A02A2D" w:rsidRDefault="00000000">
      <w:pPr>
        <w:numPr>
          <w:ilvl w:val="0"/>
          <w:numId w:val="5"/>
        </w:numPr>
      </w:pPr>
      <w:r>
        <w:rPr>
          <w:b/>
        </w:rPr>
        <w:t>Ciberseguridad y Protección de Datos:</w:t>
      </w:r>
      <w:r>
        <w:br/>
        <w:t>La seguridad de la información es crucial en el ámbito sanitario, por lo que los profesionales TI deben asegurarse de que se apliquen las mejores prácticas en protección de datos.</w:t>
      </w:r>
    </w:p>
    <w:p w14:paraId="71E5DDB4" w14:textId="77777777" w:rsidR="00A02A2D" w:rsidRDefault="00000000">
      <w:pPr>
        <w:numPr>
          <w:ilvl w:val="0"/>
          <w:numId w:val="5"/>
        </w:numPr>
      </w:pPr>
      <w:r>
        <w:rPr>
          <w:b/>
        </w:rPr>
        <w:t>Gestión del Cambio:</w:t>
      </w:r>
      <w:r>
        <w:br/>
        <w:t>La transformación digital implica cambios en la cultura y procesos organizativos, lo que exige una formación continua y la capacidad de gestionar la resistencia al cambio mediante estrategias de comunicación y capacitación.</w:t>
      </w:r>
    </w:p>
    <w:p w14:paraId="50DDCC13"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7EAC539"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Estrategia de Salud Digital en Andalucía    │</w:t>
      </w:r>
    </w:p>
    <w:p w14:paraId="349D111F"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8A69DF1"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B05EB8E"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D2AB1F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9F9B1C9"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Objetivos y Alcances Estratégicos           │</w:t>
      </w:r>
    </w:p>
    <w:p w14:paraId="5B26452F"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w:t>
      </w:r>
    </w:p>
    <w:p w14:paraId="6638FBC1"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Mejorar la calidad asistencial               │</w:t>
      </w:r>
    </w:p>
    <w:p w14:paraId="331F1998"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Optimizar la eficiencia administrativa       │</w:t>
      </w:r>
    </w:p>
    <w:p w14:paraId="4B25A712"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Fomentar la interoperabilidad y transparencia│</w:t>
      </w:r>
    </w:p>
    <w:p w14:paraId="7E8748FC"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Impulsar la transformación digital           │</w:t>
      </w:r>
    </w:p>
    <w:p w14:paraId="2707D785"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2E3D969"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A18980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C8CA97F"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B4F3106"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Modelos de Gobernanza TIC en la Administración│</w:t>
      </w:r>
    </w:p>
    <w:p w14:paraId="78187C62"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Pública                        │</w:t>
      </w:r>
    </w:p>
    <w:p w14:paraId="5E68A732"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w:t>
      </w:r>
    </w:p>
    <w:p w14:paraId="6FE32312"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w:t>
      </w:r>
    </w:p>
    <w:p w14:paraId="77C557AE"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Modelo Centralizado                     │   │</w:t>
      </w:r>
    </w:p>
    <w:p w14:paraId="68C1AF03"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 Gestión unificada y estandarizada    │   │</w:t>
      </w:r>
    </w:p>
    <w:p w14:paraId="6963E938" w14:textId="77777777" w:rsidR="00A02A2D" w:rsidRDefault="00000000">
      <w:pPr>
        <w:spacing w:after="0" w:line="240" w:lineRule="auto"/>
        <w:rPr>
          <w:rFonts w:ascii="Courier New" w:eastAsia="Courier New" w:hAnsi="Courier New" w:cs="Courier New"/>
          <w:sz w:val="16"/>
          <w:szCs w:val="16"/>
        </w:rPr>
      </w:pPr>
      <w:r>
        <w:rPr>
          <w:rFonts w:ascii="Courier New" w:eastAsia="Courier New" w:hAnsi="Courier New" w:cs="Courier New"/>
          <w:sz w:val="16"/>
          <w:szCs w:val="16"/>
        </w:rPr>
        <w:t xml:space="preserve">                      │ │  - Control riguroso y coherencia        │   │ </w:t>
      </w:r>
    </w:p>
    <w:p w14:paraId="38F6EF19"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w:t>
      </w:r>
    </w:p>
    <w:p w14:paraId="743F5F2E"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w:t>
      </w:r>
    </w:p>
    <w:p w14:paraId="3E33646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Modelo Descentralizado                  │   │</w:t>
      </w:r>
    </w:p>
    <w:p w14:paraId="549F33C2"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 Adaptación a necesidades locales     │   │</w:t>
      </w:r>
    </w:p>
    <w:p w14:paraId="7A9174BC"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 Mayor flexibilidad pero riesgo de    │   │</w:t>
      </w:r>
    </w:p>
    <w:p w14:paraId="393859A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fragmentación                        │   │</w:t>
      </w:r>
    </w:p>
    <w:p w14:paraId="41D3C078"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w:t>
      </w:r>
    </w:p>
    <w:p w14:paraId="738B97E7"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w:t>
      </w:r>
    </w:p>
    <w:p w14:paraId="4D4F70BA"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Modelo Mixto                            │   │</w:t>
      </w:r>
    </w:p>
    <w:p w14:paraId="7BA47A7D"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 Equilibrio entre control central     │   │</w:t>
      </w:r>
    </w:p>
    <w:p w14:paraId="6FFC155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y autonomía local                    │   │</w:t>
      </w:r>
    </w:p>
    <w:p w14:paraId="34CB248A"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w:t>
      </w:r>
    </w:p>
    <w:p w14:paraId="704580B2"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567203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04B4853"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3228565"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E646D7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Implantación de las TIC en la Administración     │</w:t>
      </w:r>
    </w:p>
    <w:p w14:paraId="3DC7B510"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Pública                           │</w:t>
      </w:r>
    </w:p>
    <w:p w14:paraId="3179E9F3"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w:t>
      </w:r>
    </w:p>
    <w:p w14:paraId="2D10DF87"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Digitalización de procesos administrativos     │</w:t>
      </w:r>
    </w:p>
    <w:p w14:paraId="7B5C061F"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Integración de sistemas (clínicos, financieros,│</w:t>
      </w:r>
    </w:p>
    <w:p w14:paraId="1463C96D"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administrativos)                               │</w:t>
      </w:r>
    </w:p>
    <w:p w14:paraId="53331F4E"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Medidas de seguridad y protección de datos     │</w:t>
      </w:r>
    </w:p>
    <w:p w14:paraId="6B44E2D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 - Formación y actualización del personal         │</w:t>
      </w:r>
    </w:p>
    <w:p w14:paraId="4CBEC3A5"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D6468AF"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10CFF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00676F8"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0ECBD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Gobernanza y Modelo Organizativo TIC en el SSPA  │</w:t>
      </w:r>
    </w:p>
    <w:p w14:paraId="79AE65A5"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w:t>
      </w:r>
    </w:p>
    <w:p w14:paraId="327E5EC8"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DG TIC del SAS (antes STIC)               │</w:t>
      </w:r>
    </w:p>
    <w:p w14:paraId="3506F19A"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Unidades de coordinación TIC                   │</w:t>
      </w:r>
    </w:p>
    <w:p w14:paraId="666F7DB4"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Integración de soluciones digitales           </w:t>
      </w:r>
      <w:r>
        <w:t xml:space="preserve">  </w:t>
      </w:r>
      <w:r>
        <w:rPr>
          <w:rFonts w:ascii="Courier New" w:eastAsia="Courier New" w:hAnsi="Courier New" w:cs="Courier New"/>
          <w:sz w:val="16"/>
          <w:szCs w:val="16"/>
        </w:rPr>
        <w:t>│</w:t>
      </w:r>
    </w:p>
    <w:p w14:paraId="5E365DA5"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Control y seguimiento de la gestión de datos   │</w:t>
      </w:r>
    </w:p>
    <w:p w14:paraId="66B37B6D"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Interoperabilidad y seguridad de la información│</w:t>
      </w:r>
    </w:p>
    <w:p w14:paraId="0E92E170"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3DF3B30"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5EE6E71"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0F9BE5"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CDC9EE6"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Impacto y Beneficios de la Estrategia Digital │</w:t>
      </w:r>
    </w:p>
    <w:p w14:paraId="26C89707"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w:t>
      </w:r>
    </w:p>
    <w:p w14:paraId="7856A73B"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Mejora en la calidad y eficiencia asistencial│</w:t>
      </w:r>
    </w:p>
    <w:p w14:paraId="2F5A6B69"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Mayor transparencia y rendición de cuentas   │</w:t>
      </w:r>
    </w:p>
    <w:p w14:paraId="3AD7610E"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Optimización de recursos y procesos          │</w:t>
      </w:r>
    </w:p>
    <w:p w14:paraId="73B31B9E"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 Fomento de la innovación y la transformación │</w:t>
      </w:r>
    </w:p>
    <w:p w14:paraId="39376BD1"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   digital en la salud                          │</w:t>
      </w:r>
    </w:p>
    <w:p w14:paraId="1E300EAA" w14:textId="77777777" w:rsidR="00A02A2D" w:rsidRDefault="00000000">
      <w:pPr>
        <w:spacing w:after="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AF4C27" w14:textId="77777777" w:rsidR="00A02A2D" w:rsidRDefault="00A02A2D">
      <w:pPr>
        <w:spacing w:after="0"/>
        <w:rPr>
          <w:rFonts w:ascii="Courier New" w:eastAsia="Courier New" w:hAnsi="Courier New" w:cs="Courier New"/>
          <w:sz w:val="16"/>
          <w:szCs w:val="16"/>
        </w:rPr>
      </w:pPr>
    </w:p>
    <w:p w14:paraId="44093714" w14:textId="77777777" w:rsidR="00A02A2D" w:rsidRDefault="00A02A2D">
      <w:pPr>
        <w:spacing w:after="0"/>
        <w:rPr>
          <w:b/>
        </w:rPr>
      </w:pPr>
    </w:p>
    <w:p w14:paraId="3092DBF9" w14:textId="77777777" w:rsidR="00A02A2D" w:rsidRDefault="00000000">
      <w:pPr>
        <w:spacing w:before="240"/>
        <w:rPr>
          <w:b/>
        </w:rPr>
      </w:pPr>
      <w:r>
        <w:rPr>
          <w:b/>
        </w:rPr>
        <w:t>7. La I Estrategia de Salud Digital de Andalucía (ESDA 2024-2028 / ESDA 2030)</w:t>
      </w:r>
    </w:p>
    <w:p w14:paraId="0D0DB3E8" w14:textId="77777777" w:rsidR="00A02A2D" w:rsidRDefault="00000000">
      <w:pPr>
        <w:pBdr>
          <w:left w:val="single" w:sz="12" w:space="6" w:color="2E75B6"/>
        </w:pBdr>
        <w:shd w:val="clear" w:color="auto" w:fill="EAF1FB"/>
        <w:ind w:left="284"/>
        <w:jc w:val="both"/>
      </w:pPr>
      <w:r>
        <w:t>Esta sección recoge el contenido del documento oficial “I Estrategia de Salud Digital de Andalucía 2024-2028” (versión 1, mayo de 2024, sometida a información pública) y, cuando cambia, lo que recoge la versión definitiva aprobada como “Estrategia de Salud Digital de Andalucía 2030”. Los bancos de preguntas están elaborados mayoritariamente sobre la versión 2024-2028.</w:t>
      </w:r>
    </w:p>
    <w:p w14:paraId="61BB7397" w14:textId="77777777" w:rsidR="00A02A2D" w:rsidRDefault="00000000">
      <w:pPr>
        <w:spacing w:before="160" w:after="60"/>
        <w:rPr>
          <w:b/>
        </w:rPr>
      </w:pPr>
      <w:r>
        <w:rPr>
          <w:b/>
        </w:rPr>
        <w:t>7.1. Aprobación, denominación y competencias</w:t>
      </w:r>
    </w:p>
    <w:p w14:paraId="6F4E5D6A" w14:textId="77777777" w:rsidR="00A02A2D" w:rsidRDefault="00000000">
      <w:pPr>
        <w:numPr>
          <w:ilvl w:val="0"/>
          <w:numId w:val="1"/>
        </w:numPr>
        <w:spacing w:after="40"/>
        <w:jc w:val="both"/>
      </w:pPr>
      <w:r>
        <w:rPr>
          <w:b/>
        </w:rPr>
        <w:t>Formulación:</w:t>
      </w:r>
      <w:r>
        <w:t xml:space="preserve"> Acuerdo de </w:t>
      </w:r>
      <w:r>
        <w:rPr>
          <w:b/>
        </w:rPr>
        <w:t>13 de diciembre de 2023</w:t>
      </w:r>
      <w:r>
        <w:t xml:space="preserve"> del Consejo de Gobierno (BOJA nº 241, de 19 de diciembre de 2023), a propuesta de la Consejería de Salud y Consumo. Horizonte temporal inicial: </w:t>
      </w:r>
      <w:r>
        <w:rPr>
          <w:b/>
        </w:rPr>
        <w:t>2024-2028</w:t>
      </w:r>
      <w:r>
        <w:t xml:space="preserve">. Es la </w:t>
      </w:r>
      <w:r>
        <w:rPr>
          <w:b/>
        </w:rPr>
        <w:t>primera</w:t>
      </w:r>
      <w:r>
        <w:t xml:space="preserve"> estrategia integral de salud digital de Andalucía.</w:t>
      </w:r>
    </w:p>
    <w:p w14:paraId="2C62AB7D" w14:textId="77777777" w:rsidR="00A02A2D" w:rsidRDefault="00000000">
      <w:pPr>
        <w:numPr>
          <w:ilvl w:val="0"/>
          <w:numId w:val="1"/>
        </w:numPr>
        <w:spacing w:after="40"/>
        <w:jc w:val="both"/>
      </w:pPr>
      <w:r>
        <w:rPr>
          <w:b/>
        </w:rPr>
        <w:t>Competencia:</w:t>
      </w:r>
      <w:r>
        <w:t xml:space="preserve"> según el Decreto 156/2022 (art. 6.g), el </w:t>
      </w:r>
      <w:r>
        <w:rPr>
          <w:b/>
        </w:rPr>
        <w:t>diseño, seguimiento y evaluación</w:t>
      </w:r>
      <w:r>
        <w:t xml:space="preserve"> de la Estrategia corresponde a la </w:t>
      </w:r>
      <w:r>
        <w:rPr>
          <w:b/>
        </w:rPr>
        <w:t>Secretaría General de Humanización, Planificación, Atención Sociosanitaria y Consumo</w:t>
      </w:r>
      <w:r>
        <w:t xml:space="preserve">. La propuesta se elaboró mediante grupos de trabajo con participación de la </w:t>
      </w:r>
      <w:r>
        <w:rPr>
          <w:b/>
        </w:rPr>
        <w:t>Agencia Digital de Andalucía (ADA)</w:t>
      </w:r>
      <w:r>
        <w:t>.</w:t>
      </w:r>
    </w:p>
    <w:p w14:paraId="6059972D" w14:textId="77777777" w:rsidR="00A02A2D" w:rsidRDefault="00000000">
      <w:pPr>
        <w:numPr>
          <w:ilvl w:val="0"/>
          <w:numId w:val="1"/>
        </w:numPr>
        <w:spacing w:after="40"/>
        <w:jc w:val="both"/>
      </w:pPr>
      <w:r>
        <w:rPr>
          <w:b/>
        </w:rPr>
        <w:t>Coordinación:</w:t>
      </w:r>
      <w:r>
        <w:t xml:space="preserve"> el responsable de la STIC del SAS fue nombrado </w:t>
      </w:r>
      <w:r>
        <w:rPr>
          <w:b/>
        </w:rPr>
        <w:t>coordinador de la ESDA</w:t>
      </w:r>
      <w:r>
        <w:t>, uniendo bajo una misma coordinación transformación digital y salud digital.</w:t>
      </w:r>
    </w:p>
    <w:p w14:paraId="68097F19" w14:textId="77777777" w:rsidR="00A02A2D" w:rsidRDefault="00000000">
      <w:pPr>
        <w:numPr>
          <w:ilvl w:val="0"/>
          <w:numId w:val="1"/>
        </w:numPr>
        <w:spacing w:after="40"/>
        <w:jc w:val="both"/>
      </w:pPr>
      <w:r>
        <w:rPr>
          <w:b/>
        </w:rPr>
        <w:t>Tramitación:</w:t>
      </w:r>
      <w:r>
        <w:t xml:space="preserve"> consulta pública previa (7-27 de marzo de 2024), información pública (12 de junio a 12 de julio de 2024) y aprobación definitiva por Acuerdo de </w:t>
      </w:r>
      <w:r>
        <w:rPr>
          <w:b/>
        </w:rPr>
        <w:t>23 de diciembre de 2025</w:t>
      </w:r>
      <w:r>
        <w:t xml:space="preserve"> (BOJA de 31/12/2025). Al alargarse la tramitación, la versión final pasó a denominarse </w:t>
      </w:r>
      <w:r>
        <w:rPr>
          <w:b/>
        </w:rPr>
        <w:t>Estrategia de Salud Digital de Andalucía 2030</w:t>
      </w:r>
      <w:r>
        <w:t>.</w:t>
      </w:r>
    </w:p>
    <w:p w14:paraId="4F5DD58C" w14:textId="77777777" w:rsidR="00A02A2D" w:rsidRDefault="00000000">
      <w:pPr>
        <w:numPr>
          <w:ilvl w:val="0"/>
          <w:numId w:val="1"/>
        </w:numPr>
        <w:spacing w:after="40"/>
        <w:jc w:val="both"/>
      </w:pPr>
      <w:r>
        <w:rPr>
          <w:b/>
        </w:rPr>
        <w:t>Antecedente político:</w:t>
      </w:r>
      <w:r>
        <w:t xml:space="preserve"> el Pacto Social y Económico por el Impulso de Andalucía (13 de marzo de 2023) incluía “aprobar la Estrategia de Salud Digital en el marco del diálogo social”.</w:t>
      </w:r>
    </w:p>
    <w:p w14:paraId="5DD6322D" w14:textId="77777777" w:rsidR="00A02A2D" w:rsidRDefault="00000000">
      <w:pPr>
        <w:numPr>
          <w:ilvl w:val="0"/>
          <w:numId w:val="1"/>
        </w:numPr>
        <w:spacing w:after="40"/>
        <w:jc w:val="both"/>
      </w:pPr>
      <w:r>
        <w:rPr>
          <w:b/>
        </w:rPr>
        <w:t>Contenido mínimo exigido por el Acuerdo:</w:t>
      </w:r>
      <w:r>
        <w:t xml:space="preserve"> tendencias tecnológicas; análisis de situación y del contexto estratégico (andaluz, nacional, europeo y mundial); </w:t>
      </w:r>
      <w:r>
        <w:lastRenderedPageBreak/>
        <w:t xml:space="preserve">diagnóstico mediante </w:t>
      </w:r>
      <w:r>
        <w:rPr>
          <w:b/>
        </w:rPr>
        <w:t>DAFO complementado con CAME</w:t>
      </w:r>
      <w:r>
        <w:t>; misión, visión y valores alineados con la ESA 2030; objetivos y líneas estratégicas; programación; modelo de gobernanza; sistema de seguimiento y evaluación con indicadores; y dotación presupuestaria.</w:t>
      </w:r>
    </w:p>
    <w:p w14:paraId="7D4FCBC6" w14:textId="77777777" w:rsidR="00A02A2D" w:rsidRDefault="00000000">
      <w:pPr>
        <w:ind w:firstLine="708"/>
        <w:jc w:val="both"/>
      </w:pPr>
      <w:r>
        <w:rPr>
          <w:b/>
        </w:rPr>
        <w:t>Estructura del documento 2024-2028:</w:t>
      </w:r>
      <w:r>
        <w:t xml:space="preserve"> 1. Introducción; 2. Metodología; 3. Misión, visión y valores; 4. Salud digital (qué es, tendencias, contexto normativo y estratégico); 5. Situación actual; 6. Diagnóstico de situación (DAFO y retos); 7. Enfoque estratégico; 8. Modelo de evaluación y seguimiento; 9. Gobernanza.</w:t>
      </w:r>
    </w:p>
    <w:p w14:paraId="79496C8D" w14:textId="77777777" w:rsidR="00A02A2D" w:rsidRDefault="00000000">
      <w:pPr>
        <w:spacing w:before="160" w:after="60"/>
        <w:rPr>
          <w:b/>
        </w:rPr>
      </w:pPr>
      <w:r>
        <w:rPr>
          <w:b/>
        </w:rPr>
        <w:t>7.2. Introducción: por qué una estrategia de salud digital</w:t>
      </w:r>
    </w:p>
    <w:p w14:paraId="10D666B8" w14:textId="77777777" w:rsidR="00A02A2D" w:rsidRDefault="00000000">
      <w:pPr>
        <w:ind w:firstLine="708"/>
        <w:jc w:val="both"/>
      </w:pPr>
      <w:r>
        <w:t xml:space="preserve">La salud se ve afectada por </w:t>
      </w:r>
      <w:r>
        <w:rPr>
          <w:b/>
        </w:rPr>
        <w:t>factores externos</w:t>
      </w:r>
      <w:r>
        <w:t xml:space="preserve"> como la crisis sanitaria, la inestabilidad política, los problemas medioambientales y económicos y los </w:t>
      </w:r>
      <w:r>
        <w:rPr>
          <w:b/>
        </w:rPr>
        <w:t>conflictos armados a nivel mundial</w:t>
      </w:r>
      <w:r>
        <w:t xml:space="preserve">. A ello se une un </w:t>
      </w:r>
      <w:r>
        <w:rPr>
          <w:b/>
        </w:rPr>
        <w:t>contexto social</w:t>
      </w:r>
      <w:r>
        <w:t xml:space="preserve"> con una </w:t>
      </w:r>
      <w:r>
        <w:rPr>
          <w:b/>
        </w:rPr>
        <w:t>esperanza de vida cada vez mayor</w:t>
      </w:r>
      <w:r>
        <w:t xml:space="preserve">, un </w:t>
      </w:r>
      <w:r>
        <w:rPr>
          <w:b/>
        </w:rPr>
        <w:t>incremento notable de las enfermedades crónicas</w:t>
      </w:r>
      <w:r>
        <w:t xml:space="preserve"> y una considerable </w:t>
      </w:r>
      <w:r>
        <w:rPr>
          <w:b/>
        </w:rPr>
        <w:t>presión sobre los sistemas de salud</w:t>
      </w:r>
      <w:r>
        <w:t>.</w:t>
      </w:r>
    </w:p>
    <w:p w14:paraId="0C2F6050" w14:textId="77777777" w:rsidR="00A02A2D" w:rsidRDefault="00000000">
      <w:pPr>
        <w:ind w:firstLine="708"/>
        <w:jc w:val="both"/>
      </w:pPr>
      <w:r>
        <w:t xml:space="preserve">La tecnología está transformando la forma de hacer, relacionarnos, trabajar y prestar y recibir asistencia sanitaria. Su implantación plantea </w:t>
      </w:r>
      <w:r>
        <w:rPr>
          <w:b/>
        </w:rPr>
        <w:t>desafíos regulatorios, éticos y de capacitación digital</w:t>
      </w:r>
      <w:r>
        <w:t xml:space="preserve">, pero actúa como acelerador de una </w:t>
      </w:r>
      <w:r>
        <w:rPr>
          <w:b/>
        </w:rPr>
        <w:t>asistencia sanitaria proactiva y personalizada</w:t>
      </w:r>
      <w:r>
        <w:t xml:space="preserve">. Las </w:t>
      </w:r>
      <w:r>
        <w:rPr>
          <w:b/>
        </w:rPr>
        <w:t>tecnologías disruptivas y la gestión avanzada de datos</w:t>
      </w:r>
      <w:r>
        <w:t xml:space="preserve"> se consideran </w:t>
      </w:r>
      <w:r>
        <w:rPr>
          <w:b/>
        </w:rPr>
        <w:t>pilares fundamentales para la toma de decisiones</w:t>
      </w:r>
      <w:r>
        <w:t xml:space="preserve"> informadas y eficaces, garantizando la </w:t>
      </w:r>
      <w:r>
        <w:rPr>
          <w:b/>
        </w:rPr>
        <w:t>equidad en el acceso</w:t>
      </w:r>
      <w:r>
        <w:t xml:space="preserve"> (la tecnología no la garantiza “automáticamente”).</w:t>
      </w:r>
    </w:p>
    <w:p w14:paraId="108E8AC6" w14:textId="77777777" w:rsidR="00A02A2D" w:rsidRDefault="00000000">
      <w:pPr>
        <w:ind w:firstLine="708"/>
        <w:jc w:val="both"/>
      </w:pPr>
      <w:r>
        <w:t xml:space="preserve">Una estrategia integral de salud digital permitirá </w:t>
      </w:r>
      <w:r>
        <w:rPr>
          <w:b/>
        </w:rPr>
        <w:t>aunar los esfuerzos de todos los actores implicados</w:t>
      </w:r>
      <w:r>
        <w:t xml:space="preserve"> para mejorar el sistema sanitario, atendiendo a las necesidades de las personas y aprovechando la tecnología disponible. La ESDA está </w:t>
      </w:r>
      <w:r>
        <w:rPr>
          <w:b/>
        </w:rPr>
        <w:t>al servicio de la Estrategia de Salud de Andalucía 2030 (ESA2030)</w:t>
      </w:r>
      <w:r>
        <w:t xml:space="preserve">, que define las prioridades del SSPA. Lema: </w:t>
      </w:r>
      <w:r>
        <w:rPr>
          <w:b/>
        </w:rPr>
        <w:t>“Sin estrategia no hay futuro… sin participación, nunca se hará realidad”</w:t>
      </w:r>
      <w:r>
        <w:t xml:space="preserve"> (en la versión final: “Sin estrategia no hay futuro, sin ti no hay estrategia”).</w:t>
      </w:r>
    </w:p>
    <w:p w14:paraId="476E79C3" w14:textId="77777777" w:rsidR="00A02A2D" w:rsidRDefault="00000000">
      <w:pPr>
        <w:spacing w:before="160" w:after="60"/>
        <w:rPr>
          <w:b/>
        </w:rPr>
      </w:pPr>
      <w:r>
        <w:rPr>
          <w:b/>
        </w:rPr>
        <w:t>7.3. Metodología: proceso abierto, participativo e iterativo</w:t>
      </w:r>
    </w:p>
    <w:p w14:paraId="744211A4" w14:textId="77777777" w:rsidR="00A02A2D" w:rsidRDefault="00000000">
      <w:pPr>
        <w:ind w:firstLine="708"/>
        <w:jc w:val="both"/>
      </w:pPr>
      <w:r>
        <w:rPr>
          <w:b/>
        </w:rPr>
        <w:t>Agentes implicados</w:t>
      </w:r>
      <w:r>
        <w:t xml:space="preserve"> (cuatro grupos):</w:t>
      </w:r>
    </w:p>
    <w:p w14:paraId="25ABBEAF" w14:textId="77777777" w:rsidR="00A02A2D" w:rsidRDefault="00000000">
      <w:pPr>
        <w:numPr>
          <w:ilvl w:val="0"/>
          <w:numId w:val="1"/>
        </w:numPr>
        <w:spacing w:after="40"/>
        <w:jc w:val="both"/>
      </w:pPr>
      <w:r>
        <w:rPr>
          <w:b/>
        </w:rPr>
        <w:t>Ciudadanía:</w:t>
      </w:r>
      <w:r>
        <w:t xml:space="preserve"> asociaciones y plataformas de pacientes, voluntariado, entidades de apoyo y promoción de estilos de vida saludables (y, en la versión final, asociaciones de colectivos vulnerables).</w:t>
      </w:r>
    </w:p>
    <w:p w14:paraId="48BF0E06" w14:textId="77777777" w:rsidR="00A02A2D" w:rsidRDefault="00000000">
      <w:pPr>
        <w:numPr>
          <w:ilvl w:val="0"/>
          <w:numId w:val="1"/>
        </w:numPr>
        <w:spacing w:after="40"/>
        <w:jc w:val="both"/>
      </w:pPr>
      <w:r>
        <w:rPr>
          <w:b/>
        </w:rPr>
        <w:t>Administración Pública:</w:t>
      </w:r>
      <w:r>
        <w:t xml:space="preserve"> Junta de Andalucía, profesionales sanitarios, personal directivo y gerentes, responsables de estrategias del SSPA.</w:t>
      </w:r>
    </w:p>
    <w:p w14:paraId="6489DCD6" w14:textId="77777777" w:rsidR="00A02A2D" w:rsidRDefault="00000000">
      <w:pPr>
        <w:numPr>
          <w:ilvl w:val="0"/>
          <w:numId w:val="1"/>
        </w:numPr>
        <w:spacing w:after="40"/>
        <w:jc w:val="both"/>
      </w:pPr>
      <w:r>
        <w:rPr>
          <w:b/>
        </w:rPr>
        <w:t>Centros de conocimiento:</w:t>
      </w:r>
      <w:r>
        <w:t xml:space="preserve"> centros de investigación, universidades públicas, referentes en salud digital a nivel nacional.</w:t>
      </w:r>
    </w:p>
    <w:p w14:paraId="17E9E3B9" w14:textId="77777777" w:rsidR="00A02A2D" w:rsidRDefault="00000000">
      <w:pPr>
        <w:numPr>
          <w:ilvl w:val="0"/>
          <w:numId w:val="1"/>
        </w:numPr>
        <w:spacing w:after="40"/>
        <w:jc w:val="both"/>
      </w:pPr>
      <w:r>
        <w:rPr>
          <w:b/>
        </w:rPr>
        <w:t>Entidades privadas:</w:t>
      </w:r>
      <w:r>
        <w:t xml:space="preserve"> colegios profesionales, sanidad privada, empresas tecnológicas, parques científicos tecnológicos.</w:t>
      </w:r>
    </w:p>
    <w:p w14:paraId="02D1EBDB" w14:textId="77777777" w:rsidR="00A02A2D" w:rsidRDefault="00000000">
      <w:pPr>
        <w:ind w:firstLine="708"/>
        <w:jc w:val="both"/>
      </w:pPr>
      <w:r>
        <w:t xml:space="preserve">En la relación de agentes de la versión 2024 </w:t>
      </w:r>
      <w:r>
        <w:rPr>
          <w:b/>
        </w:rPr>
        <w:t>no figuran los sindicatos</w:t>
      </w:r>
      <w:r>
        <w:t xml:space="preserve"> de profesionales sanitarios ni los sindicatos agrarios (en la versión definitiva sí se menciona la colaboración de sindicatos, como CCOO de Andalucía, dentro del comité de personas expertas). </w:t>
      </w:r>
      <w:r>
        <w:rPr>
          <w:b/>
        </w:rPr>
        <w:t>Cifras de participación</w:t>
      </w:r>
      <w:r>
        <w:t xml:space="preserve"> (versión 2024):</w:t>
      </w:r>
    </w:p>
    <w:p w14:paraId="4A51D426" w14:textId="77777777" w:rsidR="00A02A2D" w:rsidRDefault="00000000">
      <w:pPr>
        <w:numPr>
          <w:ilvl w:val="0"/>
          <w:numId w:val="1"/>
        </w:numPr>
        <w:spacing w:after="40"/>
        <w:jc w:val="both"/>
      </w:pPr>
      <w:r>
        <w:rPr>
          <w:b/>
        </w:rPr>
        <w:t>13 entrevistas individuales</w:t>
      </w:r>
      <w:r>
        <w:t xml:space="preserve"> (≈60 minutos) y </w:t>
      </w:r>
      <w:r>
        <w:rPr>
          <w:b/>
        </w:rPr>
        <w:t>8 entrevistas grupales</w:t>
      </w:r>
      <w:r>
        <w:t xml:space="preserve"> (grupos de 5-6 personas, ≈90 minutos).</w:t>
      </w:r>
    </w:p>
    <w:p w14:paraId="40449A5C" w14:textId="77777777" w:rsidR="00A02A2D" w:rsidRDefault="00000000">
      <w:pPr>
        <w:numPr>
          <w:ilvl w:val="0"/>
          <w:numId w:val="1"/>
        </w:numPr>
        <w:spacing w:after="40"/>
        <w:jc w:val="both"/>
      </w:pPr>
      <w:r>
        <w:rPr>
          <w:b/>
        </w:rPr>
        <w:lastRenderedPageBreak/>
        <w:t>Comisiones de seguimiento con más de 60 personas</w:t>
      </w:r>
      <w:r>
        <w:t xml:space="preserve"> (10 sesiones quincenales híbridas).</w:t>
      </w:r>
    </w:p>
    <w:p w14:paraId="22E2A320" w14:textId="77777777" w:rsidR="00A02A2D" w:rsidRDefault="00000000">
      <w:pPr>
        <w:numPr>
          <w:ilvl w:val="0"/>
          <w:numId w:val="1"/>
        </w:numPr>
        <w:spacing w:after="40"/>
        <w:jc w:val="both"/>
      </w:pPr>
      <w:r>
        <w:rPr>
          <w:b/>
        </w:rPr>
        <w:t>3 jornadas participativas con más de 160 personas</w:t>
      </w:r>
      <w:r>
        <w:t>, entre ellas la jornada de co-creación del 9 de abril de 2024 en la ETS de Ingeniería Informática de la Universidad de Sevilla (110 participantes), de la que salieron los retos (depurados desde 19 iniciales hasta 7).</w:t>
      </w:r>
    </w:p>
    <w:p w14:paraId="6B98C516" w14:textId="77777777" w:rsidR="00A02A2D" w:rsidRDefault="00000000">
      <w:pPr>
        <w:numPr>
          <w:ilvl w:val="0"/>
          <w:numId w:val="1"/>
        </w:numPr>
        <w:spacing w:after="40"/>
        <w:jc w:val="both"/>
      </w:pPr>
      <w:r>
        <w:rPr>
          <w:b/>
        </w:rPr>
        <w:t>Cuestionarios con más de 900 respuestas</w:t>
      </w:r>
      <w:r>
        <w:t xml:space="preserve"> (cuestionario conjunto ESA-ESDA: 628 respuestas de la ESA + 305 de agentes externos).</w:t>
      </w:r>
    </w:p>
    <w:p w14:paraId="5ECDBB40" w14:textId="77777777" w:rsidR="00A02A2D" w:rsidRDefault="00000000">
      <w:pPr>
        <w:numPr>
          <w:ilvl w:val="0"/>
          <w:numId w:val="1"/>
        </w:numPr>
        <w:spacing w:after="40"/>
        <w:jc w:val="both"/>
      </w:pPr>
      <w:r>
        <w:rPr>
          <w:b/>
        </w:rPr>
        <w:t>1 consulta pública con 17 propuestas</w:t>
      </w:r>
      <w:r>
        <w:t xml:space="preserve"> (se recibieron 24; tras depurar duplicados quedaron 17). En la versión final se contabilizan 2 consultas con 34 propuestas.</w:t>
      </w:r>
    </w:p>
    <w:p w14:paraId="15957393" w14:textId="77777777" w:rsidR="00A02A2D" w:rsidRDefault="00000000">
      <w:pPr>
        <w:numPr>
          <w:ilvl w:val="0"/>
          <w:numId w:val="1"/>
        </w:numPr>
        <w:spacing w:after="40"/>
        <w:jc w:val="both"/>
      </w:pPr>
      <w:r>
        <w:rPr>
          <w:b/>
        </w:rPr>
        <w:t>Comité director constituido.</w:t>
      </w:r>
    </w:p>
    <w:p w14:paraId="217F8268" w14:textId="77777777" w:rsidR="00A02A2D" w:rsidRDefault="00000000">
      <w:pPr>
        <w:ind w:firstLine="708"/>
        <w:jc w:val="both"/>
      </w:pPr>
      <w:r>
        <w:t>No se utilizaron grupos focales con pacientes crónicos ni encuestas cuantitativas específicas a la ciudadanía como herramienta diferenciada del cuestionario.</w:t>
      </w:r>
    </w:p>
    <w:p w14:paraId="33BA8582" w14:textId="77777777" w:rsidR="00A02A2D" w:rsidRDefault="00000000">
      <w:pPr>
        <w:spacing w:before="160" w:after="60"/>
        <w:rPr>
          <w:b/>
        </w:rPr>
      </w:pPr>
      <w:r>
        <w:rPr>
          <w:b/>
        </w:rPr>
        <w:t>7.4. Misión, visión y valores</w:t>
      </w:r>
    </w:p>
    <w:p w14:paraId="15A088C6" w14:textId="77777777" w:rsidR="00A02A2D" w:rsidRDefault="00000000">
      <w:pPr>
        <w:ind w:firstLine="708"/>
        <w:jc w:val="both"/>
      </w:pPr>
      <w:r>
        <w:t xml:space="preserve">Formulados con la participación de perfiles internos del SSPA, bajo consenso y con sentido de realismo, sirven de </w:t>
      </w:r>
      <w:r>
        <w:rPr>
          <w:b/>
        </w:rPr>
        <w:t>base para regir las políticas y compromisos del SSPA hacia la transformación digital</w:t>
      </w:r>
      <w:r>
        <w:t xml:space="preserve"> y aseguran el alineamiento con la ESA 2030.</w:t>
      </w:r>
    </w:p>
    <w:p w14:paraId="4AABBE6A" w14:textId="77777777" w:rsidR="00A02A2D" w:rsidRDefault="00000000">
      <w:pPr>
        <w:numPr>
          <w:ilvl w:val="0"/>
          <w:numId w:val="1"/>
        </w:numPr>
        <w:spacing w:after="40"/>
        <w:jc w:val="both"/>
      </w:pPr>
      <w:r>
        <w:rPr>
          <w:b/>
        </w:rPr>
        <w:t>Misión</w:t>
      </w:r>
      <w:r>
        <w:t xml:space="preserve"> (razón de ser que justifica el impulso de la estrategia): “</w:t>
      </w:r>
      <w:r>
        <w:rPr>
          <w:b/>
        </w:rPr>
        <w:t>Contribuir a la preservación y promoción de la salud, mediante el uso de la tecnología como apoyo a la atención sanitaria y elemento transformador del Sistema Sanitario Público de Andalucía</w:t>
      </w:r>
      <w:r>
        <w:t>”.</w:t>
      </w:r>
    </w:p>
    <w:p w14:paraId="39B4C1F9" w14:textId="77777777" w:rsidR="00A02A2D" w:rsidRDefault="00000000">
      <w:pPr>
        <w:numPr>
          <w:ilvl w:val="0"/>
          <w:numId w:val="1"/>
        </w:numPr>
        <w:spacing w:after="40"/>
        <w:jc w:val="both"/>
      </w:pPr>
      <w:r>
        <w:rPr>
          <w:b/>
        </w:rPr>
        <w:t>Visión:</w:t>
      </w:r>
      <w:r>
        <w:t xml:space="preserve"> “</w:t>
      </w:r>
      <w:r>
        <w:rPr>
          <w:b/>
        </w:rPr>
        <w:t>Ser una organización sanitaria madura digitalmente, que presta servicios de alto valor</w:t>
      </w:r>
      <w:r>
        <w:t xml:space="preserve">”, posicionando al SSPA como </w:t>
      </w:r>
      <w:r>
        <w:rPr>
          <w:b/>
        </w:rPr>
        <w:t>referente en la integración de tecnologías digitales</w:t>
      </w:r>
      <w:r>
        <w:t xml:space="preserve">, empleando de manera efectiva las herramientas y plataformas disponibles. La madurez digital no es solo adoptar tecnología, sino la </w:t>
      </w:r>
      <w:r>
        <w:rPr>
          <w:b/>
        </w:rPr>
        <w:t>capacidad de adaptarse de manera ágil a las cambiantes dinámicas del entorno digital</w:t>
      </w:r>
      <w:r>
        <w:t>, ofreciendo servicios eficientes, accesibles e innovadores.</w:t>
      </w:r>
    </w:p>
    <w:p w14:paraId="668242A6" w14:textId="77777777" w:rsidR="00A02A2D" w:rsidRDefault="00000000">
      <w:pPr>
        <w:ind w:firstLine="708"/>
        <w:jc w:val="both"/>
      </w:pPr>
      <w:r>
        <w:rPr>
          <w:b/>
        </w:rPr>
        <w:t>Valores</w:t>
      </w:r>
      <w:r>
        <w:t xml:space="preserve"> (8, compartidos con la ESA 2030). Son </w:t>
      </w:r>
      <w:r>
        <w:rPr>
          <w:b/>
        </w:rPr>
        <w:t>principios transversales</w:t>
      </w:r>
      <w:r>
        <w:t xml:space="preserve"> relacionados con la misión de la sanidad como servicio público, </w:t>
      </w:r>
      <w:r>
        <w:rPr>
          <w:b/>
        </w:rPr>
        <w:t>compromisos que deben interiorizar todos los integrantes del SSPA</w:t>
      </w:r>
      <w:r>
        <w:t xml:space="preserve">. La “innovación” o la “coordinación interinstitucional” </w:t>
      </w:r>
      <w:r>
        <w:rPr>
          <w:b/>
        </w:rPr>
        <w:t>no</w:t>
      </w:r>
      <w:r>
        <w:t xml:space="preserve"> son valores de la ESDA:</w:t>
      </w:r>
    </w:p>
    <w:p w14:paraId="2E43C84D" w14:textId="77777777" w:rsidR="00A02A2D" w:rsidRDefault="00000000">
      <w:pPr>
        <w:numPr>
          <w:ilvl w:val="0"/>
          <w:numId w:val="1"/>
        </w:numPr>
        <w:spacing w:after="40"/>
        <w:jc w:val="both"/>
      </w:pPr>
      <w:r>
        <w:rPr>
          <w:b/>
        </w:rPr>
        <w:t>Ética:</w:t>
      </w:r>
      <w:r>
        <w:t xml:space="preserve"> aplicar valores morales en la toma de decisiones y práctica médica.</w:t>
      </w:r>
    </w:p>
    <w:p w14:paraId="7967FE52" w14:textId="77777777" w:rsidR="00A02A2D" w:rsidRDefault="00000000">
      <w:pPr>
        <w:numPr>
          <w:ilvl w:val="0"/>
          <w:numId w:val="1"/>
        </w:numPr>
        <w:spacing w:after="40"/>
        <w:jc w:val="both"/>
      </w:pPr>
      <w:r>
        <w:rPr>
          <w:b/>
        </w:rPr>
        <w:t>Eficiencia:</w:t>
      </w:r>
      <w:r>
        <w:t xml:space="preserve"> utilizar recursos óptimamente para resultados efectivos.</w:t>
      </w:r>
    </w:p>
    <w:p w14:paraId="25949384" w14:textId="77777777" w:rsidR="00A02A2D" w:rsidRDefault="00000000">
      <w:pPr>
        <w:numPr>
          <w:ilvl w:val="0"/>
          <w:numId w:val="1"/>
        </w:numPr>
        <w:spacing w:after="40"/>
        <w:jc w:val="both"/>
      </w:pPr>
      <w:r>
        <w:rPr>
          <w:b/>
        </w:rPr>
        <w:t>Accesibilidad:</w:t>
      </w:r>
      <w:r>
        <w:t xml:space="preserve"> garantizar acceso equitativo a servicios sanitarios de calidad (valor que evita que la tecnología amplíe desigualdades).</w:t>
      </w:r>
    </w:p>
    <w:p w14:paraId="4FEBEF04" w14:textId="77777777" w:rsidR="00A02A2D" w:rsidRDefault="00000000">
      <w:pPr>
        <w:numPr>
          <w:ilvl w:val="0"/>
          <w:numId w:val="1"/>
        </w:numPr>
        <w:spacing w:after="40"/>
        <w:jc w:val="both"/>
      </w:pPr>
      <w:r>
        <w:rPr>
          <w:b/>
        </w:rPr>
        <w:t>Corresponsabilidad:</w:t>
      </w:r>
      <w:r>
        <w:t xml:space="preserve"> asumir obligaciones y deberes para garantizar seguridad y calidad.</w:t>
      </w:r>
    </w:p>
    <w:p w14:paraId="293D51E8" w14:textId="77777777" w:rsidR="00A02A2D" w:rsidRDefault="00000000">
      <w:pPr>
        <w:numPr>
          <w:ilvl w:val="0"/>
          <w:numId w:val="1"/>
        </w:numPr>
        <w:spacing w:after="40"/>
        <w:jc w:val="both"/>
      </w:pPr>
      <w:r>
        <w:rPr>
          <w:b/>
        </w:rPr>
        <w:t>Sostenibilidad:</w:t>
      </w:r>
      <w:r>
        <w:t xml:space="preserve"> satisfacer necesidades actuales sin comprometer el futuro.</w:t>
      </w:r>
    </w:p>
    <w:p w14:paraId="307C08E0" w14:textId="77777777" w:rsidR="00A02A2D" w:rsidRDefault="00000000">
      <w:pPr>
        <w:numPr>
          <w:ilvl w:val="0"/>
          <w:numId w:val="1"/>
        </w:numPr>
        <w:spacing w:after="40"/>
        <w:jc w:val="both"/>
      </w:pPr>
      <w:r>
        <w:rPr>
          <w:b/>
        </w:rPr>
        <w:t>Transparencia:</w:t>
      </w:r>
      <w:r>
        <w:t xml:space="preserve"> ser claros y honestos en todas las actuaciones.</w:t>
      </w:r>
    </w:p>
    <w:p w14:paraId="216D39D1" w14:textId="77777777" w:rsidR="00A02A2D" w:rsidRDefault="00000000">
      <w:pPr>
        <w:numPr>
          <w:ilvl w:val="0"/>
          <w:numId w:val="1"/>
        </w:numPr>
        <w:spacing w:after="40"/>
        <w:jc w:val="both"/>
      </w:pPr>
      <w:r>
        <w:rPr>
          <w:b/>
        </w:rPr>
        <w:t>Participación:</w:t>
      </w:r>
      <w:r>
        <w:t xml:space="preserve"> involucrar activamente a los agentes implicados en el SSPA.</w:t>
      </w:r>
    </w:p>
    <w:p w14:paraId="764FC27E" w14:textId="77777777" w:rsidR="00A02A2D" w:rsidRDefault="00000000">
      <w:pPr>
        <w:numPr>
          <w:ilvl w:val="0"/>
          <w:numId w:val="1"/>
        </w:numPr>
        <w:spacing w:after="40"/>
        <w:jc w:val="both"/>
      </w:pPr>
      <w:r>
        <w:rPr>
          <w:b/>
        </w:rPr>
        <w:t>Calidad asistencial:</w:t>
      </w:r>
      <w:r>
        <w:t xml:space="preserve"> ofrecer servicios de salud de calidad y centrados en la persona.</w:t>
      </w:r>
    </w:p>
    <w:p w14:paraId="6F848475" w14:textId="77777777" w:rsidR="00F7524F" w:rsidRDefault="00F7524F" w:rsidP="00F7524F">
      <w:pPr>
        <w:spacing w:after="40"/>
        <w:ind w:left="720"/>
        <w:jc w:val="both"/>
      </w:pPr>
    </w:p>
    <w:p w14:paraId="6CE5451F" w14:textId="77777777" w:rsidR="00A02A2D" w:rsidRDefault="00000000">
      <w:pPr>
        <w:spacing w:before="160" w:after="60"/>
        <w:rPr>
          <w:b/>
        </w:rPr>
      </w:pPr>
      <w:r>
        <w:rPr>
          <w:b/>
        </w:rPr>
        <w:lastRenderedPageBreak/>
        <w:t>7.5. La salud digital: concepto, tendencias e impacto</w:t>
      </w:r>
    </w:p>
    <w:p w14:paraId="32999F16" w14:textId="77777777" w:rsidR="00A02A2D" w:rsidRDefault="00000000">
      <w:pPr>
        <w:ind w:firstLine="708"/>
        <w:jc w:val="both"/>
      </w:pPr>
      <w:r>
        <w:t>La ESDA distingue dos dimensiones:</w:t>
      </w:r>
    </w:p>
    <w:p w14:paraId="4A78ED54" w14:textId="77777777" w:rsidR="00A02A2D" w:rsidRDefault="00000000">
      <w:pPr>
        <w:numPr>
          <w:ilvl w:val="0"/>
          <w:numId w:val="1"/>
        </w:numPr>
        <w:spacing w:after="40"/>
        <w:jc w:val="both"/>
      </w:pPr>
      <w:r>
        <w:rPr>
          <w:b/>
        </w:rPr>
        <w:t>Salud digital “hacia fuera”:</w:t>
      </w:r>
      <w:r>
        <w:t xml:space="preserve"> forma en la que la tecnología se aplica directamente a la </w:t>
      </w:r>
      <w:r>
        <w:rPr>
          <w:b/>
        </w:rPr>
        <w:t>mejora de los resultados en salud</w:t>
      </w:r>
      <w:r>
        <w:t xml:space="preserve"> (telemedicina, gestión de la atención domiciliaria, historia clínica, genómica, modelos de segmentación de pacientes, atención basada en datos, medicina 6P, autocuidados, cribados inteligentes, gestión temprana de alertas, nuevas terapias, I+D+i…).</w:t>
      </w:r>
    </w:p>
    <w:p w14:paraId="1C357D4B" w14:textId="77777777" w:rsidR="00A02A2D" w:rsidRDefault="00000000">
      <w:pPr>
        <w:numPr>
          <w:ilvl w:val="0"/>
          <w:numId w:val="1"/>
        </w:numPr>
        <w:spacing w:after="40"/>
        <w:jc w:val="both"/>
      </w:pPr>
      <w:r>
        <w:rPr>
          <w:b/>
        </w:rPr>
        <w:t>Salud digital “hacia dentro”:</w:t>
      </w:r>
      <w:r>
        <w:t xml:space="preserve"> aplicación de la tecnología a la </w:t>
      </w:r>
      <w:r>
        <w:rPr>
          <w:b/>
        </w:rPr>
        <w:t>mejora interna de los sistemas sanitarios</w:t>
      </w:r>
      <w:r>
        <w:t xml:space="preserve"> (sistemas de información e infraestructuras, interoperabilidad, competencias digitales, eficiencia operativa, automatización de procesos, nuevas formas de trabajo, omnicanalidad, experiencia digital, ciberseguridad, gobierno del dato, talento digital). Sus destinatarios son </w:t>
      </w:r>
      <w:r>
        <w:rPr>
          <w:b/>
        </w:rPr>
        <w:t>industria, profesionales, ciudadanía y centros de conocimiento</w:t>
      </w:r>
      <w:r>
        <w:t>.</w:t>
      </w:r>
    </w:p>
    <w:p w14:paraId="4B146E8D" w14:textId="77777777" w:rsidR="00A02A2D" w:rsidRDefault="00000000">
      <w:pPr>
        <w:spacing w:before="120" w:after="40"/>
        <w:rPr>
          <w:b/>
          <w:i/>
        </w:rPr>
      </w:pPr>
      <w:r>
        <w:rPr>
          <w:b/>
          <w:i/>
        </w:rPr>
        <w:t>Tendencias que impulsan la salud digital</w:t>
      </w:r>
    </w:p>
    <w:p w14:paraId="69E1FBED" w14:textId="77777777" w:rsidR="00A02A2D" w:rsidRDefault="00000000">
      <w:pPr>
        <w:numPr>
          <w:ilvl w:val="0"/>
          <w:numId w:val="1"/>
        </w:numPr>
        <w:spacing w:after="40"/>
        <w:jc w:val="both"/>
      </w:pPr>
      <w:r>
        <w:rPr>
          <w:b/>
        </w:rPr>
        <w:t>Inteligencia Artificial:</w:t>
      </w:r>
      <w:r>
        <w:t xml:space="preserve"> eje hacia un paradigma centrado en los datos. Apoyo al diagnóstico (precisión y rapidez en imagen y laboratorio); atención personalizada, predicción y prevención; información a la ciudadanía y autocuidado; eficiencia de procesos asistenciales y no asistenciales; catalizador de la investigación de dispositivos, medicamentos y terapias; análisis de tendencias y modelado de patrones para la </w:t>
      </w:r>
      <w:r>
        <w:rPr>
          <w:b/>
        </w:rPr>
        <w:t>Salud Pública</w:t>
      </w:r>
      <w:r>
        <w:t xml:space="preserve">; la </w:t>
      </w:r>
      <w:r>
        <w:rPr>
          <w:b/>
        </w:rPr>
        <w:t>IA generativa</w:t>
      </w:r>
      <w:r>
        <w:t xml:space="preserve"> permite </w:t>
      </w:r>
      <w:r>
        <w:rPr>
          <w:b/>
        </w:rPr>
        <w:t>automatizar procesos administrativos, gestionar historias clínicas y analizar datos</w:t>
      </w:r>
      <w:r>
        <w:t>; eje de iniciativas que relacionan datos clínicos, ómicos, etc.; gobierno y administración del dato.</w:t>
      </w:r>
    </w:p>
    <w:p w14:paraId="1D8A91BC" w14:textId="77777777" w:rsidR="00A02A2D" w:rsidRDefault="00000000">
      <w:pPr>
        <w:numPr>
          <w:ilvl w:val="0"/>
          <w:numId w:val="1"/>
        </w:numPr>
        <w:spacing w:after="40"/>
        <w:jc w:val="both"/>
      </w:pPr>
      <w:r>
        <w:rPr>
          <w:b/>
        </w:rPr>
        <w:t>Servicios en la nube:</w:t>
      </w:r>
      <w:r>
        <w:t xml:space="preserve"> implantación rápida y eficiente, uso sostenible de recursos adaptados dinámicamente, </w:t>
      </w:r>
      <w:r>
        <w:rPr>
          <w:b/>
        </w:rPr>
        <w:t>mayor capacidad de computación y almacenamiento</w:t>
      </w:r>
      <w:r>
        <w:t xml:space="preserve"> y espacio interoperable.</w:t>
      </w:r>
    </w:p>
    <w:p w14:paraId="68059C95" w14:textId="77777777" w:rsidR="00A02A2D" w:rsidRDefault="00000000">
      <w:pPr>
        <w:numPr>
          <w:ilvl w:val="0"/>
          <w:numId w:val="1"/>
        </w:numPr>
        <w:spacing w:after="40"/>
        <w:jc w:val="both"/>
      </w:pPr>
      <w:r>
        <w:rPr>
          <w:b/>
        </w:rPr>
        <w:t>Internet de las cosas (IoT):</w:t>
      </w:r>
      <w:r>
        <w:t xml:space="preserve"> seguimiento personalizado de pacientes (</w:t>
      </w:r>
      <w:r>
        <w:rPr>
          <w:b/>
        </w:rPr>
        <w:t>telemonitorización</w:t>
      </w:r>
      <w:r>
        <w:t>), evita desplazamientos y descongestiona el sistema; requiere análisis y gobierno de los datos.</w:t>
      </w:r>
    </w:p>
    <w:p w14:paraId="3A54DE50" w14:textId="77777777" w:rsidR="00A02A2D" w:rsidRDefault="00000000">
      <w:pPr>
        <w:numPr>
          <w:ilvl w:val="0"/>
          <w:numId w:val="1"/>
        </w:numPr>
        <w:spacing w:after="40"/>
        <w:jc w:val="both"/>
      </w:pPr>
      <w:r>
        <w:rPr>
          <w:b/>
        </w:rPr>
        <w:t>Ciberseguridad:</w:t>
      </w:r>
      <w:r>
        <w:t xml:space="preserve"> fortalece los sistemas y garantiza la prevención, detección y respuesta ante incidentes.</w:t>
      </w:r>
    </w:p>
    <w:p w14:paraId="64E18943" w14:textId="77777777" w:rsidR="00A02A2D" w:rsidRDefault="00000000">
      <w:pPr>
        <w:numPr>
          <w:ilvl w:val="0"/>
          <w:numId w:val="1"/>
        </w:numPr>
        <w:spacing w:after="40"/>
        <w:jc w:val="both"/>
      </w:pPr>
      <w:r>
        <w:rPr>
          <w:b/>
        </w:rPr>
        <w:t>Realidad aumentada, virtual y mixta:</w:t>
      </w:r>
      <w:r>
        <w:t xml:space="preserve"> </w:t>
      </w:r>
      <w:r>
        <w:rPr>
          <w:b/>
        </w:rPr>
        <w:t>abre nuevas posibilidades de relación entre profesionales y ciudadanía</w:t>
      </w:r>
      <w:r>
        <w:t xml:space="preserve"> (consultas virtuales, rehabilitación postoperatoria), nuevos abordajes terapéuticos y formación de profesionales sin riesgo.</w:t>
      </w:r>
    </w:p>
    <w:p w14:paraId="3B5BC640" w14:textId="77777777" w:rsidR="00A02A2D" w:rsidRDefault="00000000">
      <w:pPr>
        <w:numPr>
          <w:ilvl w:val="0"/>
          <w:numId w:val="1"/>
        </w:numPr>
        <w:spacing w:after="40"/>
        <w:jc w:val="both"/>
      </w:pPr>
      <w:r>
        <w:rPr>
          <w:b/>
        </w:rPr>
        <w:t>Automatización y orquestación de procesos:</w:t>
      </w:r>
      <w:r>
        <w:t xml:space="preserve"> </w:t>
      </w:r>
      <w:r>
        <w:rPr>
          <w:b/>
        </w:rPr>
        <w:t>facilita la integración e interoperabilidad de los sistemas sanitarios</w:t>
      </w:r>
      <w:r>
        <w:t xml:space="preserve">, homogeneiza procesos y </w:t>
      </w:r>
      <w:r>
        <w:rPr>
          <w:b/>
        </w:rPr>
        <w:t>reduce tareas innecesarias y repetitivas</w:t>
      </w:r>
      <w:r>
        <w:t xml:space="preserve"> (eficiencia operativa).</w:t>
      </w:r>
    </w:p>
    <w:p w14:paraId="4AD16934" w14:textId="77777777" w:rsidR="00A02A2D" w:rsidRDefault="00000000">
      <w:pPr>
        <w:numPr>
          <w:ilvl w:val="0"/>
          <w:numId w:val="1"/>
        </w:numPr>
        <w:spacing w:after="40"/>
        <w:jc w:val="both"/>
      </w:pPr>
      <w:r>
        <w:rPr>
          <w:b/>
        </w:rPr>
        <w:t>Big Data y analítica avanzada:</w:t>
      </w:r>
      <w:r>
        <w:t xml:space="preserve"> </w:t>
      </w:r>
      <w:r>
        <w:rPr>
          <w:b/>
        </w:rPr>
        <w:t>ingesta y tratamiento masivo de grandes volúmenes de datos</w:t>
      </w:r>
      <w:r>
        <w:t>, herramientas de explotación del dato para uso asistencial y de gestión y, junto a la IA, detección de patrones y tendencias.</w:t>
      </w:r>
    </w:p>
    <w:p w14:paraId="5EBDD591" w14:textId="77777777" w:rsidR="00A02A2D" w:rsidRDefault="00000000">
      <w:pPr>
        <w:numPr>
          <w:ilvl w:val="0"/>
          <w:numId w:val="1"/>
        </w:numPr>
        <w:spacing w:after="40"/>
        <w:jc w:val="both"/>
      </w:pPr>
      <w:r>
        <w:t xml:space="preserve">(Versión final) </w:t>
      </w:r>
      <w:r>
        <w:rPr>
          <w:b/>
        </w:rPr>
        <w:t>Competencias digitales</w:t>
      </w:r>
      <w:r>
        <w:t xml:space="preserve"> como tendencia; </w:t>
      </w:r>
      <w:r>
        <w:rPr>
          <w:b/>
        </w:rPr>
        <w:t>blockchain no aparece</w:t>
      </w:r>
      <w:r>
        <w:t xml:space="preserve"> entre las tendencias de la ESDA.</w:t>
      </w:r>
    </w:p>
    <w:p w14:paraId="33B7082C" w14:textId="77777777" w:rsidR="00A02A2D" w:rsidRDefault="00000000">
      <w:pPr>
        <w:spacing w:before="120" w:after="40"/>
        <w:rPr>
          <w:b/>
          <w:i/>
        </w:rPr>
      </w:pPr>
      <w:r>
        <w:rPr>
          <w:b/>
          <w:i/>
        </w:rPr>
        <w:t>¿Cómo influyen las tendencias en el sistema sanitario?</w:t>
      </w:r>
    </w:p>
    <w:p w14:paraId="0FC15A6D" w14:textId="77777777" w:rsidR="00A02A2D" w:rsidRDefault="00000000">
      <w:pPr>
        <w:numPr>
          <w:ilvl w:val="0"/>
          <w:numId w:val="1"/>
        </w:numPr>
        <w:spacing w:after="40"/>
        <w:jc w:val="both"/>
      </w:pPr>
      <w:r>
        <w:rPr>
          <w:b/>
        </w:rPr>
        <w:t>Servicios digitales de salud:</w:t>
      </w:r>
      <w:r>
        <w:t xml:space="preserve"> telemedicina, teleasistencia, telemonitorización, apps, soluciones para la cronicidad.</w:t>
      </w:r>
    </w:p>
    <w:p w14:paraId="07B6C44B" w14:textId="77777777" w:rsidR="00A02A2D" w:rsidRDefault="00000000">
      <w:pPr>
        <w:numPr>
          <w:ilvl w:val="0"/>
          <w:numId w:val="1"/>
        </w:numPr>
        <w:spacing w:after="40"/>
        <w:jc w:val="both"/>
      </w:pPr>
      <w:r>
        <w:rPr>
          <w:b/>
        </w:rPr>
        <w:lastRenderedPageBreak/>
        <w:t>Toma de decisiones basada en datos:</w:t>
      </w:r>
      <w:r>
        <w:t xml:space="preserve"> </w:t>
      </w:r>
      <w:r>
        <w:rPr>
          <w:b/>
        </w:rPr>
        <w:t>Medicina 6P</w:t>
      </w:r>
      <w:r>
        <w:t xml:space="preserve"> (preventiva, predictiva, participativa, personalizada, de precisión y poblacional); prevención, predicción y promoción; gobierno del dato (principios, ética, normativa, procesos).</w:t>
      </w:r>
    </w:p>
    <w:p w14:paraId="099529AC" w14:textId="77777777" w:rsidR="00A02A2D" w:rsidRDefault="00000000">
      <w:pPr>
        <w:numPr>
          <w:ilvl w:val="0"/>
          <w:numId w:val="1"/>
        </w:numPr>
        <w:spacing w:after="40"/>
        <w:jc w:val="both"/>
      </w:pPr>
      <w:r>
        <w:rPr>
          <w:b/>
        </w:rPr>
        <w:t>Transformación digital:</w:t>
      </w:r>
      <w:r>
        <w:t xml:space="preserve"> nuevas herramientas de apoyo, conexión entre SSII de distintos niveles, renovación de tecnologías obsoletas, sistemas más robustos y sostenibles.</w:t>
      </w:r>
    </w:p>
    <w:p w14:paraId="3A6C5658" w14:textId="77777777" w:rsidR="00A02A2D" w:rsidRDefault="00000000">
      <w:pPr>
        <w:numPr>
          <w:ilvl w:val="0"/>
          <w:numId w:val="1"/>
        </w:numPr>
        <w:spacing w:after="40"/>
        <w:jc w:val="both"/>
      </w:pPr>
      <w:r>
        <w:rPr>
          <w:b/>
        </w:rPr>
        <w:t>Innovación:</w:t>
      </w:r>
      <w:r>
        <w:t xml:space="preserve"> medicina de vanguardia, investigación aplicada y colaboración multidisciplinar.</w:t>
      </w:r>
    </w:p>
    <w:p w14:paraId="693943E9" w14:textId="77777777" w:rsidR="00A02A2D" w:rsidRDefault="00000000">
      <w:pPr>
        <w:numPr>
          <w:ilvl w:val="0"/>
          <w:numId w:val="1"/>
        </w:numPr>
        <w:spacing w:after="40"/>
        <w:jc w:val="both"/>
      </w:pPr>
      <w:r>
        <w:rPr>
          <w:b/>
        </w:rPr>
        <w:t>Gobernanza:</w:t>
      </w:r>
      <w:r>
        <w:t xml:space="preserve"> transparencia y accesibilidad a la información, participación de los agentes y coordinación y sinergias entre ellos (la aplicación de terapias digitales </w:t>
      </w:r>
      <w:r>
        <w:rPr>
          <w:b/>
        </w:rPr>
        <w:t>no</w:t>
      </w:r>
      <w:r>
        <w:t xml:space="preserve"> es un objetivo de gobernanza).</w:t>
      </w:r>
    </w:p>
    <w:p w14:paraId="54EF2898" w14:textId="77777777" w:rsidR="00A02A2D" w:rsidRDefault="00000000">
      <w:pPr>
        <w:numPr>
          <w:ilvl w:val="0"/>
          <w:numId w:val="1"/>
        </w:numPr>
        <w:spacing w:after="40"/>
        <w:jc w:val="both"/>
      </w:pPr>
      <w:r>
        <w:rPr>
          <w:b/>
        </w:rPr>
        <w:t>Humanización:</w:t>
      </w:r>
      <w:r>
        <w:t xml:space="preserve"> personas en el centro; acompañamiento en la transformación.</w:t>
      </w:r>
    </w:p>
    <w:p w14:paraId="75F53F15" w14:textId="77777777" w:rsidR="00A02A2D" w:rsidRDefault="00000000">
      <w:pPr>
        <w:numPr>
          <w:ilvl w:val="0"/>
          <w:numId w:val="1"/>
        </w:numPr>
        <w:spacing w:after="40"/>
        <w:jc w:val="both"/>
      </w:pPr>
      <w:r>
        <w:rPr>
          <w:b/>
        </w:rPr>
        <w:t>Capacitación:</w:t>
      </w:r>
      <w:r>
        <w:t xml:space="preserve"> competencias digitales a todos los niveles y especialización del talento.</w:t>
      </w:r>
    </w:p>
    <w:p w14:paraId="5C821019" w14:textId="77777777" w:rsidR="00A02A2D" w:rsidRDefault="00000000">
      <w:pPr>
        <w:spacing w:before="160" w:after="60"/>
        <w:rPr>
          <w:b/>
        </w:rPr>
      </w:pPr>
      <w:r>
        <w:rPr>
          <w:b/>
        </w:rPr>
        <w:t>7.6. Contexto normativo y estratégico</w:t>
      </w:r>
    </w:p>
    <w:p w14:paraId="04B07883" w14:textId="77777777" w:rsidR="00A02A2D" w:rsidRDefault="00000000">
      <w:pPr>
        <w:spacing w:before="120" w:after="40"/>
        <w:rPr>
          <w:b/>
          <w:i/>
        </w:rPr>
      </w:pPr>
      <w:r>
        <w:rPr>
          <w:b/>
          <w:i/>
        </w:rPr>
        <w:t>Normativa europea</w:t>
      </w:r>
    </w:p>
    <w:p w14:paraId="010BDC83" w14:textId="77777777" w:rsidR="00A02A2D" w:rsidRDefault="00000000">
      <w:pPr>
        <w:numPr>
          <w:ilvl w:val="0"/>
          <w:numId w:val="1"/>
        </w:numPr>
        <w:spacing w:after="40"/>
        <w:jc w:val="both"/>
      </w:pPr>
      <w:r>
        <w:rPr>
          <w:b/>
        </w:rPr>
        <w:t>Reglamento (UE) 2021/522 (programa UEproSalud / EU4Health 2021-2027):</w:t>
      </w:r>
      <w:r>
        <w:t xml:space="preserve"> directrices para un programa de acción digital en salud, con implicaciones normativas, estratégicas y de financiación.</w:t>
      </w:r>
    </w:p>
    <w:p w14:paraId="3F17336E" w14:textId="77777777" w:rsidR="00A02A2D" w:rsidRDefault="00000000">
      <w:pPr>
        <w:numPr>
          <w:ilvl w:val="0"/>
          <w:numId w:val="1"/>
        </w:numPr>
        <w:spacing w:after="40"/>
        <w:jc w:val="both"/>
      </w:pPr>
      <w:r>
        <w:rPr>
          <w:b/>
        </w:rPr>
        <w:t>Data Governance Act (Reglamento de Gobernanza de Datos):</w:t>
      </w:r>
      <w:r>
        <w:t xml:space="preserve"> impulsa la interoperabilidad y sistemas confiables de intercambio de datos para mejorar tratamientos y servicios sanitarios.</w:t>
      </w:r>
    </w:p>
    <w:p w14:paraId="781CD262" w14:textId="77777777" w:rsidR="00A02A2D" w:rsidRDefault="00000000">
      <w:pPr>
        <w:numPr>
          <w:ilvl w:val="0"/>
          <w:numId w:val="1"/>
        </w:numPr>
        <w:spacing w:after="40"/>
        <w:jc w:val="both"/>
      </w:pPr>
      <w:r>
        <w:rPr>
          <w:b/>
        </w:rPr>
        <w:t>Reglamento (UE) 2016/679 (RGPD)</w:t>
      </w:r>
      <w:r>
        <w:t xml:space="preserve">, que deroga la Directiva 95/46/CE; </w:t>
      </w:r>
      <w:r>
        <w:rPr>
          <w:b/>
        </w:rPr>
        <w:t>Reglamento (UE) 2017/745</w:t>
      </w:r>
      <w:r>
        <w:t xml:space="preserve"> de productos sanitarios; (versión final) </w:t>
      </w:r>
      <w:r>
        <w:rPr>
          <w:b/>
        </w:rPr>
        <w:t>Reglamento (UE) 2024/1689 de Inteligencia Artificial</w:t>
      </w:r>
      <w:r>
        <w:t>.</w:t>
      </w:r>
    </w:p>
    <w:p w14:paraId="04BFF397" w14:textId="77777777" w:rsidR="00A02A2D" w:rsidRDefault="00000000">
      <w:pPr>
        <w:numPr>
          <w:ilvl w:val="0"/>
          <w:numId w:val="1"/>
        </w:numPr>
        <w:spacing w:after="40"/>
        <w:jc w:val="both"/>
      </w:pPr>
      <w:r>
        <w:rPr>
          <w:b/>
        </w:rPr>
        <w:t>Espacio Europeo de Datos Sanitarios (EHDS):</w:t>
      </w:r>
      <w:r>
        <w:t xml:space="preserve"> reglas, infraestructuras y gobernanza comunes para </w:t>
      </w:r>
      <w:r>
        <w:rPr>
          <w:b/>
        </w:rPr>
        <w:t>facilitar el acceso y control de la ciudadanía sobre sus datos sanitarios</w:t>
      </w:r>
      <w:r>
        <w:t xml:space="preserve"> y su uso secundario para </w:t>
      </w:r>
      <w:r>
        <w:rPr>
          <w:b/>
        </w:rPr>
        <w:t>investigación, innovación, formulación de políticas y reglamentación</w:t>
      </w:r>
      <w:r>
        <w:t>.</w:t>
      </w:r>
    </w:p>
    <w:p w14:paraId="52F0903E" w14:textId="77777777" w:rsidR="00A02A2D" w:rsidRDefault="00000000">
      <w:pPr>
        <w:numPr>
          <w:ilvl w:val="0"/>
          <w:numId w:val="1"/>
        </w:numPr>
        <w:spacing w:after="40"/>
        <w:jc w:val="both"/>
      </w:pPr>
      <w:r>
        <w:t xml:space="preserve">Otras referencias: Estrategia Mundial sobre Salud Digital 2020-2025 (OMS), Estrategia Global de Salud de la UE, </w:t>
      </w:r>
      <w:r>
        <w:rPr>
          <w:b/>
        </w:rPr>
        <w:t>Plan de Salud Digital para Europa 2023-2030</w:t>
      </w:r>
      <w:r>
        <w:t>.</w:t>
      </w:r>
    </w:p>
    <w:p w14:paraId="71DA70B0" w14:textId="77777777" w:rsidR="00A02A2D" w:rsidRDefault="00000000">
      <w:pPr>
        <w:spacing w:before="120" w:after="40"/>
        <w:rPr>
          <w:b/>
          <w:i/>
        </w:rPr>
      </w:pPr>
      <w:r>
        <w:rPr>
          <w:b/>
          <w:i/>
        </w:rPr>
        <w:t>Normativa estatal</w:t>
      </w:r>
    </w:p>
    <w:p w14:paraId="64220BCB" w14:textId="77777777" w:rsidR="00A02A2D" w:rsidRDefault="00000000">
      <w:pPr>
        <w:numPr>
          <w:ilvl w:val="0"/>
          <w:numId w:val="1"/>
        </w:numPr>
        <w:spacing w:after="40"/>
        <w:jc w:val="both"/>
      </w:pPr>
      <w:r>
        <w:rPr>
          <w:b/>
        </w:rPr>
        <w:t>RD 311/2022, de 3 de mayo, Esquema Nacional de Seguridad</w:t>
      </w:r>
      <w:r>
        <w:t xml:space="preserve">; </w:t>
      </w:r>
      <w:r>
        <w:rPr>
          <w:b/>
        </w:rPr>
        <w:t>RD 4/2010, Esquema Nacional de Interoperabilidad</w:t>
      </w:r>
      <w:r>
        <w:t xml:space="preserve">; RD 203/2021 (actuación del sector público por medios electrónicos); RD 1112/2018 (accesibilidad web y apps); RD 572/2023, que modifica el </w:t>
      </w:r>
      <w:r>
        <w:rPr>
          <w:b/>
        </w:rPr>
        <w:t>RD 1093/2010</w:t>
      </w:r>
      <w:r>
        <w:t xml:space="preserve"> (conjunto mínimo de datos de los informes clínicos); </w:t>
      </w:r>
      <w:r>
        <w:rPr>
          <w:b/>
        </w:rPr>
        <w:t>LO 3/2018</w:t>
      </w:r>
      <w:r>
        <w:t xml:space="preserve"> de protección de datos y garantía de los derechos digitales.</w:t>
      </w:r>
    </w:p>
    <w:p w14:paraId="092B4E54" w14:textId="77777777" w:rsidR="00A02A2D" w:rsidRDefault="00000000">
      <w:pPr>
        <w:numPr>
          <w:ilvl w:val="0"/>
          <w:numId w:val="1"/>
        </w:numPr>
        <w:spacing w:after="40"/>
        <w:jc w:val="both"/>
      </w:pPr>
      <w:r>
        <w:rPr>
          <w:b/>
        </w:rPr>
        <w:t>Estrategia de Salud Digital del SNS:</w:t>
      </w:r>
      <w:r>
        <w:t xml:space="preserve"> tres líneas estratégicas – </w:t>
      </w:r>
      <w:r>
        <w:rPr>
          <w:b/>
        </w:rPr>
        <w:t>servicios públicos digitales, interoperabilidad y analítica avanzada</w:t>
      </w:r>
      <w:r>
        <w:t xml:space="preserve"> (datos). Principios: valores centrados en las personas, </w:t>
      </w:r>
      <w:r>
        <w:rPr>
          <w:b/>
        </w:rPr>
        <w:t>autonomía y capacidad de decisión</w:t>
      </w:r>
      <w:r>
        <w:t xml:space="preserve">, e </w:t>
      </w:r>
      <w:r>
        <w:rPr>
          <w:b/>
        </w:rPr>
        <w:t>innovación orientada a resultados en salud</w:t>
      </w:r>
      <w:r>
        <w:t>. Impulsa la medicina 5P. No contempla la “financiación descentralizada” ni la “centralización absoluta de los datos”.</w:t>
      </w:r>
    </w:p>
    <w:p w14:paraId="5D68AF5A" w14:textId="77777777" w:rsidR="00A02A2D" w:rsidRDefault="00000000">
      <w:pPr>
        <w:spacing w:before="120" w:after="40"/>
        <w:rPr>
          <w:b/>
          <w:i/>
        </w:rPr>
      </w:pPr>
      <w:r>
        <w:rPr>
          <w:b/>
          <w:i/>
        </w:rPr>
        <w:t>Ámbito autonómico</w:t>
      </w:r>
    </w:p>
    <w:p w14:paraId="141BEA70" w14:textId="77777777" w:rsidR="00A02A2D" w:rsidRDefault="00000000">
      <w:pPr>
        <w:numPr>
          <w:ilvl w:val="0"/>
          <w:numId w:val="1"/>
        </w:numPr>
        <w:spacing w:after="40"/>
        <w:jc w:val="both"/>
      </w:pPr>
      <w:r>
        <w:rPr>
          <w:b/>
        </w:rPr>
        <w:lastRenderedPageBreak/>
        <w:t>Ley 2/1998, de 15 de junio, de Salud de Andalucía</w:t>
      </w:r>
      <w:r>
        <w:t xml:space="preserve"> y Decreto 156/2022 (estructura de la Consejería).</w:t>
      </w:r>
    </w:p>
    <w:p w14:paraId="0DFD7CE5" w14:textId="77777777" w:rsidR="00A02A2D" w:rsidRDefault="00000000">
      <w:pPr>
        <w:numPr>
          <w:ilvl w:val="0"/>
          <w:numId w:val="1"/>
        </w:numPr>
        <w:spacing w:after="40"/>
        <w:jc w:val="both"/>
      </w:pPr>
      <w:r>
        <w:rPr>
          <w:b/>
        </w:rPr>
        <w:t>Estrategia de Salud de Andalucía 2030 (ESA2030):</w:t>
      </w:r>
      <w:r>
        <w:t xml:space="preserve"> marco general de referencia para todas las estrategias y planes de salud de Andalucía, incluida la ESDA.</w:t>
      </w:r>
    </w:p>
    <w:p w14:paraId="50AD0521" w14:textId="77777777" w:rsidR="00A02A2D" w:rsidRDefault="00000000">
      <w:pPr>
        <w:numPr>
          <w:ilvl w:val="0"/>
          <w:numId w:val="1"/>
        </w:numPr>
        <w:spacing w:after="40"/>
        <w:jc w:val="both"/>
      </w:pPr>
      <w:r>
        <w:rPr>
          <w:b/>
        </w:rPr>
        <w:t>Agencia Digital de Andalucía (ADA)</w:t>
      </w:r>
      <w:r>
        <w:t xml:space="preserve"> (Estatutos: Decreto 128/2021): </w:t>
      </w:r>
      <w:r>
        <w:rPr>
          <w:b/>
        </w:rPr>
        <w:t>centraliza y coordina las actuaciones de transformación digital</w:t>
      </w:r>
      <w:r>
        <w:t xml:space="preserve"> de la Junta (ciberseguridad, IA, capacitación digital, administración digital, cloud…). Referencias con especial relación con la ESDA: </w:t>
      </w:r>
      <w:r>
        <w:rPr>
          <w:b/>
        </w:rPr>
        <w:t>Estrategia Andaluza de Ciberseguridad 2022-2025</w:t>
      </w:r>
      <w:r>
        <w:t xml:space="preserve">, </w:t>
      </w:r>
      <w:r>
        <w:rPr>
          <w:b/>
        </w:rPr>
        <w:t>Plan de Capacitación Digital de Andalucía 2022-2025</w:t>
      </w:r>
      <w:r>
        <w:t xml:space="preserve"> (eje 5: competencias digitales en salud) y </w:t>
      </w:r>
      <w:r>
        <w:rPr>
          <w:b/>
        </w:rPr>
        <w:t>Estrategia Andaluza de Inteligencia Artificial 2030</w:t>
      </w:r>
      <w:r>
        <w:t xml:space="preserve">. La ESA2030 </w:t>
      </w:r>
      <w:r>
        <w:rPr>
          <w:b/>
        </w:rPr>
        <w:t>no</w:t>
      </w:r>
      <w:r>
        <w:t xml:space="preserve"> depende de la ADA.</w:t>
      </w:r>
    </w:p>
    <w:p w14:paraId="18AA95B6" w14:textId="77777777" w:rsidR="00A02A2D" w:rsidRDefault="00000000">
      <w:pPr>
        <w:spacing w:before="160" w:after="60"/>
        <w:rPr>
          <w:b/>
        </w:rPr>
      </w:pPr>
      <w:r>
        <w:rPr>
          <w:b/>
        </w:rPr>
        <w:t>7.7. Situación actual del SSPA (datos de la versión 2024)</w:t>
      </w:r>
    </w:p>
    <w:p w14:paraId="633E2EF9" w14:textId="77777777" w:rsidR="00A02A2D" w:rsidRDefault="00000000">
      <w:pPr>
        <w:spacing w:before="120" w:after="40"/>
        <w:rPr>
          <w:b/>
          <w:i/>
        </w:rPr>
      </w:pPr>
      <w:r>
        <w:rPr>
          <w:b/>
          <w:i/>
        </w:rPr>
        <w:t>Grandes cifras</w:t>
      </w:r>
    </w:p>
    <w:p w14:paraId="639CE7B6" w14:textId="77777777" w:rsidR="00A02A2D" w:rsidRDefault="00000000">
      <w:pPr>
        <w:numPr>
          <w:ilvl w:val="0"/>
          <w:numId w:val="1"/>
        </w:numPr>
        <w:spacing w:after="40"/>
        <w:jc w:val="both"/>
      </w:pPr>
      <w:r>
        <w:rPr>
          <w:b/>
        </w:rPr>
        <w:t>Competencias digitales:</w:t>
      </w:r>
      <w:r>
        <w:t xml:space="preserve"> el </w:t>
      </w:r>
      <w:r>
        <w:rPr>
          <w:b/>
        </w:rPr>
        <w:t>43,66%</w:t>
      </w:r>
      <w:r>
        <w:t xml:space="preserve"> de la población andaluza de 16 a 74 años posee habilidades digitales </w:t>
      </w:r>
      <w:r>
        <w:rPr>
          <w:b/>
        </w:rPr>
        <w:t>bajas o básicas</w:t>
      </w:r>
      <w:r>
        <w:t xml:space="preserve"> (Plan de Capacitación Digital de Andalucía).</w:t>
      </w:r>
    </w:p>
    <w:p w14:paraId="1572287B" w14:textId="77777777" w:rsidR="00A02A2D" w:rsidRDefault="00000000">
      <w:pPr>
        <w:numPr>
          <w:ilvl w:val="0"/>
          <w:numId w:val="1"/>
        </w:numPr>
        <w:spacing w:after="40"/>
        <w:jc w:val="both"/>
      </w:pPr>
      <w:r>
        <w:rPr>
          <w:b/>
        </w:rPr>
        <w:t>Uso de internet para salud: 77%</w:t>
      </w:r>
      <w:r>
        <w:t xml:space="preserve"> de la población, frente al 91% para entretenimiento. Según el INE, solo el </w:t>
      </w:r>
      <w:r>
        <w:rPr>
          <w:b/>
        </w:rPr>
        <w:t>14%</w:t>
      </w:r>
      <w:r>
        <w:t xml:space="preserve"> de las personas de </w:t>
      </w:r>
      <w:r>
        <w:rPr>
          <w:b/>
        </w:rPr>
        <w:t>75 y más años</w:t>
      </w:r>
      <w:r>
        <w:t xml:space="preserve"> concierta cita médica por web o app, y el </w:t>
      </w:r>
      <w:r>
        <w:rPr>
          <w:b/>
        </w:rPr>
        <w:t>37%</w:t>
      </w:r>
      <w:r>
        <w:t xml:space="preserve"> de la población de 16-74 años accede a sus </w:t>
      </w:r>
      <w:r>
        <w:rPr>
          <w:b/>
        </w:rPr>
        <w:t>archivos personales de salud</w:t>
      </w:r>
      <w:r>
        <w:t xml:space="preserve"> por internet.</w:t>
      </w:r>
    </w:p>
    <w:p w14:paraId="5787B7B8" w14:textId="77777777" w:rsidR="00A02A2D" w:rsidRDefault="00000000">
      <w:pPr>
        <w:numPr>
          <w:ilvl w:val="0"/>
          <w:numId w:val="1"/>
        </w:numPr>
        <w:spacing w:after="40"/>
        <w:jc w:val="both"/>
      </w:pPr>
      <w:r>
        <w:rPr>
          <w:b/>
        </w:rPr>
        <w:t>Demografía:</w:t>
      </w:r>
      <w:r>
        <w:t xml:space="preserve"> la población </w:t>
      </w:r>
      <w:r>
        <w:rPr>
          <w:b/>
        </w:rPr>
        <w:t>mayor de 64 años duplica a la menor de 16</w:t>
      </w:r>
      <w:r>
        <w:t xml:space="preserve">. Gran heterogeneidad territorial: </w:t>
      </w:r>
      <w:r>
        <w:rPr>
          <w:b/>
        </w:rPr>
        <w:t>Jaén 46,25 hab/km²</w:t>
      </w:r>
      <w:r>
        <w:t xml:space="preserve">, </w:t>
      </w:r>
      <w:r>
        <w:rPr>
          <w:b/>
        </w:rPr>
        <w:t>Sevilla 138,73</w:t>
      </w:r>
      <w:r>
        <w:t xml:space="preserve"> y </w:t>
      </w:r>
      <w:r>
        <w:rPr>
          <w:b/>
        </w:rPr>
        <w:t>Málaga 235,11</w:t>
      </w:r>
      <w:r>
        <w:t xml:space="preserve"> (la mayor densidad) (IECA).</w:t>
      </w:r>
    </w:p>
    <w:p w14:paraId="0CA00129" w14:textId="77777777" w:rsidR="00A02A2D" w:rsidRDefault="00000000">
      <w:pPr>
        <w:numPr>
          <w:ilvl w:val="0"/>
          <w:numId w:val="1"/>
        </w:numPr>
        <w:spacing w:after="40"/>
        <w:jc w:val="both"/>
      </w:pPr>
      <w:r>
        <w:rPr>
          <w:b/>
        </w:rPr>
        <w:t>Salud:</w:t>
      </w:r>
      <w:r>
        <w:t xml:space="preserve"> aumento de la prevalencia de enfermedades crónicas cardiovasculares (hipertensión, cardiopatía isquémica) y de la </w:t>
      </w:r>
      <w:r>
        <w:rPr>
          <w:b/>
        </w:rPr>
        <w:t>EPOC (5,49% en Andalucía frente a 3,51% de media nacional)</w:t>
      </w:r>
      <w:r>
        <w:t xml:space="preserve">; </w:t>
      </w:r>
      <w:r>
        <w:rPr>
          <w:b/>
        </w:rPr>
        <w:t>incremento de la comorbilidad del 11% entre 2019 y 2022</w:t>
      </w:r>
      <w:r>
        <w:t xml:space="preserve">, lo que genera </w:t>
      </w:r>
      <w:r>
        <w:rPr>
          <w:b/>
        </w:rPr>
        <w:t>mayor complejidad en el manejo de las patologías</w:t>
      </w:r>
      <w:r>
        <w:t xml:space="preserve">. En 2021, el </w:t>
      </w:r>
      <w:r>
        <w:rPr>
          <w:b/>
        </w:rPr>
        <w:t>17,7%</w:t>
      </w:r>
      <w:r>
        <w:t xml:space="preserve"> del gasto sanitario se destinó a atención primaria (IECA).</w:t>
      </w:r>
    </w:p>
    <w:p w14:paraId="71594A46" w14:textId="77777777" w:rsidR="00A02A2D" w:rsidRDefault="00000000">
      <w:pPr>
        <w:numPr>
          <w:ilvl w:val="0"/>
          <w:numId w:val="1"/>
        </w:numPr>
        <w:spacing w:after="40"/>
        <w:jc w:val="both"/>
      </w:pPr>
      <w:r>
        <w:rPr>
          <w:b/>
        </w:rPr>
        <w:t>Recursos:</w:t>
      </w:r>
      <w:r>
        <w:t xml:space="preserve"> </w:t>
      </w:r>
      <w:r>
        <w:rPr>
          <w:b/>
        </w:rPr>
        <w:t>121.577 profesionales sanitarios</w:t>
      </w:r>
      <w:r>
        <w:t xml:space="preserve">; </w:t>
      </w:r>
      <w:r>
        <w:rPr>
          <w:b/>
        </w:rPr>
        <w:t>14 profesionales sanitarios por cada 1.000 habitantes</w:t>
      </w:r>
      <w:r>
        <w:t xml:space="preserve"> (8.584.147 habitantes); </w:t>
      </w:r>
      <w:r>
        <w:rPr>
          <w:b/>
        </w:rPr>
        <w:t>393 profesionales TIC</w:t>
      </w:r>
      <w:r>
        <w:t>.</w:t>
      </w:r>
    </w:p>
    <w:p w14:paraId="09834B1B" w14:textId="77777777" w:rsidR="00A02A2D" w:rsidRDefault="00000000">
      <w:pPr>
        <w:numPr>
          <w:ilvl w:val="0"/>
          <w:numId w:val="1"/>
        </w:numPr>
        <w:spacing w:after="40"/>
        <w:jc w:val="both"/>
      </w:pPr>
      <w:r>
        <w:rPr>
          <w:b/>
        </w:rPr>
        <w:t>Servicios digitales:</w:t>
      </w:r>
      <w:r>
        <w:t xml:space="preserve"> </w:t>
      </w:r>
      <w:r>
        <w:rPr>
          <w:b/>
        </w:rPr>
        <w:t>ClicSalud+</w:t>
      </w:r>
      <w:r>
        <w:t xml:space="preserve"> con más de </w:t>
      </w:r>
      <w:r>
        <w:rPr>
          <w:b/>
        </w:rPr>
        <w:t>18 millones de accesos</w:t>
      </w:r>
      <w:r>
        <w:t xml:space="preserve"> y más de </w:t>
      </w:r>
      <w:r>
        <w:rPr>
          <w:b/>
        </w:rPr>
        <w:t>2,7 millones de citas</w:t>
      </w:r>
      <w:r>
        <w:t xml:space="preserve">; la app </w:t>
      </w:r>
      <w:r>
        <w:rPr>
          <w:b/>
        </w:rPr>
        <w:t>Salud Andalucía</w:t>
      </w:r>
      <w:r>
        <w:t xml:space="preserve"> superó los </w:t>
      </w:r>
      <w:r>
        <w:rPr>
          <w:b/>
        </w:rPr>
        <w:t>7,5 millones de descargas</w:t>
      </w:r>
      <w:r>
        <w:t>.</w:t>
      </w:r>
    </w:p>
    <w:p w14:paraId="0CE4FF09" w14:textId="77777777" w:rsidR="00A02A2D" w:rsidRDefault="00000000">
      <w:pPr>
        <w:spacing w:before="120" w:after="40"/>
        <w:rPr>
          <w:b/>
          <w:i/>
        </w:rPr>
      </w:pPr>
      <w:r>
        <w:rPr>
          <w:b/>
          <w:i/>
        </w:rPr>
        <w:t>Inversiones en equipamiento TIC del SAS</w:t>
      </w:r>
    </w:p>
    <w:p w14:paraId="4818C6E6" w14:textId="77777777" w:rsidR="00A02A2D" w:rsidRDefault="00000000">
      <w:pPr>
        <w:numPr>
          <w:ilvl w:val="0"/>
          <w:numId w:val="1"/>
        </w:numPr>
        <w:spacing w:after="40"/>
        <w:jc w:val="both"/>
      </w:pPr>
      <w:r>
        <w:rPr>
          <w:b/>
        </w:rPr>
        <w:t>2018:</w:t>
      </w:r>
      <w:r>
        <w:t xml:space="preserve"> renovación de </w:t>
      </w:r>
      <w:r>
        <w:rPr>
          <w:b/>
        </w:rPr>
        <w:t>11.529 equipos</w:t>
      </w:r>
      <w:r>
        <w:t xml:space="preserve"> en atención primaria y hospitales (</w:t>
      </w:r>
      <w:r>
        <w:rPr>
          <w:b/>
        </w:rPr>
        <w:t>7,7 millones €</w:t>
      </w:r>
      <w:r>
        <w:t xml:space="preserve">): 3.116 ordenadores de sobremesa, </w:t>
      </w:r>
      <w:r>
        <w:rPr>
          <w:b/>
        </w:rPr>
        <w:t>4.503 terminales ligeros</w:t>
      </w:r>
      <w:r>
        <w:t xml:space="preserve"> (la mayor proporción), 100 portátiles y 3.810 impresoras.</w:t>
      </w:r>
    </w:p>
    <w:p w14:paraId="79933C18" w14:textId="77777777" w:rsidR="00A02A2D" w:rsidRDefault="00000000">
      <w:pPr>
        <w:numPr>
          <w:ilvl w:val="0"/>
          <w:numId w:val="1"/>
        </w:numPr>
        <w:spacing w:after="40"/>
        <w:jc w:val="both"/>
      </w:pPr>
      <w:r>
        <w:rPr>
          <w:b/>
        </w:rPr>
        <w:t>2020:</w:t>
      </w:r>
      <w:r>
        <w:t xml:space="preserve"> soluciones de hardware y software de alta capacidad de cómputo en </w:t>
      </w:r>
      <w:r>
        <w:rPr>
          <w:b/>
        </w:rPr>
        <w:t>centros hospitalarios</w:t>
      </w:r>
      <w:r>
        <w:t xml:space="preserve"> para mejorar la capacidad de los SSII (</w:t>
      </w:r>
      <w:r>
        <w:rPr>
          <w:b/>
        </w:rPr>
        <w:t>8.881.201,40 € ≈ 8,8 M€</w:t>
      </w:r>
      <w:r>
        <w:t>).</w:t>
      </w:r>
    </w:p>
    <w:p w14:paraId="20755D0E" w14:textId="77777777" w:rsidR="00A02A2D" w:rsidRDefault="00000000">
      <w:pPr>
        <w:numPr>
          <w:ilvl w:val="0"/>
          <w:numId w:val="1"/>
        </w:numPr>
        <w:spacing w:after="40"/>
        <w:jc w:val="both"/>
      </w:pPr>
      <w:r>
        <w:rPr>
          <w:b/>
        </w:rPr>
        <w:t>2020:</w:t>
      </w:r>
      <w:r>
        <w:t xml:space="preserve"> terminales ligeros, portátiles, cámaras web, monitores y licencias de virtualización en hospitales (</w:t>
      </w:r>
      <w:r>
        <w:rPr>
          <w:b/>
        </w:rPr>
        <w:t>26.536.401,52 € ≈ 26,5 M€</w:t>
      </w:r>
      <w:r>
        <w:t>).</w:t>
      </w:r>
    </w:p>
    <w:p w14:paraId="517FB122" w14:textId="77777777" w:rsidR="00A02A2D" w:rsidRDefault="00000000">
      <w:pPr>
        <w:numPr>
          <w:ilvl w:val="0"/>
          <w:numId w:val="1"/>
        </w:numPr>
        <w:spacing w:after="40"/>
        <w:jc w:val="both"/>
      </w:pPr>
      <w:r>
        <w:rPr>
          <w:b/>
        </w:rPr>
        <w:t>2023:</w:t>
      </w:r>
      <w:r>
        <w:t xml:space="preserve"> </w:t>
      </w:r>
      <w:r>
        <w:rPr>
          <w:b/>
        </w:rPr>
        <w:t>3.412 ordenadores</w:t>
      </w:r>
      <w:r>
        <w:t xml:space="preserve"> en atención primaria para acceso a datos clínicos en domicilios y residencias (</w:t>
      </w:r>
      <w:r>
        <w:rPr>
          <w:b/>
        </w:rPr>
        <w:t>1,2 millones €</w:t>
      </w:r>
      <w:r>
        <w:t>).</w:t>
      </w:r>
    </w:p>
    <w:p w14:paraId="2ABB5765" w14:textId="77777777" w:rsidR="00A02A2D" w:rsidRDefault="00000000">
      <w:pPr>
        <w:spacing w:before="120" w:after="40"/>
        <w:rPr>
          <w:b/>
          <w:i/>
        </w:rPr>
      </w:pPr>
      <w:r>
        <w:rPr>
          <w:b/>
          <w:i/>
        </w:rPr>
        <w:t>¿Qué venimos haciendo en salud digital?</w:t>
      </w:r>
    </w:p>
    <w:p w14:paraId="701482B3" w14:textId="77777777" w:rsidR="00A02A2D" w:rsidRDefault="00000000">
      <w:pPr>
        <w:numPr>
          <w:ilvl w:val="0"/>
          <w:numId w:val="1"/>
        </w:numPr>
        <w:spacing w:after="40"/>
        <w:jc w:val="both"/>
      </w:pPr>
      <w:r>
        <w:rPr>
          <w:b/>
        </w:rPr>
        <w:lastRenderedPageBreak/>
        <w:t>Servicios digitales de salud:</w:t>
      </w:r>
      <w:r>
        <w:t xml:space="preserve"> apps móviles para la ciudadanía; </w:t>
      </w:r>
      <w:r>
        <w:rPr>
          <w:b/>
        </w:rPr>
        <w:t>kits de telemonitorización</w:t>
      </w:r>
      <w:r>
        <w:t xml:space="preserve"> para pacientes crónicos conectados a la historia clínica; para profesionales, </w:t>
      </w:r>
      <w:r>
        <w:rPr>
          <w:b/>
        </w:rPr>
        <w:t>aplicaciones de ayuda al desempeño laboral</w:t>
      </w:r>
      <w:r>
        <w:t xml:space="preserve"> (incidencias, capacitación, notificaciones).</w:t>
      </w:r>
    </w:p>
    <w:p w14:paraId="5DE6F207" w14:textId="77777777" w:rsidR="00A02A2D" w:rsidRDefault="00000000">
      <w:pPr>
        <w:numPr>
          <w:ilvl w:val="0"/>
          <w:numId w:val="1"/>
        </w:numPr>
        <w:spacing w:after="40"/>
        <w:jc w:val="both"/>
      </w:pPr>
      <w:r>
        <w:rPr>
          <w:b/>
        </w:rPr>
        <w:t>Transformación digital:</w:t>
      </w:r>
      <w:r>
        <w:t xml:space="preserve"> acceso desde cualquier servicio autonómico del SNS a la información clínica relevante gracias a la integración con la </w:t>
      </w:r>
      <w:r>
        <w:rPr>
          <w:b/>
        </w:rPr>
        <w:t>Historia Clínica Digital del SNS</w:t>
      </w:r>
      <w:r>
        <w:t xml:space="preserve">, y a nivel europeo con el </w:t>
      </w:r>
      <w:r>
        <w:rPr>
          <w:b/>
        </w:rPr>
        <w:t>EU-Patient Summary</w:t>
      </w:r>
      <w:r>
        <w:t xml:space="preserve">; </w:t>
      </w:r>
      <w:r>
        <w:rPr>
          <w:b/>
        </w:rPr>
        <w:t>Receta Electrónica Europea</w:t>
      </w:r>
      <w:r>
        <w:t xml:space="preserve"> (dispensación en cualquier farmacia de la UE); mejora del rendimiento de los servicios digitales; planes de continuidad de negocio y respuesta a desastres.</w:t>
      </w:r>
    </w:p>
    <w:p w14:paraId="7FDFF10C" w14:textId="77777777" w:rsidR="00A02A2D" w:rsidRDefault="00000000">
      <w:pPr>
        <w:numPr>
          <w:ilvl w:val="0"/>
          <w:numId w:val="1"/>
        </w:numPr>
        <w:spacing w:after="40"/>
        <w:jc w:val="both"/>
      </w:pPr>
      <w:r>
        <w:rPr>
          <w:b/>
        </w:rPr>
        <w:t>Toma de decisiones basada en datos:</w:t>
      </w:r>
      <w:r>
        <w:t xml:space="preserve"> datos compartidos entre niveles asistenciales; casos de uso de IA; </w:t>
      </w:r>
      <w:r>
        <w:rPr>
          <w:b/>
        </w:rPr>
        <w:t>cribados poblacionales</w:t>
      </w:r>
      <w:r>
        <w:t xml:space="preserve"> (cáncer de colon, cérvix…); </w:t>
      </w:r>
      <w:r>
        <w:rPr>
          <w:b/>
        </w:rPr>
        <w:t>espacio de datos</w:t>
      </w:r>
      <w:r>
        <w:t xml:space="preserve"> para mejorar la gestión de la salud poblacional con big data y analítica avanzada.</w:t>
      </w:r>
    </w:p>
    <w:p w14:paraId="4D2F58E3" w14:textId="77777777" w:rsidR="00A02A2D" w:rsidRDefault="00000000">
      <w:pPr>
        <w:numPr>
          <w:ilvl w:val="0"/>
          <w:numId w:val="1"/>
        </w:numPr>
        <w:spacing w:after="40"/>
        <w:jc w:val="both"/>
      </w:pPr>
      <w:r>
        <w:rPr>
          <w:b/>
        </w:rPr>
        <w:t>Innovación:</w:t>
      </w:r>
      <w:r>
        <w:t xml:space="preserve"> plataforma de gestión de </w:t>
      </w:r>
      <w:r>
        <w:rPr>
          <w:b/>
        </w:rPr>
        <w:t>accesos seguros a la información en ensayos clínicos</w:t>
      </w:r>
      <w:r>
        <w:t>; fomento de proyectos de I+D+i.</w:t>
      </w:r>
    </w:p>
    <w:p w14:paraId="2C71DC4D" w14:textId="77777777" w:rsidR="00A02A2D" w:rsidRDefault="00000000">
      <w:pPr>
        <w:numPr>
          <w:ilvl w:val="0"/>
          <w:numId w:val="1"/>
        </w:numPr>
        <w:spacing w:after="40"/>
        <w:jc w:val="both"/>
      </w:pPr>
      <w:r>
        <w:rPr>
          <w:b/>
        </w:rPr>
        <w:t>Gobernanza:</w:t>
      </w:r>
      <w:r>
        <w:t xml:space="preserve"> implantación de un </w:t>
      </w:r>
      <w:r>
        <w:rPr>
          <w:b/>
        </w:rPr>
        <w:t>espacio digital colaborativo para la gestión de iniciativas digitales</w:t>
      </w:r>
      <w:r>
        <w:t>; apertura de la formulación de la ESDA a todos los agentes.</w:t>
      </w:r>
    </w:p>
    <w:p w14:paraId="271D35AA" w14:textId="77777777" w:rsidR="00A02A2D" w:rsidRDefault="00000000">
      <w:pPr>
        <w:numPr>
          <w:ilvl w:val="0"/>
          <w:numId w:val="1"/>
        </w:numPr>
        <w:spacing w:after="40"/>
        <w:jc w:val="both"/>
      </w:pPr>
      <w:r>
        <w:rPr>
          <w:b/>
        </w:rPr>
        <w:t>Humanización:</w:t>
      </w:r>
      <w:r>
        <w:t xml:space="preserve"> lanzamiento de </w:t>
      </w:r>
      <w:r>
        <w:rPr>
          <w:b/>
        </w:rPr>
        <w:t>ayudaDIGITAL</w:t>
      </w:r>
      <w:r>
        <w:t xml:space="preserve">, servicio de soporte para acercar la tecnología a los profesionales; nuevos canales (app, WhatsApp, aplicación de escritorio…); </w:t>
      </w:r>
      <w:r>
        <w:rPr>
          <w:b/>
        </w:rPr>
        <w:t>más de 130.000 solicitudes atendidas desde enero de 2023</w:t>
      </w:r>
      <w:r>
        <w:t>.</w:t>
      </w:r>
    </w:p>
    <w:p w14:paraId="26A07D5F" w14:textId="77777777" w:rsidR="00A02A2D" w:rsidRDefault="00000000">
      <w:pPr>
        <w:numPr>
          <w:ilvl w:val="0"/>
          <w:numId w:val="1"/>
        </w:numPr>
        <w:spacing w:after="40"/>
        <w:jc w:val="both"/>
      </w:pPr>
      <w:r>
        <w:rPr>
          <w:b/>
        </w:rPr>
        <w:t>Capacitación:</w:t>
      </w:r>
      <w:r>
        <w:t xml:space="preserve"> </w:t>
      </w:r>
      <w:r>
        <w:rPr>
          <w:b/>
        </w:rPr>
        <w:t>más de 90 ediciones de cursos</w:t>
      </w:r>
      <w:r>
        <w:t xml:space="preserve">; </w:t>
      </w:r>
      <w:r>
        <w:rPr>
          <w:b/>
        </w:rPr>
        <w:t>más de 150.000 solicitudes de inscripción</w:t>
      </w:r>
      <w:r>
        <w:t xml:space="preserve"> a acciones formativas; participación en el eje 5 del Plan de Capacitación Digital de Andalucía.</w:t>
      </w:r>
    </w:p>
    <w:p w14:paraId="75F66B58" w14:textId="77777777" w:rsidR="00A02A2D" w:rsidRDefault="00000000">
      <w:pPr>
        <w:pBdr>
          <w:left w:val="single" w:sz="12" w:space="6" w:color="2E75B6"/>
        </w:pBdr>
        <w:shd w:val="clear" w:color="auto" w:fill="EAF1FB"/>
        <w:ind w:left="284"/>
        <w:jc w:val="both"/>
      </w:pPr>
      <w:r>
        <w:t>Actualización versión ESDA 2030: Jaén 45,9, Málaga 242,6 y Sevilla 140 hab/km²; EPOC 5,50% (2023) frente a 3,56% nacional; comorbilidad +9,48% (2019-2023); ≈126.000 profesionales del SAS (14,74/1.000 hab.); ayudaDIGITAL ≈750.000 solicitudes en 2024; 96 ediciones de cursos en 2024 y más de 185.000 inscripciones desde 2021.</w:t>
      </w:r>
    </w:p>
    <w:p w14:paraId="0980F3E7" w14:textId="77777777" w:rsidR="00A02A2D" w:rsidRDefault="00000000">
      <w:pPr>
        <w:spacing w:before="160" w:after="60"/>
        <w:rPr>
          <w:b/>
        </w:rPr>
      </w:pPr>
      <w:r>
        <w:rPr>
          <w:b/>
        </w:rPr>
        <w:t>7.8. Diagnóstico de situación: DAFO, CAME y retos</w:t>
      </w:r>
    </w:p>
    <w:p w14:paraId="33198BCF" w14:textId="77777777" w:rsidR="00A02A2D" w:rsidRDefault="00000000">
      <w:pPr>
        <w:ind w:firstLine="708"/>
        <w:jc w:val="both"/>
      </w:pPr>
      <w:r>
        <w:t xml:space="preserve">El DAFO se generó con los trabajos participativos internos, se amplió con agentes externos y se contrastó con el cuestionario conjunto ESA-ESDA (+900 respuestas) y la jornada participativa (+110 participantes). Se complementa con un análisis </w:t>
      </w:r>
      <w:r>
        <w:rPr>
          <w:b/>
        </w:rPr>
        <w:t>CAME</w:t>
      </w:r>
      <w:r>
        <w:t xml:space="preserve"> (Corregir, Afrontar, Mantener, Explotar) que guía la definición de objetivos.</w:t>
      </w:r>
    </w:p>
    <w:p w14:paraId="76154216" w14:textId="77777777" w:rsidR="00A02A2D" w:rsidRDefault="00000000">
      <w:pPr>
        <w:spacing w:before="120" w:after="40"/>
        <w:rPr>
          <w:b/>
          <w:i/>
        </w:rPr>
      </w:pPr>
      <w:r>
        <w:rPr>
          <w:b/>
          <w:i/>
        </w:rPr>
        <w:t>Debilidades</w:t>
      </w:r>
    </w:p>
    <w:p w14:paraId="2895478C" w14:textId="77777777" w:rsidR="00A02A2D" w:rsidRDefault="00000000">
      <w:pPr>
        <w:numPr>
          <w:ilvl w:val="0"/>
          <w:numId w:val="1"/>
        </w:numPr>
        <w:spacing w:after="40"/>
        <w:jc w:val="both"/>
      </w:pPr>
      <w:r>
        <w:rPr>
          <w:b/>
        </w:rPr>
        <w:t>Obsolescencia de activos tecnológicos.</w:t>
      </w:r>
    </w:p>
    <w:p w14:paraId="01E67B96" w14:textId="77777777" w:rsidR="00A02A2D" w:rsidRDefault="00000000">
      <w:pPr>
        <w:numPr>
          <w:ilvl w:val="0"/>
          <w:numId w:val="1"/>
        </w:numPr>
        <w:spacing w:after="40"/>
        <w:jc w:val="both"/>
      </w:pPr>
      <w:r>
        <w:t>Dependencia de terceros y externalización del conocimiento en salud digital.</w:t>
      </w:r>
    </w:p>
    <w:p w14:paraId="021FE60A" w14:textId="77777777" w:rsidR="00A02A2D" w:rsidRDefault="00000000">
      <w:pPr>
        <w:numPr>
          <w:ilvl w:val="0"/>
          <w:numId w:val="1"/>
        </w:numPr>
        <w:spacing w:after="40"/>
        <w:jc w:val="both"/>
      </w:pPr>
      <w:r>
        <w:rPr>
          <w:b/>
        </w:rPr>
        <w:t>Aplicación heterogénea de políticas corporativas de hardware y software</w:t>
      </w:r>
      <w:r>
        <w:t xml:space="preserve">, unida a la </w:t>
      </w:r>
      <w:r>
        <w:rPr>
          <w:b/>
        </w:rPr>
        <w:t>inexistencia de procesos de gobierno</w:t>
      </w:r>
      <w:r>
        <w:t xml:space="preserve"> de iniciativas de salud digital (falta de estandarización).</w:t>
      </w:r>
    </w:p>
    <w:p w14:paraId="1CC8B81F" w14:textId="77777777" w:rsidR="00A02A2D" w:rsidRDefault="00000000">
      <w:pPr>
        <w:numPr>
          <w:ilvl w:val="0"/>
          <w:numId w:val="1"/>
        </w:numPr>
        <w:spacing w:after="40"/>
        <w:jc w:val="both"/>
      </w:pPr>
      <w:r>
        <w:t>Capacitación digital de profesionales y sus potenciales resistencias al cambio.</w:t>
      </w:r>
    </w:p>
    <w:p w14:paraId="5B4C475C" w14:textId="77777777" w:rsidR="00A02A2D" w:rsidRDefault="00000000">
      <w:pPr>
        <w:numPr>
          <w:ilvl w:val="0"/>
          <w:numId w:val="1"/>
        </w:numPr>
        <w:spacing w:after="40"/>
        <w:jc w:val="both"/>
      </w:pPr>
      <w:r>
        <w:rPr>
          <w:b/>
        </w:rPr>
        <w:t>Capacidad de explotación y tratamiento del dato</w:t>
      </w:r>
      <w:r>
        <w:t xml:space="preserve"> a partir de los actuales sistemas de información.</w:t>
      </w:r>
    </w:p>
    <w:p w14:paraId="185A7F46" w14:textId="77777777" w:rsidR="00A02A2D" w:rsidRDefault="00000000">
      <w:pPr>
        <w:numPr>
          <w:ilvl w:val="0"/>
          <w:numId w:val="1"/>
        </w:numPr>
        <w:spacing w:after="40"/>
        <w:jc w:val="both"/>
      </w:pPr>
      <w:r>
        <w:rPr>
          <w:b/>
        </w:rPr>
        <w:t>Número de iniciativas de I+D+i que llegan a transferirse a la práctica clínica</w:t>
      </w:r>
      <w:r>
        <w:t xml:space="preserve"> (es una debilidad: se transfieren pocas).</w:t>
      </w:r>
    </w:p>
    <w:p w14:paraId="5B7F39A3" w14:textId="77777777" w:rsidR="00F7524F" w:rsidRDefault="00F7524F">
      <w:pPr>
        <w:spacing w:before="120" w:after="40"/>
        <w:rPr>
          <w:b/>
          <w:i/>
        </w:rPr>
      </w:pPr>
    </w:p>
    <w:p w14:paraId="62D154A7" w14:textId="49DA6C72" w:rsidR="00A02A2D" w:rsidRDefault="00000000">
      <w:pPr>
        <w:spacing w:before="120" w:after="40"/>
        <w:rPr>
          <w:b/>
          <w:i/>
        </w:rPr>
      </w:pPr>
      <w:r>
        <w:rPr>
          <w:b/>
          <w:i/>
        </w:rPr>
        <w:lastRenderedPageBreak/>
        <w:t>Amenazas</w:t>
      </w:r>
    </w:p>
    <w:p w14:paraId="13A97BAA" w14:textId="77777777" w:rsidR="00A02A2D" w:rsidRDefault="00000000">
      <w:pPr>
        <w:numPr>
          <w:ilvl w:val="0"/>
          <w:numId w:val="1"/>
        </w:numPr>
        <w:spacing w:after="40"/>
        <w:jc w:val="both"/>
      </w:pPr>
      <w:r>
        <w:rPr>
          <w:b/>
        </w:rPr>
        <w:t>Descontento generalizado de la ciudadanía con el sistema sanitario.</w:t>
      </w:r>
    </w:p>
    <w:p w14:paraId="67F9D8EF" w14:textId="77777777" w:rsidR="00A02A2D" w:rsidRDefault="00000000">
      <w:pPr>
        <w:numPr>
          <w:ilvl w:val="0"/>
          <w:numId w:val="1"/>
        </w:numPr>
        <w:spacing w:after="40"/>
        <w:jc w:val="both"/>
      </w:pPr>
      <w:r>
        <w:rPr>
          <w:b/>
        </w:rPr>
        <w:t>Brechas digitales</w:t>
      </w:r>
      <w:r>
        <w:t xml:space="preserve"> relacionadas con el conocimiento, acceso y uso de soluciones digitales.</w:t>
      </w:r>
    </w:p>
    <w:p w14:paraId="77044128" w14:textId="77777777" w:rsidR="00A02A2D" w:rsidRDefault="00000000">
      <w:pPr>
        <w:numPr>
          <w:ilvl w:val="0"/>
          <w:numId w:val="1"/>
        </w:numPr>
        <w:spacing w:after="40"/>
        <w:jc w:val="both"/>
      </w:pPr>
      <w:r>
        <w:rPr>
          <w:b/>
        </w:rPr>
        <w:t>Riesgos de seguridad digital</w:t>
      </w:r>
      <w:r>
        <w:t xml:space="preserve"> en relación con la información sanitaria.</w:t>
      </w:r>
    </w:p>
    <w:p w14:paraId="794490CA" w14:textId="77777777" w:rsidR="00A02A2D" w:rsidRDefault="00000000">
      <w:pPr>
        <w:spacing w:before="120" w:after="40"/>
        <w:rPr>
          <w:b/>
          <w:i/>
        </w:rPr>
      </w:pPr>
      <w:r>
        <w:rPr>
          <w:b/>
          <w:i/>
        </w:rPr>
        <w:t>Fortalezas</w:t>
      </w:r>
    </w:p>
    <w:p w14:paraId="56739FED" w14:textId="77777777" w:rsidR="00A02A2D" w:rsidRDefault="00000000">
      <w:pPr>
        <w:numPr>
          <w:ilvl w:val="0"/>
          <w:numId w:val="1"/>
        </w:numPr>
        <w:spacing w:after="40"/>
        <w:jc w:val="both"/>
      </w:pPr>
      <w:r>
        <w:t>Protección de la privacidad y seguridad de los datos de salud de los pacientes.</w:t>
      </w:r>
    </w:p>
    <w:p w14:paraId="2CCB1B65" w14:textId="77777777" w:rsidR="00A02A2D" w:rsidRDefault="00000000">
      <w:pPr>
        <w:numPr>
          <w:ilvl w:val="0"/>
          <w:numId w:val="1"/>
        </w:numPr>
        <w:spacing w:after="40"/>
        <w:jc w:val="both"/>
      </w:pPr>
      <w:r>
        <w:rPr>
          <w:b/>
        </w:rPr>
        <w:t>Posicionamiento de Andalucía como referente en Sistemas de Información de Salud a nivel nacional.</w:t>
      </w:r>
    </w:p>
    <w:p w14:paraId="06E6B26F" w14:textId="77777777" w:rsidR="00A02A2D" w:rsidRDefault="00000000">
      <w:pPr>
        <w:numPr>
          <w:ilvl w:val="0"/>
          <w:numId w:val="1"/>
        </w:numPr>
        <w:spacing w:after="40"/>
        <w:jc w:val="both"/>
      </w:pPr>
      <w:r>
        <w:t>Valor tecnológico de los servicios ofrecidos por el SSPA.</w:t>
      </w:r>
    </w:p>
    <w:p w14:paraId="5B57FD67" w14:textId="77777777" w:rsidR="00A02A2D" w:rsidRDefault="00000000">
      <w:pPr>
        <w:numPr>
          <w:ilvl w:val="0"/>
          <w:numId w:val="1"/>
        </w:numPr>
        <w:spacing w:after="40"/>
        <w:jc w:val="both"/>
      </w:pPr>
      <w:r>
        <w:t>Apoyo institucional al impulso de la salud digital y la transformación digital en salud.</w:t>
      </w:r>
    </w:p>
    <w:p w14:paraId="59A13148" w14:textId="77777777" w:rsidR="00A02A2D" w:rsidRDefault="00000000">
      <w:pPr>
        <w:numPr>
          <w:ilvl w:val="0"/>
          <w:numId w:val="1"/>
        </w:numPr>
        <w:spacing w:after="40"/>
        <w:jc w:val="both"/>
      </w:pPr>
      <w:r>
        <w:rPr>
          <w:b/>
        </w:rPr>
        <w:t>Uso de las redes sociales dentro del SSPA para informar y promover la salud.</w:t>
      </w:r>
    </w:p>
    <w:p w14:paraId="17EC8155" w14:textId="77777777" w:rsidR="00A02A2D" w:rsidRDefault="00000000">
      <w:pPr>
        <w:spacing w:before="120" w:after="40"/>
        <w:rPr>
          <w:b/>
          <w:i/>
        </w:rPr>
      </w:pPr>
      <w:r>
        <w:rPr>
          <w:b/>
          <w:i/>
        </w:rPr>
        <w:t>Oportunidades</w:t>
      </w:r>
    </w:p>
    <w:p w14:paraId="672A5C1D" w14:textId="77777777" w:rsidR="00A02A2D" w:rsidRDefault="00000000">
      <w:pPr>
        <w:numPr>
          <w:ilvl w:val="0"/>
          <w:numId w:val="1"/>
        </w:numPr>
        <w:spacing w:after="40"/>
        <w:jc w:val="both"/>
      </w:pPr>
      <w:r>
        <w:rPr>
          <w:b/>
        </w:rPr>
        <w:t>Impulso decidido a nivel europeo, nacional y autonómico</w:t>
      </w:r>
      <w:r>
        <w:t xml:space="preserve"> alrededor de la salud digital (incluido el marco normativo europeo).</w:t>
      </w:r>
    </w:p>
    <w:p w14:paraId="5F1CB440" w14:textId="77777777" w:rsidR="00A02A2D" w:rsidRDefault="00000000">
      <w:pPr>
        <w:numPr>
          <w:ilvl w:val="0"/>
          <w:numId w:val="1"/>
        </w:numPr>
        <w:spacing w:after="40"/>
        <w:jc w:val="both"/>
      </w:pPr>
      <w:r>
        <w:rPr>
          <w:b/>
        </w:rPr>
        <w:t>Utilidad de herramientas y soluciones móviles</w:t>
      </w:r>
      <w:r>
        <w:t xml:space="preserve"> para mejorar la salud y acercar la ciudadanía al sistema sanitario.</w:t>
      </w:r>
    </w:p>
    <w:p w14:paraId="6B3BF4C8" w14:textId="77777777" w:rsidR="00A02A2D" w:rsidRDefault="00000000">
      <w:pPr>
        <w:numPr>
          <w:ilvl w:val="0"/>
          <w:numId w:val="1"/>
        </w:numPr>
        <w:spacing w:after="40"/>
        <w:jc w:val="both"/>
      </w:pPr>
      <w:r>
        <w:t>Implementación de soluciones tecnológicas en el uso diario de los profesionales.</w:t>
      </w:r>
    </w:p>
    <w:p w14:paraId="762A8E52" w14:textId="77777777" w:rsidR="00A02A2D" w:rsidRDefault="00000000">
      <w:pPr>
        <w:numPr>
          <w:ilvl w:val="0"/>
          <w:numId w:val="1"/>
        </w:numPr>
        <w:spacing w:after="40"/>
        <w:jc w:val="both"/>
      </w:pPr>
      <w:r>
        <w:t>Colaboración y encaje en todo el ecosistema sanitario para el trabajo en red.</w:t>
      </w:r>
    </w:p>
    <w:p w14:paraId="59A2CEC2" w14:textId="77777777" w:rsidR="00A02A2D" w:rsidRDefault="00000000">
      <w:pPr>
        <w:numPr>
          <w:ilvl w:val="0"/>
          <w:numId w:val="1"/>
        </w:numPr>
        <w:spacing w:after="40"/>
        <w:jc w:val="both"/>
      </w:pPr>
      <w:r>
        <w:t>Generación de conocimiento a partir de la explotación de los datos sanitarios.</w:t>
      </w:r>
    </w:p>
    <w:p w14:paraId="55E2C2C4" w14:textId="77777777" w:rsidR="00A02A2D" w:rsidRDefault="00000000">
      <w:pPr>
        <w:numPr>
          <w:ilvl w:val="0"/>
          <w:numId w:val="1"/>
        </w:numPr>
        <w:spacing w:after="40"/>
        <w:jc w:val="both"/>
      </w:pPr>
      <w:r>
        <w:t>Innovación y su influencia en la salud digital.</w:t>
      </w:r>
    </w:p>
    <w:p w14:paraId="7756AE52" w14:textId="77777777" w:rsidR="00A02A2D" w:rsidRDefault="00000000">
      <w:pPr>
        <w:spacing w:before="120" w:after="40"/>
        <w:rPr>
          <w:b/>
          <w:i/>
        </w:rPr>
      </w:pPr>
      <w:r>
        <w:rPr>
          <w:b/>
          <w:i/>
        </w:rPr>
        <w:t>Titulares de interpretación del DAFO</w:t>
      </w:r>
    </w:p>
    <w:p w14:paraId="536A66D1" w14:textId="77777777" w:rsidR="00A02A2D" w:rsidRDefault="00000000">
      <w:pPr>
        <w:numPr>
          <w:ilvl w:val="0"/>
          <w:numId w:val="1"/>
        </w:numPr>
        <w:spacing w:after="40"/>
        <w:jc w:val="both"/>
      </w:pPr>
      <w:r>
        <w:t xml:space="preserve">El </w:t>
      </w:r>
      <w:r>
        <w:rPr>
          <w:b/>
        </w:rPr>
        <w:t>potencial de mejora de la obsolescencia</w:t>
      </w:r>
      <w:r>
        <w:t xml:space="preserve"> se considera una </w:t>
      </w:r>
      <w:r>
        <w:rPr>
          <w:b/>
        </w:rPr>
        <w:t>fortaleza</w:t>
      </w:r>
      <w:r>
        <w:t>: sustituir tecnología obsoleta mejora el rendimiento de los SSII, lo que aumenta la satisfacción de ciudadanía y profesionales y refuerza el liderazgo andaluz.</w:t>
      </w:r>
    </w:p>
    <w:p w14:paraId="33F7307A" w14:textId="77777777" w:rsidR="00A02A2D" w:rsidRDefault="00000000">
      <w:pPr>
        <w:numPr>
          <w:ilvl w:val="0"/>
          <w:numId w:val="1"/>
        </w:numPr>
        <w:spacing w:after="40"/>
        <w:jc w:val="both"/>
      </w:pPr>
      <w:r>
        <w:t xml:space="preserve">La </w:t>
      </w:r>
      <w:r>
        <w:rPr>
          <w:b/>
        </w:rPr>
        <w:t>amenaza de los riesgos de seguridad digital</w:t>
      </w:r>
      <w:r>
        <w:t xml:space="preserve"> tiene una </w:t>
      </w:r>
      <w:r>
        <w:rPr>
          <w:b/>
        </w:rPr>
        <w:t>dimensión positiva interna</w:t>
      </w:r>
      <w:r>
        <w:t>: se refuerza con el cuidado y protección de la privacidad y seguridad de los datos por parte del SSPA (aunque el SSPA protege bien los datos, los riesgos siguen siendo una amenaza externa).</w:t>
      </w:r>
    </w:p>
    <w:p w14:paraId="2D0B75EA" w14:textId="77777777" w:rsidR="00A02A2D" w:rsidRDefault="00000000">
      <w:pPr>
        <w:numPr>
          <w:ilvl w:val="0"/>
          <w:numId w:val="1"/>
        </w:numPr>
        <w:spacing w:after="40"/>
        <w:jc w:val="both"/>
      </w:pPr>
      <w:r>
        <w:t xml:space="preserve">Existe un </w:t>
      </w:r>
      <w:r>
        <w:rPr>
          <w:b/>
        </w:rPr>
        <w:t>contexto favorable internacional, nacional y regional</w:t>
      </w:r>
      <w:r>
        <w:t xml:space="preserve">, reforzado en Andalucía por las </w:t>
      </w:r>
      <w:r>
        <w:rPr>
          <w:b/>
        </w:rPr>
        <w:t>colaboraciones con la Agencia Digital de Andalucía</w:t>
      </w:r>
      <w:r>
        <w:t xml:space="preserve"> (IA, ciberseguridad, competencias digitales…).</w:t>
      </w:r>
    </w:p>
    <w:p w14:paraId="2BB75153" w14:textId="77777777" w:rsidR="00A02A2D" w:rsidRDefault="00000000">
      <w:pPr>
        <w:numPr>
          <w:ilvl w:val="0"/>
          <w:numId w:val="1"/>
        </w:numPr>
        <w:spacing w:after="40"/>
        <w:jc w:val="both"/>
      </w:pPr>
      <w:r>
        <w:t xml:space="preserve">A pesar de las oportunidades de la innovación, </w:t>
      </w:r>
      <w:r>
        <w:rPr>
          <w:b/>
        </w:rPr>
        <w:t>falta transferencia de la I+D+i a la práctica clínica</w:t>
      </w:r>
      <w:r>
        <w:t xml:space="preserve">: es indispensable </w:t>
      </w:r>
      <w:r>
        <w:rPr>
          <w:b/>
        </w:rPr>
        <w:t>conectar agentes, centralizar esfuerzos y garantizar, con evidencia científica</w:t>
      </w:r>
      <w:r>
        <w:t>, que las iniciativas lleguen a ser casos de éxito.</w:t>
      </w:r>
    </w:p>
    <w:p w14:paraId="32B7A349" w14:textId="77777777" w:rsidR="00A02A2D" w:rsidRDefault="00000000">
      <w:pPr>
        <w:spacing w:before="120" w:after="40"/>
        <w:rPr>
          <w:b/>
          <w:i/>
        </w:rPr>
      </w:pPr>
      <w:r>
        <w:rPr>
          <w:b/>
          <w:i/>
        </w:rPr>
        <w:t>Retos (“¿Cómo podríamos…?”)</w:t>
      </w:r>
    </w:p>
    <w:p w14:paraId="4A0001F5" w14:textId="77777777" w:rsidR="00A02A2D" w:rsidRDefault="00000000">
      <w:pPr>
        <w:numPr>
          <w:ilvl w:val="0"/>
          <w:numId w:val="1"/>
        </w:numPr>
        <w:spacing w:after="40"/>
        <w:jc w:val="both"/>
      </w:pPr>
      <w:r>
        <w:rPr>
          <w:b/>
        </w:rPr>
        <w:t>#1 Conectar los sistemas de información entre sí de forma segura</w:t>
      </w:r>
      <w:r>
        <w:t xml:space="preserve"> para garantizar el acceso universal a datos de salud, optimizar procesos y compartir información de forma interna y externa en la Administración.</w:t>
      </w:r>
    </w:p>
    <w:p w14:paraId="7D57F70E" w14:textId="77777777" w:rsidR="00A02A2D" w:rsidRDefault="00000000">
      <w:pPr>
        <w:numPr>
          <w:ilvl w:val="0"/>
          <w:numId w:val="1"/>
        </w:numPr>
        <w:spacing w:after="40"/>
        <w:jc w:val="both"/>
      </w:pPr>
      <w:r>
        <w:rPr>
          <w:b/>
        </w:rPr>
        <w:lastRenderedPageBreak/>
        <w:t>#2 Crear consciencia y mejorar las competencias digitales de las personas</w:t>
      </w:r>
      <w:r>
        <w:t xml:space="preserve"> para hacer un tratamiento seguro de los datos sanitarios, mejorar el uso de los servicios digitales, evitar brechas digitales y vencer resistencias al cambio.</w:t>
      </w:r>
    </w:p>
    <w:p w14:paraId="32ADD93C" w14:textId="77777777" w:rsidR="00A02A2D" w:rsidRDefault="00000000">
      <w:pPr>
        <w:numPr>
          <w:ilvl w:val="0"/>
          <w:numId w:val="1"/>
        </w:numPr>
        <w:spacing w:after="40"/>
        <w:jc w:val="both"/>
      </w:pPr>
      <w:r>
        <w:rPr>
          <w:b/>
        </w:rPr>
        <w:t>#3 Atraer y mantener el talento de los profesionales</w:t>
      </w:r>
      <w:r>
        <w:t xml:space="preserve"> para mejorar el desarrollo de la salud digital y hacer sostenible el sistema.</w:t>
      </w:r>
    </w:p>
    <w:p w14:paraId="5273A418" w14:textId="77777777" w:rsidR="00A02A2D" w:rsidRDefault="00000000">
      <w:pPr>
        <w:numPr>
          <w:ilvl w:val="0"/>
          <w:numId w:val="1"/>
        </w:numPr>
        <w:spacing w:after="40"/>
        <w:jc w:val="both"/>
      </w:pPr>
      <w:r>
        <w:rPr>
          <w:b/>
        </w:rPr>
        <w:t>#4 Fomentar la investigación en salud digital</w:t>
      </w:r>
      <w:r>
        <w:t xml:space="preserve"> para generar sinergias entre sectores y agentes de interés.</w:t>
      </w:r>
    </w:p>
    <w:p w14:paraId="396B09A1" w14:textId="77777777" w:rsidR="00A02A2D" w:rsidRDefault="00000000">
      <w:pPr>
        <w:numPr>
          <w:ilvl w:val="0"/>
          <w:numId w:val="1"/>
        </w:numPr>
        <w:spacing w:after="40"/>
        <w:jc w:val="both"/>
      </w:pPr>
      <w:r>
        <w:rPr>
          <w:b/>
        </w:rPr>
        <w:t>#5 Definir el modelo digital del futuro</w:t>
      </w:r>
      <w:r>
        <w:t xml:space="preserve"> para garantizar una correcta distribución de responsabilidades en el ámbito tecnológico, facilitar la planificación y </w:t>
      </w:r>
      <w:r>
        <w:rPr>
          <w:b/>
        </w:rPr>
        <w:t>evitar la fragmentación y dispersión de servicios digitales</w:t>
      </w:r>
      <w:r>
        <w:t>.</w:t>
      </w:r>
    </w:p>
    <w:p w14:paraId="5A5D4851" w14:textId="77777777" w:rsidR="00A02A2D" w:rsidRDefault="00000000">
      <w:pPr>
        <w:numPr>
          <w:ilvl w:val="0"/>
          <w:numId w:val="1"/>
        </w:numPr>
        <w:spacing w:after="40"/>
        <w:jc w:val="both"/>
      </w:pPr>
      <w:r>
        <w:rPr>
          <w:b/>
        </w:rPr>
        <w:t>#6 Diseñar servicios digitales de salud que sean conocidos y fáciles de usar</w:t>
      </w:r>
      <w:r>
        <w:t xml:space="preserve"> para disminuir la brecha digital, incrementar cercanía y accesibilidad, fomentar la participación, garantizar la seguridad, impulsar la sostenibilidad y lograr mayor utilidad.</w:t>
      </w:r>
    </w:p>
    <w:p w14:paraId="47AC3BAB" w14:textId="77777777" w:rsidR="00A02A2D" w:rsidRDefault="00000000">
      <w:pPr>
        <w:numPr>
          <w:ilvl w:val="0"/>
          <w:numId w:val="1"/>
        </w:numPr>
        <w:spacing w:after="40"/>
        <w:jc w:val="both"/>
      </w:pPr>
      <w:r>
        <w:rPr>
          <w:b/>
        </w:rPr>
        <w:t>#7 Acercar los sistemas de información a las personas</w:t>
      </w:r>
      <w:r>
        <w:t xml:space="preserve"> para facilitar su uso, maximizar resultados en salud, tomar mejores decisiones, garantizar la continuidad asistencial y minimizar riesgos.</w:t>
      </w:r>
    </w:p>
    <w:p w14:paraId="3579ECB5" w14:textId="77777777" w:rsidR="00A02A2D" w:rsidRDefault="00000000">
      <w:pPr>
        <w:ind w:firstLine="708"/>
        <w:jc w:val="both"/>
      </w:pPr>
      <w:r>
        <w:t>(La numeración de los retos varía entre versiones; lo importante es asociar cada reto con sus finalidades.)</w:t>
      </w:r>
    </w:p>
    <w:p w14:paraId="217AB093" w14:textId="77777777" w:rsidR="00A02A2D" w:rsidRDefault="00000000">
      <w:pPr>
        <w:spacing w:before="160" w:after="60"/>
        <w:rPr>
          <w:b/>
        </w:rPr>
      </w:pPr>
      <w:r>
        <w:rPr>
          <w:b/>
        </w:rPr>
        <w:t>7.9. Enfoque estratégico: objetivos generales, específicos y líneas estratégicas</w:t>
      </w:r>
    </w:p>
    <w:p w14:paraId="7AD4C28D" w14:textId="77777777" w:rsidR="00A02A2D" w:rsidRDefault="00000000">
      <w:pPr>
        <w:spacing w:before="120" w:after="40"/>
        <w:rPr>
          <w:b/>
          <w:i/>
        </w:rPr>
      </w:pPr>
      <w:r>
        <w:rPr>
          <w:b/>
          <w:i/>
        </w:rPr>
        <w:t>OG1. Mejorar y evolucionar los servicios digitales de salud, respondiendo a las necesidades reales de las personas y su contexto</w:t>
      </w:r>
    </w:p>
    <w:p w14:paraId="4F38A28B" w14:textId="77777777" w:rsidR="00A02A2D" w:rsidRDefault="00000000">
      <w:pPr>
        <w:ind w:firstLine="708"/>
        <w:jc w:val="both"/>
      </w:pPr>
      <w:r>
        <w:t xml:space="preserve">Problema de partida: </w:t>
      </w:r>
      <w:r>
        <w:rPr>
          <w:b/>
        </w:rPr>
        <w:t>desconocimiento</w:t>
      </w:r>
      <w:r>
        <w:t xml:space="preserve"> de las soluciones digitales disponibles (ciudadanía y profesionales) y </w:t>
      </w:r>
      <w:r>
        <w:rPr>
          <w:b/>
        </w:rPr>
        <w:t>limitaciones de usabilidad y accesibilidad</w:t>
      </w:r>
      <w:r>
        <w:t>.</w:t>
      </w:r>
    </w:p>
    <w:p w14:paraId="4AC08A22" w14:textId="77777777" w:rsidR="00A02A2D" w:rsidRDefault="00000000">
      <w:pPr>
        <w:numPr>
          <w:ilvl w:val="0"/>
          <w:numId w:val="1"/>
        </w:numPr>
        <w:spacing w:after="40"/>
        <w:jc w:val="both"/>
      </w:pPr>
      <w:r>
        <w:rPr>
          <w:b/>
        </w:rPr>
        <w:t>Oe1.1</w:t>
      </w:r>
      <w:r>
        <w:t xml:space="preserve"> Incrementar el grado de accesibilidad de la ciudadanía y profesionales al sistema sanitario por canales digitales.</w:t>
      </w:r>
    </w:p>
    <w:p w14:paraId="578019CF" w14:textId="77777777" w:rsidR="00A02A2D" w:rsidRDefault="00000000">
      <w:pPr>
        <w:numPr>
          <w:ilvl w:val="0"/>
          <w:numId w:val="1"/>
        </w:numPr>
        <w:spacing w:after="40"/>
        <w:jc w:val="both"/>
      </w:pPr>
      <w:r>
        <w:rPr>
          <w:b/>
        </w:rPr>
        <w:t>Oe1.2</w:t>
      </w:r>
      <w:r>
        <w:t xml:space="preserve"> Promover la atención personalizada y proactiva a través de soluciones digitales (incluye medidas </w:t>
      </w:r>
      <w:r>
        <w:rPr>
          <w:b/>
        </w:rPr>
        <w:t>preventivas</w:t>
      </w:r>
      <w:r>
        <w:t xml:space="preserve"> para combatir la aparición de dolencias).</w:t>
      </w:r>
    </w:p>
    <w:p w14:paraId="686B03C5" w14:textId="77777777" w:rsidR="00A02A2D" w:rsidRDefault="00000000">
      <w:pPr>
        <w:numPr>
          <w:ilvl w:val="0"/>
          <w:numId w:val="1"/>
        </w:numPr>
        <w:spacing w:after="40"/>
        <w:jc w:val="both"/>
      </w:pPr>
      <w:r>
        <w:rPr>
          <w:b/>
        </w:rPr>
        <w:t>Oe1.3</w:t>
      </w:r>
      <w:r>
        <w:t xml:space="preserve"> Mejorar los niveles de satisfacción de ciudadanía y profesionales en el uso de servicios digitales y SSII de salud (clave: </w:t>
      </w:r>
      <w:r>
        <w:rPr>
          <w:b/>
        </w:rPr>
        <w:t>diseño centrado en el usuario y capacitación</w:t>
      </w:r>
      <w:r>
        <w:t>).</w:t>
      </w:r>
    </w:p>
    <w:p w14:paraId="6C7C9A25" w14:textId="77777777" w:rsidR="00A02A2D" w:rsidRDefault="00000000">
      <w:pPr>
        <w:spacing w:before="120" w:after="40"/>
        <w:rPr>
          <w:b/>
          <w:i/>
        </w:rPr>
      </w:pPr>
      <w:r>
        <w:rPr>
          <w:b/>
          <w:i/>
        </w:rPr>
        <w:t>OG2. Mejorar la toma de decisiones aprovechando el valor y calidad del dato y conocimiento disponibles</w:t>
      </w:r>
    </w:p>
    <w:p w14:paraId="033267C5" w14:textId="77777777" w:rsidR="00A02A2D" w:rsidRDefault="00000000">
      <w:pPr>
        <w:numPr>
          <w:ilvl w:val="0"/>
          <w:numId w:val="1"/>
        </w:numPr>
        <w:spacing w:after="40"/>
        <w:jc w:val="both"/>
      </w:pPr>
      <w:r>
        <w:rPr>
          <w:b/>
        </w:rPr>
        <w:t>Oe2.1</w:t>
      </w:r>
      <w:r>
        <w:t xml:space="preserve"> Fortalecer la gestión de riesgos y amenazas en salud mediante el uso de herramientas digitales.</w:t>
      </w:r>
    </w:p>
    <w:p w14:paraId="3FC39A74" w14:textId="77777777" w:rsidR="00A02A2D" w:rsidRDefault="00000000">
      <w:pPr>
        <w:numPr>
          <w:ilvl w:val="0"/>
          <w:numId w:val="1"/>
        </w:numPr>
        <w:spacing w:after="40"/>
        <w:jc w:val="both"/>
      </w:pPr>
      <w:r>
        <w:rPr>
          <w:b/>
        </w:rPr>
        <w:t>Oe2.2</w:t>
      </w:r>
      <w:r>
        <w:t xml:space="preserve"> Optimizar la agilidad y precisión de los procesos (asistenciales y no asistenciales) a través del uso del dato: diagnóstico más ágil y asignación precisa de recursos.</w:t>
      </w:r>
    </w:p>
    <w:p w14:paraId="4E091C39" w14:textId="77777777" w:rsidR="00A02A2D" w:rsidRDefault="00000000">
      <w:pPr>
        <w:numPr>
          <w:ilvl w:val="0"/>
          <w:numId w:val="1"/>
        </w:numPr>
        <w:spacing w:after="40"/>
        <w:jc w:val="both"/>
      </w:pPr>
      <w:r>
        <w:rPr>
          <w:b/>
        </w:rPr>
        <w:t>Oe2.3</w:t>
      </w:r>
      <w:r>
        <w:t xml:space="preserve"> Contribuir a un </w:t>
      </w:r>
      <w:r>
        <w:rPr>
          <w:b/>
        </w:rPr>
        <w:t>nuevo modelo de gestión del dato</w:t>
      </w:r>
      <w:r>
        <w:t xml:space="preserve"> a través de herramientas digitales (recopilación, almacenamiento, análisis y compartición innovadores).</w:t>
      </w:r>
    </w:p>
    <w:p w14:paraId="4E8C9D82" w14:textId="77777777" w:rsidR="00A02A2D" w:rsidRDefault="00000000">
      <w:pPr>
        <w:spacing w:before="120" w:after="40"/>
        <w:rPr>
          <w:b/>
          <w:i/>
        </w:rPr>
      </w:pPr>
      <w:r>
        <w:rPr>
          <w:b/>
          <w:i/>
        </w:rPr>
        <w:t>OG3. Impulsar la transformación digital de la organización, favoreciendo el fortalecimiento de sus capacidades y la modernización de la salud</w:t>
      </w:r>
    </w:p>
    <w:p w14:paraId="03836629" w14:textId="77777777" w:rsidR="00A02A2D" w:rsidRDefault="00000000">
      <w:pPr>
        <w:numPr>
          <w:ilvl w:val="0"/>
          <w:numId w:val="1"/>
        </w:numPr>
        <w:spacing w:after="40"/>
        <w:jc w:val="both"/>
      </w:pPr>
      <w:r>
        <w:rPr>
          <w:b/>
        </w:rPr>
        <w:lastRenderedPageBreak/>
        <w:t>Oe3.1</w:t>
      </w:r>
      <w:r>
        <w:t xml:space="preserve"> Reducir los eventos de riesgo en seguridad digital (ciberataques, </w:t>
      </w:r>
      <w:r>
        <w:rPr>
          <w:b/>
        </w:rPr>
        <w:t>brechas de datos</w:t>
      </w:r>
      <w:r>
        <w:t xml:space="preserve">) mediante </w:t>
      </w:r>
      <w:r>
        <w:rPr>
          <w:b/>
        </w:rPr>
        <w:t>medidas proactivas para identificar, prevenir y mitigar amenazas</w:t>
      </w:r>
      <w:r>
        <w:t>.</w:t>
      </w:r>
    </w:p>
    <w:p w14:paraId="62F2F5E1" w14:textId="77777777" w:rsidR="00A02A2D" w:rsidRDefault="00000000">
      <w:pPr>
        <w:numPr>
          <w:ilvl w:val="0"/>
          <w:numId w:val="1"/>
        </w:numPr>
        <w:spacing w:after="40"/>
        <w:jc w:val="both"/>
      </w:pPr>
      <w:r>
        <w:rPr>
          <w:b/>
        </w:rPr>
        <w:t>Oe3.2</w:t>
      </w:r>
      <w:r>
        <w:t xml:space="preserve"> Incrementar la </w:t>
      </w:r>
      <w:r>
        <w:rPr>
          <w:b/>
        </w:rPr>
        <w:t>interoperabilidad</w:t>
      </w:r>
      <w:r>
        <w:t xml:space="preserve"> entre sistemas dentro del contexto sanitario y con otros SSII (estándares y protocolos).</w:t>
      </w:r>
    </w:p>
    <w:p w14:paraId="1DCFA16A" w14:textId="77777777" w:rsidR="00A02A2D" w:rsidRDefault="00000000">
      <w:pPr>
        <w:numPr>
          <w:ilvl w:val="0"/>
          <w:numId w:val="1"/>
        </w:numPr>
        <w:spacing w:after="40"/>
        <w:jc w:val="both"/>
      </w:pPr>
      <w:r>
        <w:rPr>
          <w:b/>
        </w:rPr>
        <w:t>Oe3.3</w:t>
      </w:r>
      <w:r>
        <w:t xml:space="preserve"> Impulsar la </w:t>
      </w:r>
      <w:r>
        <w:rPr>
          <w:b/>
        </w:rPr>
        <w:t>renovación tecnológica sostenible</w:t>
      </w:r>
      <w:r>
        <w:t xml:space="preserve"> y mejorar la estabilidad y rendimiento de los sistemas.</w:t>
      </w:r>
    </w:p>
    <w:p w14:paraId="41702FD5" w14:textId="77777777" w:rsidR="00A02A2D" w:rsidRDefault="00000000">
      <w:pPr>
        <w:numPr>
          <w:ilvl w:val="0"/>
          <w:numId w:val="1"/>
        </w:numPr>
        <w:spacing w:after="40"/>
        <w:jc w:val="both"/>
      </w:pPr>
      <w:r>
        <w:rPr>
          <w:b/>
        </w:rPr>
        <w:t>Oe3.4</w:t>
      </w:r>
      <w:r>
        <w:t xml:space="preserve"> Fomentar la </w:t>
      </w:r>
      <w:r>
        <w:rPr>
          <w:b/>
        </w:rPr>
        <w:t>atracción y retención del talento</w:t>
      </w:r>
      <w:r>
        <w:t xml:space="preserve"> (TIC) en el SSPA.</w:t>
      </w:r>
    </w:p>
    <w:p w14:paraId="07E7CD6F" w14:textId="77777777" w:rsidR="00A02A2D" w:rsidRDefault="00000000">
      <w:pPr>
        <w:spacing w:before="120" w:after="40"/>
        <w:rPr>
          <w:b/>
          <w:i/>
        </w:rPr>
      </w:pPr>
      <w:r>
        <w:rPr>
          <w:b/>
          <w:i/>
        </w:rPr>
        <w:t>OG4. Fomentar la innovación dentro del ecosistema digital del SSPA, respaldando la ideación, participación y desarrollo de iniciativas transformadoras</w:t>
      </w:r>
    </w:p>
    <w:p w14:paraId="62C0C0A3" w14:textId="77777777" w:rsidR="00A02A2D" w:rsidRDefault="00000000">
      <w:pPr>
        <w:ind w:firstLine="708"/>
        <w:jc w:val="both"/>
      </w:pPr>
      <w:r>
        <w:t xml:space="preserve">Busca articular </w:t>
      </w:r>
      <w:r>
        <w:rPr>
          <w:b/>
        </w:rPr>
        <w:t>procesos colaborativos</w:t>
      </w:r>
      <w:r>
        <w:t xml:space="preserve"> que aseguren el valor y la adecuación de las iniciativas innovadoras a las necesidades del sistema. Barreras: </w:t>
      </w:r>
      <w:r>
        <w:rPr>
          <w:b/>
        </w:rPr>
        <w:t>desconocimiento de las iniciativas y falta de canales de comunicación efectivos</w:t>
      </w:r>
      <w:r>
        <w:t>.</w:t>
      </w:r>
    </w:p>
    <w:p w14:paraId="17AB1897" w14:textId="77777777" w:rsidR="00A02A2D" w:rsidRDefault="00000000">
      <w:pPr>
        <w:numPr>
          <w:ilvl w:val="0"/>
          <w:numId w:val="1"/>
        </w:numPr>
        <w:spacing w:after="40"/>
        <w:jc w:val="both"/>
      </w:pPr>
      <w:r>
        <w:rPr>
          <w:b/>
        </w:rPr>
        <w:t>Oe4.1</w:t>
      </w:r>
      <w:r>
        <w:t xml:space="preserve"> Mejorar la </w:t>
      </w:r>
      <w:r>
        <w:rPr>
          <w:b/>
        </w:rPr>
        <w:t>visibilidad y conocimiento</w:t>
      </w:r>
      <w:r>
        <w:t xml:space="preserve"> de las iniciativas innovadoras desarrolladas en el SSPA (difusión).</w:t>
      </w:r>
    </w:p>
    <w:p w14:paraId="19DB1780" w14:textId="77777777" w:rsidR="00A02A2D" w:rsidRDefault="00000000">
      <w:pPr>
        <w:numPr>
          <w:ilvl w:val="0"/>
          <w:numId w:val="1"/>
        </w:numPr>
        <w:spacing w:after="40"/>
        <w:jc w:val="both"/>
      </w:pPr>
      <w:r>
        <w:rPr>
          <w:b/>
        </w:rPr>
        <w:t>Oe4.2</w:t>
      </w:r>
      <w:r>
        <w:t xml:space="preserve"> Reforzar los </w:t>
      </w:r>
      <w:r>
        <w:rPr>
          <w:b/>
        </w:rPr>
        <w:t>mecanismos de participación</w:t>
      </w:r>
      <w:r>
        <w:t xml:space="preserve"> en iniciativas digitales (co-creación, espacios de colaboración, evaluación de satisfacción).</w:t>
      </w:r>
    </w:p>
    <w:p w14:paraId="05213749" w14:textId="77777777" w:rsidR="00A02A2D" w:rsidRDefault="00000000">
      <w:pPr>
        <w:numPr>
          <w:ilvl w:val="0"/>
          <w:numId w:val="1"/>
        </w:numPr>
        <w:spacing w:after="40"/>
        <w:jc w:val="both"/>
      </w:pPr>
      <w:r>
        <w:rPr>
          <w:b/>
        </w:rPr>
        <w:t>Oe4.3</w:t>
      </w:r>
      <w:r>
        <w:t xml:space="preserve"> </w:t>
      </w:r>
      <w:r>
        <w:rPr>
          <w:b/>
        </w:rPr>
        <w:t>Idear, testear y evaluar</w:t>
      </w:r>
      <w:r>
        <w:t xml:space="preserve"> soluciones innovadoras al servicio de la salud.</w:t>
      </w:r>
    </w:p>
    <w:p w14:paraId="66529E52" w14:textId="77777777" w:rsidR="00A02A2D" w:rsidRDefault="00000000">
      <w:pPr>
        <w:numPr>
          <w:ilvl w:val="0"/>
          <w:numId w:val="1"/>
        </w:numPr>
        <w:spacing w:after="40"/>
        <w:jc w:val="both"/>
      </w:pPr>
      <w:r>
        <w:rPr>
          <w:b/>
        </w:rPr>
        <w:t>Oe4.4</w:t>
      </w:r>
      <w:r>
        <w:t xml:space="preserve"> Promover la </w:t>
      </w:r>
      <w:r>
        <w:rPr>
          <w:b/>
        </w:rPr>
        <w:t>colaboración público-privada</w:t>
      </w:r>
      <w:r>
        <w:t xml:space="preserve"> (sinergias con entidades privadas) para facilitar el impulso de iniciativas digitales.</w:t>
      </w:r>
    </w:p>
    <w:p w14:paraId="0A908F7A" w14:textId="77777777" w:rsidR="00A02A2D" w:rsidRDefault="00000000">
      <w:pPr>
        <w:spacing w:before="120" w:after="40"/>
        <w:rPr>
          <w:b/>
          <w:i/>
        </w:rPr>
      </w:pPr>
      <w:r>
        <w:rPr>
          <w:b/>
          <w:i/>
        </w:rPr>
        <w:t>Líneas estratégicas transversales (en la versión final, “pilares”)</w:t>
      </w:r>
    </w:p>
    <w:p w14:paraId="66DCED12" w14:textId="77777777" w:rsidR="00A02A2D" w:rsidRDefault="00000000">
      <w:pPr>
        <w:numPr>
          <w:ilvl w:val="0"/>
          <w:numId w:val="1"/>
        </w:numPr>
        <w:spacing w:after="40"/>
        <w:jc w:val="both"/>
      </w:pPr>
      <w:r>
        <w:rPr>
          <w:b/>
        </w:rPr>
        <w:t>LE1. Gobernanza digital:</w:t>
      </w:r>
      <w:r>
        <w:t xml:space="preserve"> la confluencia de múltiples agentes sin coordinación genera riesgos (duplicidades, ineficiencias en la asignación de recursos) que afectan a la sostenibilidad. Se articula una gobernanza que determine </w:t>
      </w:r>
      <w:r>
        <w:rPr>
          <w:b/>
        </w:rPr>
        <w:t>roles, procesos y procedimientos durante todo el ciclo de vida de una iniciativa</w:t>
      </w:r>
      <w:r>
        <w:t>.</w:t>
      </w:r>
    </w:p>
    <w:p w14:paraId="447FBCC1" w14:textId="77777777" w:rsidR="00A02A2D" w:rsidRDefault="00000000">
      <w:pPr>
        <w:numPr>
          <w:ilvl w:val="0"/>
          <w:numId w:val="1"/>
        </w:numPr>
        <w:spacing w:after="40"/>
        <w:jc w:val="both"/>
      </w:pPr>
      <w:r>
        <w:rPr>
          <w:b/>
        </w:rPr>
        <w:t>LE2. Humanización digital:</w:t>
      </w:r>
      <w:r>
        <w:t xml:space="preserve"> una digitalización excesiva o inadecuada puede perjudicar a determinados grupos y reducir la accesibilidad; debe </w:t>
      </w:r>
      <w:r>
        <w:rPr>
          <w:b/>
        </w:rPr>
        <w:t>prevalecer el contacto y trato cercano</w:t>
      </w:r>
      <w:r>
        <w:t xml:space="preserve"> entre ciudadanía y profesionales (la automatización completa de la atención iría en contra de este principio).</w:t>
      </w:r>
    </w:p>
    <w:p w14:paraId="7379238F" w14:textId="77777777" w:rsidR="00A02A2D" w:rsidRDefault="00000000">
      <w:pPr>
        <w:numPr>
          <w:ilvl w:val="0"/>
          <w:numId w:val="1"/>
        </w:numPr>
        <w:spacing w:after="40"/>
        <w:jc w:val="both"/>
      </w:pPr>
      <w:r>
        <w:rPr>
          <w:b/>
        </w:rPr>
        <w:t>LE3. Capacitación digital:</w:t>
      </w:r>
      <w:r>
        <w:t xml:space="preserve"> mejorar las capacidades de profesionales y ciudadanía para asegurar </w:t>
      </w:r>
      <w:r>
        <w:rPr>
          <w:b/>
        </w:rPr>
        <w:t>equidad, eficiencia y sostenibilidad</w:t>
      </w:r>
      <w:r>
        <w:t>, mediante comunicación, concienciación y sensibilización, formación y participación. Alineada con el eje 5 del Plan de Capacitación Digital de Andalucía. (La inversión en hardware no forma parte de esta línea.)</w:t>
      </w:r>
    </w:p>
    <w:p w14:paraId="095610ED" w14:textId="77777777" w:rsidR="00A02A2D" w:rsidRDefault="00000000">
      <w:pPr>
        <w:ind w:firstLine="708"/>
        <w:jc w:val="both"/>
      </w:pPr>
      <w:r>
        <w:t>El enfoque estratégico fue contrastado por más de 160 personas en jornadas y comisiones de seguimiento.</w:t>
      </w:r>
    </w:p>
    <w:p w14:paraId="45D3FDD5" w14:textId="77777777" w:rsidR="00A02A2D" w:rsidRDefault="00000000">
      <w:pPr>
        <w:spacing w:before="160" w:after="60"/>
        <w:rPr>
          <w:b/>
        </w:rPr>
      </w:pPr>
      <w:r>
        <w:rPr>
          <w:b/>
        </w:rPr>
        <w:t>7.10. Modelo de seguimiento y evaluación: indicadores</w:t>
      </w:r>
    </w:p>
    <w:p w14:paraId="70BDB4E2" w14:textId="77777777" w:rsidR="00A02A2D" w:rsidRDefault="00000000">
      <w:pPr>
        <w:spacing w:before="120" w:after="40"/>
        <w:rPr>
          <w:b/>
          <w:i/>
        </w:rPr>
      </w:pPr>
      <w:r>
        <w:rPr>
          <w:b/>
          <w:i/>
        </w:rPr>
        <w:t>OG1</w:t>
      </w:r>
    </w:p>
    <w:p w14:paraId="38D14082" w14:textId="77777777" w:rsidR="00A02A2D" w:rsidRDefault="00000000">
      <w:pPr>
        <w:numPr>
          <w:ilvl w:val="0"/>
          <w:numId w:val="1"/>
        </w:numPr>
        <w:spacing w:after="40"/>
        <w:jc w:val="both"/>
      </w:pPr>
      <w:r>
        <w:rPr>
          <w:b/>
        </w:rPr>
        <w:t>1.1</w:t>
      </w:r>
      <w:r>
        <w:t xml:space="preserve"> Proporción de personas que acceden a servicios de salud por canales digitales: % de personas de 16 a 74 años que usan internet para servicios de salud (cita, archivos personales, otros).</w:t>
      </w:r>
    </w:p>
    <w:p w14:paraId="4EA47F30" w14:textId="77777777" w:rsidR="00A02A2D" w:rsidRDefault="00000000">
      <w:pPr>
        <w:numPr>
          <w:ilvl w:val="0"/>
          <w:numId w:val="1"/>
        </w:numPr>
        <w:spacing w:after="40"/>
        <w:jc w:val="both"/>
      </w:pPr>
      <w:r>
        <w:rPr>
          <w:b/>
        </w:rPr>
        <w:t>1.1’</w:t>
      </w:r>
      <w:r>
        <w:t xml:space="preserve"> Proporción que accede a portales de pacientes por segmentos (ubicación, edad) y comparativa entre segmentos (p. ej., zonas rurales frente a capitales).</w:t>
      </w:r>
    </w:p>
    <w:p w14:paraId="17B0249D" w14:textId="77777777" w:rsidR="00A02A2D" w:rsidRDefault="00000000">
      <w:pPr>
        <w:numPr>
          <w:ilvl w:val="0"/>
          <w:numId w:val="1"/>
        </w:numPr>
        <w:spacing w:after="40"/>
        <w:jc w:val="both"/>
      </w:pPr>
      <w:r>
        <w:rPr>
          <w:b/>
        </w:rPr>
        <w:lastRenderedPageBreak/>
        <w:t>1.2</w:t>
      </w:r>
      <w:r>
        <w:t xml:space="preserve"> Satisfacción de la ciudadanía con los portales digitales (% que puntúa 4 o 5 en una escala de 1 a 5). </w:t>
      </w:r>
      <w:r>
        <w:rPr>
          <w:b/>
        </w:rPr>
        <w:t>1.3</w:t>
      </w:r>
      <w:r>
        <w:t xml:space="preserve"> Idem para profesionales con los servicios digitales/SSII.</w:t>
      </w:r>
    </w:p>
    <w:p w14:paraId="5B795C26" w14:textId="77777777" w:rsidR="00A02A2D" w:rsidRDefault="00000000">
      <w:pPr>
        <w:numPr>
          <w:ilvl w:val="0"/>
          <w:numId w:val="1"/>
        </w:numPr>
        <w:spacing w:after="40"/>
        <w:jc w:val="both"/>
      </w:pPr>
      <w:r>
        <w:rPr>
          <w:b/>
        </w:rPr>
        <w:t>1.4</w:t>
      </w:r>
      <w:r>
        <w:t xml:space="preserve"> Proporción de personas que realizan trámites de salud por internet.</w:t>
      </w:r>
    </w:p>
    <w:p w14:paraId="59D0F1B9" w14:textId="77777777" w:rsidR="00A02A2D" w:rsidRDefault="00000000">
      <w:pPr>
        <w:numPr>
          <w:ilvl w:val="0"/>
          <w:numId w:val="1"/>
        </w:numPr>
        <w:spacing w:after="40"/>
        <w:jc w:val="both"/>
      </w:pPr>
      <w:r>
        <w:rPr>
          <w:b/>
        </w:rPr>
        <w:t>1.5</w:t>
      </w:r>
      <w:r>
        <w:t xml:space="preserve"> Proporción de resoluciones en teleconsulta que </w:t>
      </w:r>
      <w:r>
        <w:rPr>
          <w:b/>
        </w:rPr>
        <w:t>no requieren una nueva cita presencial</w:t>
      </w:r>
      <w:r>
        <w:t xml:space="preserve"> (teleictus, telederma, primaria, hospitalaria).</w:t>
      </w:r>
    </w:p>
    <w:p w14:paraId="3FD630D5" w14:textId="77777777" w:rsidR="00A02A2D" w:rsidRDefault="00000000">
      <w:pPr>
        <w:numPr>
          <w:ilvl w:val="0"/>
          <w:numId w:val="1"/>
        </w:numPr>
        <w:spacing w:after="40"/>
        <w:jc w:val="both"/>
      </w:pPr>
      <w:r>
        <w:rPr>
          <w:b/>
        </w:rPr>
        <w:t>1.6</w:t>
      </w:r>
      <w:r>
        <w:t xml:space="preserve"> Tasa de cancelaciones recibidas gracias a comunicaciones digitales (SMS/app): mejora la eficiencia al </w:t>
      </w:r>
      <w:r>
        <w:rPr>
          <w:b/>
        </w:rPr>
        <w:t>anticipar la no asistencia</w:t>
      </w:r>
      <w:r>
        <w:t>.</w:t>
      </w:r>
    </w:p>
    <w:p w14:paraId="171C2111" w14:textId="77777777" w:rsidR="00A02A2D" w:rsidRDefault="00000000">
      <w:pPr>
        <w:spacing w:before="120" w:after="40"/>
        <w:rPr>
          <w:b/>
          <w:i/>
        </w:rPr>
      </w:pPr>
      <w:r>
        <w:rPr>
          <w:b/>
          <w:i/>
        </w:rPr>
        <w:t>OG2</w:t>
      </w:r>
    </w:p>
    <w:p w14:paraId="2D2D39CE" w14:textId="77777777" w:rsidR="00A02A2D" w:rsidRDefault="00000000">
      <w:pPr>
        <w:numPr>
          <w:ilvl w:val="0"/>
          <w:numId w:val="1"/>
        </w:numPr>
        <w:spacing w:after="40"/>
        <w:jc w:val="both"/>
      </w:pPr>
      <w:r>
        <w:rPr>
          <w:b/>
        </w:rPr>
        <w:t>2.1</w:t>
      </w:r>
      <w:r>
        <w:t xml:space="preserve"> Nº de casos de uso de analítica avanzada (estrategia de IA) en producción. </w:t>
      </w:r>
      <w:r>
        <w:rPr>
          <w:b/>
        </w:rPr>
        <w:t>2.1’</w:t>
      </w:r>
      <w:r>
        <w:t xml:space="preserve"> Nº de productos de recopilación y muestra de información (</w:t>
      </w:r>
      <w:r>
        <w:rPr>
          <w:b/>
        </w:rPr>
        <w:t>cuadros de mando y datasets</w:t>
      </w:r>
      <w:r>
        <w:t xml:space="preserve">). </w:t>
      </w:r>
      <w:r>
        <w:rPr>
          <w:b/>
        </w:rPr>
        <w:t>2.2</w:t>
      </w:r>
      <w:r>
        <w:t xml:space="preserve"> Nº de </w:t>
      </w:r>
      <w:r>
        <w:rPr>
          <w:b/>
        </w:rPr>
        <w:t>bases de datos externas</w:t>
      </w:r>
      <w:r>
        <w:t xml:space="preserve"> incorporadas a la analítica avanzada.</w:t>
      </w:r>
    </w:p>
    <w:p w14:paraId="3B0F6941" w14:textId="77777777" w:rsidR="00A02A2D" w:rsidRDefault="00000000">
      <w:pPr>
        <w:spacing w:before="120" w:after="40"/>
        <w:rPr>
          <w:b/>
          <w:i/>
        </w:rPr>
      </w:pPr>
      <w:r>
        <w:rPr>
          <w:b/>
          <w:i/>
        </w:rPr>
        <w:t>OG3</w:t>
      </w:r>
    </w:p>
    <w:p w14:paraId="5945BF26" w14:textId="77777777" w:rsidR="00A02A2D" w:rsidRDefault="00000000">
      <w:pPr>
        <w:numPr>
          <w:ilvl w:val="0"/>
          <w:numId w:val="1"/>
        </w:numPr>
        <w:spacing w:after="40"/>
        <w:jc w:val="both"/>
      </w:pPr>
      <w:r>
        <w:rPr>
          <w:b/>
        </w:rPr>
        <w:t>3.1</w:t>
      </w:r>
      <w:r>
        <w:t xml:space="preserve"> Grado de </w:t>
      </w:r>
      <w:r>
        <w:rPr>
          <w:b/>
        </w:rPr>
        <w:t>obsolescencia tecnológica</w:t>
      </w:r>
      <w:r>
        <w:t xml:space="preserve"> de los SSII: nº de SSII obsoletos sobre el total, según comunicaciones de fabricantes o entidades de referencia o incumplimiento de normativas.</w:t>
      </w:r>
    </w:p>
    <w:p w14:paraId="63C2FB28" w14:textId="77777777" w:rsidR="00A02A2D" w:rsidRDefault="00000000">
      <w:pPr>
        <w:numPr>
          <w:ilvl w:val="0"/>
          <w:numId w:val="1"/>
        </w:numPr>
        <w:spacing w:after="40"/>
        <w:jc w:val="both"/>
      </w:pPr>
      <w:r>
        <w:rPr>
          <w:b/>
        </w:rPr>
        <w:t>3.2</w:t>
      </w:r>
      <w:r>
        <w:t xml:space="preserve"> Nº de procesos administrativos digitalizados para la ciudadanía.</w:t>
      </w:r>
    </w:p>
    <w:p w14:paraId="4A2A0C04" w14:textId="77777777" w:rsidR="00A02A2D" w:rsidRDefault="00000000">
      <w:pPr>
        <w:numPr>
          <w:ilvl w:val="0"/>
          <w:numId w:val="1"/>
        </w:numPr>
        <w:spacing w:after="40"/>
        <w:jc w:val="both"/>
      </w:pPr>
      <w:r>
        <w:rPr>
          <w:b/>
        </w:rPr>
        <w:t>3.3.1</w:t>
      </w:r>
      <w:r>
        <w:t xml:space="preserve"> Tiempo disponible y en rendimiento óptimo de SSII críticos (</w:t>
      </w:r>
      <w:r>
        <w:rPr>
          <w:b/>
        </w:rPr>
        <w:t>Diraya, Siglo</w:t>
      </w:r>
      <w:r>
        <w:t>…), sin paralizaciones inesperadas, frente al tiempo total necesario.</w:t>
      </w:r>
    </w:p>
    <w:p w14:paraId="4A1BD12A" w14:textId="77777777" w:rsidR="00A02A2D" w:rsidRDefault="00000000">
      <w:pPr>
        <w:numPr>
          <w:ilvl w:val="0"/>
          <w:numId w:val="1"/>
        </w:numPr>
        <w:spacing w:after="40"/>
        <w:jc w:val="both"/>
      </w:pPr>
      <w:r>
        <w:rPr>
          <w:b/>
        </w:rPr>
        <w:t>3.4</w:t>
      </w:r>
      <w:r>
        <w:t xml:space="preserve"> Grado de </w:t>
      </w:r>
      <w:r>
        <w:rPr>
          <w:b/>
        </w:rPr>
        <w:t>interoperabilidad</w:t>
      </w:r>
      <w:r>
        <w:t>: nº de SSII integrados en el ecosistema de interoperabilidad del SSPA.</w:t>
      </w:r>
    </w:p>
    <w:p w14:paraId="28341EB0" w14:textId="77777777" w:rsidR="00A02A2D" w:rsidRDefault="00000000">
      <w:pPr>
        <w:numPr>
          <w:ilvl w:val="0"/>
          <w:numId w:val="1"/>
        </w:numPr>
        <w:spacing w:after="40"/>
        <w:jc w:val="both"/>
      </w:pPr>
      <w:r>
        <w:rPr>
          <w:b/>
        </w:rPr>
        <w:t>3.5</w:t>
      </w:r>
      <w:r>
        <w:t xml:space="preserve"> Resolución de ciberincidentes de impacto </w:t>
      </w:r>
      <w:r>
        <w:rPr>
          <w:b/>
        </w:rPr>
        <w:t>alto, muy alto o crítico</w:t>
      </w:r>
      <w:r>
        <w:t xml:space="preserve">; </w:t>
      </w:r>
      <w:r>
        <w:rPr>
          <w:b/>
        </w:rPr>
        <w:t>3.5’</w:t>
      </w:r>
      <w:r>
        <w:t xml:space="preserve"> de impacto </w:t>
      </w:r>
      <w:r>
        <w:rPr>
          <w:b/>
        </w:rPr>
        <w:t>bajo o medio</w:t>
      </w:r>
      <w:r>
        <w:t xml:space="preserve"> (se diferencian por el nivel de impacto).</w:t>
      </w:r>
    </w:p>
    <w:p w14:paraId="728A0506" w14:textId="77777777" w:rsidR="00A02A2D" w:rsidRDefault="00000000">
      <w:pPr>
        <w:numPr>
          <w:ilvl w:val="0"/>
          <w:numId w:val="1"/>
        </w:numPr>
        <w:spacing w:after="40"/>
        <w:jc w:val="both"/>
      </w:pPr>
      <w:r>
        <w:rPr>
          <w:b/>
        </w:rPr>
        <w:t>3.6</w:t>
      </w:r>
      <w:r>
        <w:t xml:space="preserve"> Tasa de </w:t>
      </w:r>
      <w:r>
        <w:rPr>
          <w:b/>
        </w:rPr>
        <w:t>perfiles TIC</w:t>
      </w:r>
      <w:r>
        <w:t xml:space="preserve"> respecto al total de profesionales del SSPA.</w:t>
      </w:r>
    </w:p>
    <w:p w14:paraId="33EFB523" w14:textId="77777777" w:rsidR="00A02A2D" w:rsidRDefault="00000000">
      <w:pPr>
        <w:spacing w:before="120" w:after="40"/>
        <w:rPr>
          <w:b/>
          <w:i/>
        </w:rPr>
      </w:pPr>
      <w:r>
        <w:rPr>
          <w:b/>
          <w:i/>
        </w:rPr>
        <w:t>OG4</w:t>
      </w:r>
    </w:p>
    <w:p w14:paraId="0E04C03B" w14:textId="77777777" w:rsidR="00A02A2D" w:rsidRDefault="00000000">
      <w:pPr>
        <w:numPr>
          <w:ilvl w:val="0"/>
          <w:numId w:val="1"/>
        </w:numPr>
        <w:spacing w:after="40"/>
        <w:jc w:val="both"/>
      </w:pPr>
      <w:r>
        <w:rPr>
          <w:b/>
        </w:rPr>
        <w:t>4.1</w:t>
      </w:r>
      <w:r>
        <w:t xml:space="preserve"> Grado de efectividad de iniciativas de I+D+i: % de iniciativas que, </w:t>
      </w:r>
      <w:r>
        <w:rPr>
          <w:b/>
        </w:rPr>
        <w:t>testeadas, pilotadas y con evidencias recogidas, se ponen en marcha</w:t>
      </w:r>
      <w:r>
        <w:t xml:space="preserve"> en los procesos sanitarios.</w:t>
      </w:r>
    </w:p>
    <w:p w14:paraId="674F59F8" w14:textId="77777777" w:rsidR="00A02A2D" w:rsidRDefault="00000000">
      <w:pPr>
        <w:numPr>
          <w:ilvl w:val="0"/>
          <w:numId w:val="1"/>
        </w:numPr>
        <w:spacing w:after="40"/>
        <w:jc w:val="both"/>
      </w:pPr>
      <w:r>
        <w:rPr>
          <w:b/>
        </w:rPr>
        <w:t>4.2</w:t>
      </w:r>
      <w:r>
        <w:t xml:space="preserve"> Grado de participación: % de nuevas soluciones digitales que fueron </w:t>
      </w:r>
      <w:r>
        <w:rPr>
          <w:b/>
        </w:rPr>
        <w:t>participativas</w:t>
      </w:r>
      <w:r>
        <w:t xml:space="preserve"> con ciudadanía, profesionales y otros agentes antes de su implantación.</w:t>
      </w:r>
    </w:p>
    <w:p w14:paraId="6A3B6452" w14:textId="77777777" w:rsidR="00A02A2D" w:rsidRDefault="00000000">
      <w:pPr>
        <w:numPr>
          <w:ilvl w:val="0"/>
          <w:numId w:val="1"/>
        </w:numPr>
        <w:spacing w:after="40"/>
        <w:jc w:val="both"/>
      </w:pPr>
      <w:r>
        <w:rPr>
          <w:b/>
        </w:rPr>
        <w:t>4.3</w:t>
      </w:r>
      <w:r>
        <w:t xml:space="preserve"> Implicación de profesionales en la ideación: </w:t>
      </w:r>
      <w:r>
        <w:rPr>
          <w:b/>
        </w:rPr>
        <w:t>nº de propuestas de mejora</w:t>
      </w:r>
      <w:r>
        <w:t xml:space="preserve"> trasladadas por los profesionales.</w:t>
      </w:r>
    </w:p>
    <w:p w14:paraId="038486D8" w14:textId="77777777" w:rsidR="00A02A2D" w:rsidRDefault="00000000">
      <w:pPr>
        <w:spacing w:before="120" w:after="40"/>
        <w:rPr>
          <w:b/>
          <w:i/>
        </w:rPr>
      </w:pPr>
      <w:r>
        <w:rPr>
          <w:b/>
          <w:i/>
        </w:rPr>
        <w:t>Líneas estratégicas</w:t>
      </w:r>
    </w:p>
    <w:p w14:paraId="0E35B2E9" w14:textId="77777777" w:rsidR="00A02A2D" w:rsidRDefault="00000000">
      <w:pPr>
        <w:numPr>
          <w:ilvl w:val="0"/>
          <w:numId w:val="1"/>
        </w:numPr>
        <w:spacing w:after="40"/>
        <w:jc w:val="both"/>
      </w:pPr>
      <w:r>
        <w:rPr>
          <w:b/>
        </w:rPr>
        <w:t>LE1.1</w:t>
      </w:r>
      <w:r>
        <w:t xml:space="preserve"> Nº de iniciativas digitales tratadas dentro del procedimiento de gobernanza (volumen); y grado (%) de iniciativas incorporadas sobre el total de peticiones. </w:t>
      </w:r>
      <w:r>
        <w:rPr>
          <w:b/>
        </w:rPr>
        <w:t>LE1.2</w:t>
      </w:r>
      <w:r>
        <w:t xml:space="preserve"> Nº de iniciativas </w:t>
      </w:r>
      <w:r>
        <w:rPr>
          <w:b/>
        </w:rPr>
        <w:t>evaluadas por el Comité de expertos</w:t>
      </w:r>
      <w:r>
        <w:t xml:space="preserve">. </w:t>
      </w:r>
      <w:r>
        <w:rPr>
          <w:b/>
        </w:rPr>
        <w:t>LE1.3</w:t>
      </w:r>
      <w:r>
        <w:t xml:space="preserve"> Nº de </w:t>
      </w:r>
      <w:r>
        <w:rPr>
          <w:b/>
        </w:rPr>
        <w:t>convocatorias</w:t>
      </w:r>
      <w:r>
        <w:t xml:space="preserve"> de los órganos de gobernanza, en especial del comité de expertos.</w:t>
      </w:r>
    </w:p>
    <w:p w14:paraId="3D1D4F17" w14:textId="77777777" w:rsidR="00A02A2D" w:rsidRDefault="00000000">
      <w:pPr>
        <w:numPr>
          <w:ilvl w:val="0"/>
          <w:numId w:val="1"/>
        </w:numPr>
        <w:spacing w:after="40"/>
        <w:jc w:val="both"/>
      </w:pPr>
      <w:r>
        <w:rPr>
          <w:b/>
        </w:rPr>
        <w:t>LE2.1</w:t>
      </w:r>
      <w:r>
        <w:t xml:space="preserve"> Satisfacción de los </w:t>
      </w:r>
      <w:r>
        <w:rPr>
          <w:b/>
        </w:rPr>
        <w:t>profesionales</w:t>
      </w:r>
      <w:r>
        <w:t xml:space="preserve"> con el acompañamiento del SAS (ayudaDIGITAL) por canal (app, chatbot…): % que puntúa 4 o 5. </w:t>
      </w:r>
      <w:r>
        <w:rPr>
          <w:b/>
        </w:rPr>
        <w:t>LE2.1’</w:t>
      </w:r>
      <w:r>
        <w:t xml:space="preserve"> Idem para la </w:t>
      </w:r>
      <w:r>
        <w:rPr>
          <w:b/>
        </w:rPr>
        <w:t>ciudadanía</w:t>
      </w:r>
      <w:r>
        <w:t>.</w:t>
      </w:r>
    </w:p>
    <w:p w14:paraId="286FF2E8" w14:textId="77777777" w:rsidR="00A02A2D" w:rsidRDefault="00000000">
      <w:pPr>
        <w:numPr>
          <w:ilvl w:val="0"/>
          <w:numId w:val="1"/>
        </w:numPr>
        <w:spacing w:after="40"/>
        <w:jc w:val="both"/>
      </w:pPr>
      <w:r>
        <w:rPr>
          <w:b/>
        </w:rPr>
        <w:t>LE3.1</w:t>
      </w:r>
      <w:r>
        <w:t xml:space="preserve"> Nº de personas (ciudadanía y profesionales) que </w:t>
      </w:r>
      <w:r>
        <w:rPr>
          <w:b/>
        </w:rPr>
        <w:t>finalizan con éxito</w:t>
      </w:r>
      <w:r>
        <w:t xml:space="preserve"> una acción formativa. </w:t>
      </w:r>
      <w:r>
        <w:rPr>
          <w:b/>
        </w:rPr>
        <w:t>LE3.2</w:t>
      </w:r>
      <w:r>
        <w:t xml:space="preserve"> Grado de cobertura: % de profesionales sanitarios que </w:t>
      </w:r>
      <w:r>
        <w:rPr>
          <w:b/>
        </w:rPr>
        <w:t xml:space="preserve">han </w:t>
      </w:r>
      <w:r>
        <w:rPr>
          <w:b/>
        </w:rPr>
        <w:lastRenderedPageBreak/>
        <w:t>participado</w:t>
      </w:r>
      <w:r>
        <w:t xml:space="preserve"> en formación digital. </w:t>
      </w:r>
      <w:r>
        <w:rPr>
          <w:b/>
        </w:rPr>
        <w:t>LE3.3</w:t>
      </w:r>
      <w:r>
        <w:t xml:space="preserve"> Nivel de madurez digital: % de profesionales evaluados con habilidades </w:t>
      </w:r>
      <w:r>
        <w:rPr>
          <w:b/>
        </w:rPr>
        <w:t>intermedias o avanzadas</w:t>
      </w:r>
      <w:r>
        <w:t>.</w:t>
      </w:r>
    </w:p>
    <w:p w14:paraId="69C6880B" w14:textId="77777777" w:rsidR="00A02A2D" w:rsidRDefault="00000000">
      <w:pPr>
        <w:spacing w:before="160" w:after="60"/>
        <w:rPr>
          <w:b/>
        </w:rPr>
      </w:pPr>
      <w:r>
        <w:rPr>
          <w:b/>
        </w:rPr>
        <w:t>7.11. Modelo de gobernanza de la ESDA: órganos, composición y funciones</w:t>
      </w:r>
    </w:p>
    <w:p w14:paraId="005DFF11" w14:textId="77777777" w:rsidR="00A02A2D" w:rsidRDefault="00000000">
      <w:pPr>
        <w:ind w:firstLine="708"/>
        <w:jc w:val="both"/>
      </w:pPr>
      <w:r>
        <w:t xml:space="preserve">La ESDA se apoya en un modelo de gobernanza con tres órganos (comité directivo, técnico y de expertos) y una oficina técnica. Sus comités recibieron en 2024 el </w:t>
      </w:r>
      <w:r>
        <w:rPr>
          <w:b/>
        </w:rPr>
        <w:t>Premio POP</w:t>
      </w:r>
      <w:r>
        <w:t xml:space="preserve"> (Plataforma de Organizaciones de Pacientes) en la categoría de órganos permanentes.</w:t>
      </w:r>
    </w:p>
    <w:p w14:paraId="310EE653" w14:textId="77777777" w:rsidR="00A02A2D" w:rsidRDefault="00000000">
      <w:pPr>
        <w:spacing w:before="120" w:after="40"/>
        <w:rPr>
          <w:b/>
          <w:i/>
        </w:rPr>
      </w:pPr>
      <w:r>
        <w:rPr>
          <w:b/>
          <w:i/>
        </w:rPr>
        <w:t>Comité Directivo</w:t>
      </w:r>
    </w:p>
    <w:p w14:paraId="23A6CC02" w14:textId="77777777" w:rsidR="00A02A2D" w:rsidRDefault="00000000">
      <w:pPr>
        <w:numPr>
          <w:ilvl w:val="0"/>
          <w:numId w:val="1"/>
        </w:numPr>
        <w:spacing w:after="40"/>
        <w:jc w:val="both"/>
      </w:pPr>
      <w:r>
        <w:rPr>
          <w:b/>
        </w:rPr>
        <w:t>Composición en la versión definitiva (ESDA 2030):</w:t>
      </w:r>
      <w:r>
        <w:t xml:space="preserve"> </w:t>
      </w:r>
      <w:r>
        <w:rPr>
          <w:b/>
        </w:rPr>
        <w:t>Presidencia</w:t>
      </w:r>
      <w:r>
        <w:t xml:space="preserve">: persona titular de la </w:t>
      </w:r>
      <w:r>
        <w:rPr>
          <w:b/>
        </w:rPr>
        <w:t>Secretaría General de Investigación, Innovación y Salud Digital (SGIISD)</w:t>
      </w:r>
      <w:r>
        <w:t xml:space="preserve"> o persona en quien delegue, como responsable del diseño, seguimiento y evaluación de las estrategias y planes. </w:t>
      </w:r>
      <w:r>
        <w:rPr>
          <w:b/>
        </w:rPr>
        <w:t>Secretaría</w:t>
      </w:r>
      <w:r>
        <w:t xml:space="preserve">: persona titular de la </w:t>
      </w:r>
      <w:r>
        <w:rPr>
          <w:b/>
        </w:rPr>
        <w:t>Coordinación de la ESDA</w:t>
      </w:r>
      <w:r>
        <w:t xml:space="preserve"> o persona en quien delegue. </w:t>
      </w:r>
      <w:r>
        <w:rPr>
          <w:b/>
        </w:rPr>
        <w:t>Vocales</w:t>
      </w:r>
      <w:r>
        <w:t xml:space="preserve">: personas responsables de las Secretarías y Direcciones Generales de las </w:t>
      </w:r>
      <w:r>
        <w:rPr>
          <w:b/>
        </w:rPr>
        <w:t>Consejerías competentes y entes instrumentales</w:t>
      </w:r>
      <w:r>
        <w:t>, designadas por la Presidencia del Comité Directivo.</w:t>
      </w:r>
    </w:p>
    <w:p w14:paraId="50ED2006" w14:textId="77777777" w:rsidR="00A02A2D" w:rsidRDefault="00000000">
      <w:pPr>
        <w:numPr>
          <w:ilvl w:val="0"/>
          <w:numId w:val="1"/>
        </w:numPr>
        <w:spacing w:after="40"/>
        <w:jc w:val="both"/>
      </w:pPr>
      <w:r>
        <w:rPr>
          <w:b/>
        </w:rPr>
        <w:t>Composición en la versión 2024-2028</w:t>
      </w:r>
      <w:r>
        <w:t xml:space="preserve"> (la que usan los bancos de preguntas): la Secretaría también correspondía a la Coordinación de la ESDA. Entre las vocalías figuraban órganos de distintas consejerías, como la Secretaría General de Salud Pública, I+D+i en Salud, la Secretaría General de Inclusión Social (Consejería de Inclusión Social, Juventud, Familias e Igualdad), la Dirección General de Sistemas y Valores del Deporte (Consejería de Turismo, Cultura y Deporte) y la Agencia Digital de Andalucía. No aparecían la Consejería de Educación ni el Consejo Consultivo. En esa versión, el diseño, seguimiento y evaluación de la ESDA correspondía a la SGHPASC.</w:t>
      </w:r>
    </w:p>
    <w:p w14:paraId="33F261F8" w14:textId="77777777" w:rsidR="00A02A2D" w:rsidRDefault="00000000">
      <w:pPr>
        <w:numPr>
          <w:ilvl w:val="0"/>
          <w:numId w:val="1"/>
        </w:numPr>
        <w:spacing w:after="40"/>
        <w:jc w:val="both"/>
      </w:pPr>
      <w:r>
        <w:rPr>
          <w:b/>
        </w:rPr>
        <w:t>Funciones:</w:t>
      </w:r>
      <w:r>
        <w:t xml:space="preserve"> </w:t>
      </w:r>
      <w:r>
        <w:rPr>
          <w:b/>
        </w:rPr>
        <w:t>aprobar la formulación dinámica</w:t>
      </w:r>
      <w:r>
        <w:t xml:space="preserve"> de la ESDA; </w:t>
      </w:r>
      <w:r>
        <w:rPr>
          <w:b/>
        </w:rPr>
        <w:t>validar las prioridades</w:t>
      </w:r>
      <w:r>
        <w:t xml:space="preserve"> resultantes del diagnóstico; </w:t>
      </w:r>
      <w:r>
        <w:rPr>
          <w:b/>
        </w:rPr>
        <w:t>formular los objetivos</w:t>
      </w:r>
      <w:r>
        <w:t xml:space="preserve"> (generales/estratégicos); </w:t>
      </w:r>
      <w:r>
        <w:rPr>
          <w:b/>
        </w:rPr>
        <w:t>ratificar cualquier cambio sustancial</w:t>
      </w:r>
      <w:r>
        <w:t xml:space="preserve"> en la formulación y ejecución; </w:t>
      </w:r>
      <w:r>
        <w:rPr>
          <w:b/>
        </w:rPr>
        <w:t>supervisar el desarrollo, seguimiento y evaluación</w:t>
      </w:r>
      <w:r>
        <w:t xml:space="preserve">; y </w:t>
      </w:r>
      <w:r>
        <w:rPr>
          <w:b/>
        </w:rPr>
        <w:t>velar por el cumplimiento del modelo de gobernanza</w:t>
      </w:r>
      <w:r>
        <w:t xml:space="preserve"> (en la versión 2024 se añadía “y resolver cualquier discrepancia o interpretación del modelo”, p. ej. duplicidades entre proyectos). Es el órgano que decide, por ejemplo, la inclusión de un nuevo objetivo.</w:t>
      </w:r>
    </w:p>
    <w:p w14:paraId="74A52E1F" w14:textId="77777777" w:rsidR="00A02A2D" w:rsidRDefault="00000000">
      <w:pPr>
        <w:spacing w:before="120" w:after="40"/>
        <w:rPr>
          <w:b/>
          <w:i/>
        </w:rPr>
      </w:pPr>
      <w:r>
        <w:rPr>
          <w:b/>
          <w:i/>
        </w:rPr>
        <w:t>Comité Técnico</w:t>
      </w:r>
    </w:p>
    <w:p w14:paraId="7FE762F4" w14:textId="77777777" w:rsidR="00A02A2D" w:rsidRDefault="00000000">
      <w:pPr>
        <w:numPr>
          <w:ilvl w:val="0"/>
          <w:numId w:val="1"/>
        </w:numPr>
        <w:spacing w:after="40"/>
        <w:jc w:val="both"/>
      </w:pPr>
      <w:r>
        <w:rPr>
          <w:b/>
        </w:rPr>
        <w:t>Composición:</w:t>
      </w:r>
      <w:r>
        <w:t xml:space="preserve"> </w:t>
      </w:r>
      <w:r>
        <w:rPr>
          <w:b/>
        </w:rPr>
        <w:t>Presidencia:</w:t>
      </w:r>
      <w:r>
        <w:t xml:space="preserve"> persona titular de la </w:t>
      </w:r>
      <w:r>
        <w:rPr>
          <w:b/>
        </w:rPr>
        <w:t>Coordinación de la ESDA</w:t>
      </w:r>
      <w:r>
        <w:t xml:space="preserve"> o persona en quien delegue (designada por la Secretaría General responsable de la ESDA). </w:t>
      </w:r>
      <w:r>
        <w:rPr>
          <w:b/>
        </w:rPr>
        <w:t>Secretaría:</w:t>
      </w:r>
      <w:r>
        <w:t xml:space="preserve"> persona </w:t>
      </w:r>
      <w:r>
        <w:rPr>
          <w:b/>
        </w:rPr>
        <w:t>propuesta por la presidencia del Comité Técnico</w:t>
      </w:r>
      <w:r>
        <w:t xml:space="preserve"> y </w:t>
      </w:r>
      <w:r>
        <w:rPr>
          <w:b/>
        </w:rPr>
        <w:t>ratificada por el Comité Directivo</w:t>
      </w:r>
      <w:r>
        <w:t xml:space="preserve">. </w:t>
      </w:r>
      <w:r>
        <w:rPr>
          <w:b/>
        </w:rPr>
        <w:t>Vocales:</w:t>
      </w:r>
      <w:r>
        <w:t xml:space="preserve"> personas designadas por cada integrante con voto del Comité Directivo.</w:t>
      </w:r>
    </w:p>
    <w:p w14:paraId="6ACC290B" w14:textId="77777777" w:rsidR="00A02A2D" w:rsidRDefault="00000000">
      <w:pPr>
        <w:numPr>
          <w:ilvl w:val="0"/>
          <w:numId w:val="1"/>
        </w:numPr>
        <w:spacing w:after="40"/>
        <w:jc w:val="both"/>
      </w:pPr>
      <w:r>
        <w:rPr>
          <w:b/>
        </w:rPr>
        <w:t>Funciones:</w:t>
      </w:r>
      <w:r>
        <w:t xml:space="preserve"> </w:t>
      </w:r>
      <w:r>
        <w:rPr>
          <w:b/>
        </w:rPr>
        <w:t>formular, ejecutar y hacer seguimiento de la ESDA de manera continua</w:t>
      </w:r>
      <w:r>
        <w:t xml:space="preserve">; </w:t>
      </w:r>
      <w:r>
        <w:rPr>
          <w:b/>
        </w:rPr>
        <w:t>proponer planes de actuación, estrategias, líneas de actividad o directrices</w:t>
      </w:r>
      <w:r>
        <w:t xml:space="preserve"> para su aprobación por el comité directivo; </w:t>
      </w:r>
      <w:r>
        <w:rPr>
          <w:b/>
        </w:rPr>
        <w:t>proponer nuevas iniciativas digitales del área a la que representa cada miembro</w:t>
      </w:r>
      <w:r>
        <w:t xml:space="preserve">; valorar conjuntamente las iniciativas presentadas por la oficina técnica; definir las fórmulas de participación de los agentes; </w:t>
      </w:r>
      <w:r>
        <w:rPr>
          <w:b/>
        </w:rPr>
        <w:t>solicitar la valoración del comité de expertos</w:t>
      </w:r>
      <w:r>
        <w:t xml:space="preserve">; proponer mejoras del modelo de gobernanza y de los criterios de evaluación y priorización; y </w:t>
      </w:r>
      <w:r>
        <w:rPr>
          <w:b/>
        </w:rPr>
        <w:t>designar a los miembros del comité de expertos</w:t>
      </w:r>
      <w:r>
        <w:t>. No aprueba objetivos (eso es del directivo).</w:t>
      </w:r>
    </w:p>
    <w:p w14:paraId="354F7552" w14:textId="77777777" w:rsidR="00A02A2D" w:rsidRDefault="00000000">
      <w:pPr>
        <w:ind w:firstLine="708"/>
        <w:jc w:val="both"/>
      </w:pPr>
      <w:r>
        <w:lastRenderedPageBreak/>
        <w:t xml:space="preserve">La </w:t>
      </w:r>
      <w:r>
        <w:rPr>
          <w:b/>
        </w:rPr>
        <w:t>Coordinación de la ESDA</w:t>
      </w:r>
      <w:r>
        <w:t xml:space="preserve"> (que es a la vez Secretaría del Comité Directivo y Presidencia del Comité Técnico) ejerce las funciones de </w:t>
      </w:r>
      <w:r>
        <w:rPr>
          <w:b/>
        </w:rPr>
        <w:t>diseño, implementación, seguimiento y evaluación</w:t>
      </w:r>
      <w:r>
        <w:t xml:space="preserve"> de la estrategia.</w:t>
      </w:r>
    </w:p>
    <w:p w14:paraId="44549B0A" w14:textId="77777777" w:rsidR="00A02A2D" w:rsidRDefault="00000000">
      <w:pPr>
        <w:spacing w:before="120" w:after="40"/>
        <w:rPr>
          <w:b/>
          <w:i/>
        </w:rPr>
      </w:pPr>
      <w:r>
        <w:rPr>
          <w:b/>
          <w:i/>
        </w:rPr>
        <w:t>Comité de Expertos</w:t>
      </w:r>
    </w:p>
    <w:p w14:paraId="7CCC96B6" w14:textId="77777777" w:rsidR="00A02A2D" w:rsidRDefault="00000000">
      <w:pPr>
        <w:numPr>
          <w:ilvl w:val="0"/>
          <w:numId w:val="1"/>
        </w:numPr>
        <w:spacing w:after="40"/>
        <w:jc w:val="both"/>
      </w:pPr>
      <w:r>
        <w:rPr>
          <w:b/>
        </w:rPr>
        <w:t>Composición:</w:t>
      </w:r>
      <w:r>
        <w:t xml:space="preserve"> </w:t>
      </w:r>
      <w:r>
        <w:rPr>
          <w:b/>
        </w:rPr>
        <w:t>Presidencia</w:t>
      </w:r>
      <w:r>
        <w:t xml:space="preserve">: la Coordinación de la ESDA o persona en quien delegue. </w:t>
      </w:r>
      <w:r>
        <w:rPr>
          <w:b/>
        </w:rPr>
        <w:t>Secretaría</w:t>
      </w:r>
      <w:r>
        <w:t xml:space="preserve">: la misma persona que ejerce la secretaría del Comité Técnico. </w:t>
      </w:r>
      <w:r>
        <w:rPr>
          <w:b/>
        </w:rPr>
        <w:t>Miembros</w:t>
      </w:r>
      <w:r>
        <w:t>: personas expertas de los agentes del ecosistema: ciudadanía, representantes de pacientes, asociaciones de personas con discapacidad, entidades del tercer sector de acción social, profesionales del SSPA, de la ADA y del resto de la administración andaluza, centros de conocimiento, sector empresarial y prensa. Durante la formulación se colaboró con más de 15 plataformas, foros y federaciones que representan a más de 1.900 asociaciones. Sus miembros los designa el Comité Técnico.</w:t>
      </w:r>
    </w:p>
    <w:p w14:paraId="4FBEBA47" w14:textId="77777777" w:rsidR="00A02A2D" w:rsidRDefault="00000000">
      <w:pPr>
        <w:numPr>
          <w:ilvl w:val="0"/>
          <w:numId w:val="1"/>
        </w:numPr>
        <w:spacing w:after="40"/>
        <w:jc w:val="both"/>
      </w:pPr>
      <w:r>
        <w:rPr>
          <w:b/>
        </w:rPr>
        <w:t>Funciones:</w:t>
      </w:r>
      <w:r>
        <w:t xml:space="preserve"> </w:t>
      </w:r>
      <w:r>
        <w:rPr>
          <w:b/>
        </w:rPr>
        <w:t>participar en cada una de las fases de la formulación</w:t>
      </w:r>
      <w:r>
        <w:t xml:space="preserve"> de la ESDA; aportar información sobre su ejecución y seguimiento en su ámbito; </w:t>
      </w:r>
      <w:r>
        <w:rPr>
          <w:b/>
        </w:rPr>
        <w:t>asesorar al comité técnico</w:t>
      </w:r>
      <w:r>
        <w:t xml:space="preserve"> en la valoración de las iniciativas; </w:t>
      </w:r>
      <w:r>
        <w:rPr>
          <w:b/>
        </w:rPr>
        <w:t>proponer iniciativas digitales</w:t>
      </w:r>
      <w:r>
        <w:t xml:space="preserve"> para su valoración por el comité técnico; y (versión definitiva) </w:t>
      </w:r>
      <w:r>
        <w:rPr>
          <w:b/>
        </w:rPr>
        <w:t>actuar como referentes de la ESDA</w:t>
      </w:r>
      <w:r>
        <w:t xml:space="preserve"> en sus entornos, difundiendo la estrategia y sus iniciativas. Su papel es consultivo, no vinculante.</w:t>
      </w:r>
    </w:p>
    <w:p w14:paraId="62FD20DD" w14:textId="77777777" w:rsidR="00A02A2D" w:rsidRDefault="00000000">
      <w:pPr>
        <w:spacing w:before="120" w:after="40"/>
        <w:rPr>
          <w:b/>
          <w:i/>
        </w:rPr>
      </w:pPr>
      <w:r>
        <w:rPr>
          <w:b/>
          <w:i/>
        </w:rPr>
        <w:t>Oficina Técnica</w:t>
      </w:r>
    </w:p>
    <w:p w14:paraId="23E2ADC8" w14:textId="77777777" w:rsidR="00A02A2D" w:rsidRDefault="00000000">
      <w:pPr>
        <w:numPr>
          <w:ilvl w:val="0"/>
          <w:numId w:val="1"/>
        </w:numPr>
        <w:spacing w:after="40"/>
        <w:jc w:val="both"/>
      </w:pPr>
      <w:r>
        <w:rPr>
          <w:b/>
        </w:rPr>
        <w:t>Liderada por la secretaría del Comité Técnico.</w:t>
      </w:r>
      <w:r>
        <w:t xml:space="preserve"> Su misión es </w:t>
      </w:r>
      <w:r>
        <w:rPr>
          <w:b/>
        </w:rPr>
        <w:t>proporcionar soporte y apoyo especializado</w:t>
      </w:r>
      <w:r>
        <w:t xml:space="preserve"> en la formulación y el seguimiento de la ESDA: coordinación técnica, gestión operativa y análisis continuo (registro y análisis preliminar de iniciativas, informes técnicos). </w:t>
      </w:r>
      <w:r>
        <w:rPr>
          <w:b/>
        </w:rPr>
        <w:t>No decide</w:t>
      </w:r>
      <w:r>
        <w:t xml:space="preserve"> la priorización de proyectos.</w:t>
      </w:r>
    </w:p>
    <w:p w14:paraId="4A318FEC" w14:textId="77777777" w:rsidR="00A02A2D" w:rsidRDefault="00000000">
      <w:pPr>
        <w:spacing w:before="120" w:after="40"/>
        <w:rPr>
          <w:b/>
          <w:i/>
        </w:rPr>
      </w:pPr>
      <w:r>
        <w:rPr>
          <w:b/>
          <w:i/>
        </w:rPr>
        <w:t>Programación operativa (versión ESDA 2030)</w:t>
      </w:r>
    </w:p>
    <w:p w14:paraId="6A6B2866" w14:textId="77777777" w:rsidR="00A02A2D" w:rsidRDefault="00000000">
      <w:pPr>
        <w:ind w:firstLine="708"/>
        <w:jc w:val="both"/>
      </w:pPr>
      <w:r>
        <w:t xml:space="preserve">La versión definitiva se operativiza en </w:t>
      </w:r>
      <w:r>
        <w:rPr>
          <w:b/>
        </w:rPr>
        <w:t>6 programas digitales corporativos</w:t>
      </w:r>
      <w:r>
        <w:t xml:space="preserve">, con </w:t>
      </w:r>
      <w:r>
        <w:rPr>
          <w:b/>
        </w:rPr>
        <w:t>55 iniciativas digitales previstas</w:t>
      </w:r>
      <w:r>
        <w:t xml:space="preserve"> en el momento de su publicación. El listado se actualiza a medida que los órganos de gobierno aprueban nuevas iniciativas:</w:t>
      </w:r>
    </w:p>
    <w:p w14:paraId="2BF9BED4" w14:textId="77777777" w:rsidR="00A02A2D" w:rsidRDefault="00000000">
      <w:pPr>
        <w:numPr>
          <w:ilvl w:val="0"/>
          <w:numId w:val="1"/>
        </w:numPr>
        <w:spacing w:after="40"/>
        <w:jc w:val="both"/>
      </w:pPr>
      <w:r>
        <w:rPr>
          <w:b/>
        </w:rPr>
        <w:t>Analítica avanzada</w:t>
      </w:r>
      <w:r>
        <w:t xml:space="preserve"> (4 iniciativas): gestión de datos genómicos, datos IoT/IoMT, mejora de los sistemas de explotación de datos, centralización de la información TIC y servicios de IA (machine learning).</w:t>
      </w:r>
    </w:p>
    <w:p w14:paraId="271A8277" w14:textId="77777777" w:rsidR="00A02A2D" w:rsidRDefault="00000000">
      <w:pPr>
        <w:numPr>
          <w:ilvl w:val="0"/>
          <w:numId w:val="1"/>
        </w:numPr>
        <w:spacing w:after="40"/>
        <w:jc w:val="both"/>
      </w:pPr>
      <w:r>
        <w:rPr>
          <w:b/>
        </w:rPr>
        <w:t>Ciberseguridad</w:t>
      </w:r>
      <w:r>
        <w:t xml:space="preserve"> (4): </w:t>
      </w:r>
      <w:r>
        <w:rPr>
          <w:b/>
        </w:rPr>
        <w:t>certificación en el ENS</w:t>
      </w:r>
      <w:r>
        <w:t>, monitorización y análisis de ciberincidencias, plan de continuidad de servicios críticos y gestión automatizada de certificados, entre otras.</w:t>
      </w:r>
    </w:p>
    <w:p w14:paraId="3F0BD297" w14:textId="77777777" w:rsidR="00A02A2D" w:rsidRDefault="00000000">
      <w:pPr>
        <w:numPr>
          <w:ilvl w:val="0"/>
          <w:numId w:val="1"/>
        </w:numPr>
        <w:spacing w:after="40"/>
        <w:jc w:val="both"/>
      </w:pPr>
      <w:r>
        <w:rPr>
          <w:b/>
        </w:rPr>
        <w:t>Gestión del cambio y capacitación</w:t>
      </w:r>
      <w:r>
        <w:t xml:space="preserve"> (4): competencias digitales de profesionales, gestión del cambio, plataforma de formación continua y homogeneización del conocimiento.</w:t>
      </w:r>
    </w:p>
    <w:p w14:paraId="439AD002" w14:textId="77777777" w:rsidR="00A02A2D" w:rsidRDefault="00000000">
      <w:pPr>
        <w:numPr>
          <w:ilvl w:val="0"/>
          <w:numId w:val="1"/>
        </w:numPr>
        <w:spacing w:after="40"/>
        <w:jc w:val="both"/>
      </w:pPr>
      <w:r>
        <w:rPr>
          <w:b/>
        </w:rPr>
        <w:t>Gestión y soporte</w:t>
      </w:r>
      <w:r>
        <w:t xml:space="preserve"> (11): gestor de notificaciones, CMS de activos TIC, soporte a la investigación, seguimiento de servicios digitales…</w:t>
      </w:r>
    </w:p>
    <w:p w14:paraId="252ABECF" w14:textId="77777777" w:rsidR="00A02A2D" w:rsidRDefault="00000000">
      <w:pPr>
        <w:numPr>
          <w:ilvl w:val="0"/>
          <w:numId w:val="1"/>
        </w:numPr>
        <w:spacing w:after="40"/>
        <w:jc w:val="both"/>
      </w:pPr>
      <w:r>
        <w:rPr>
          <w:b/>
        </w:rPr>
        <w:t>Infraestructura tecnológica</w:t>
      </w:r>
      <w:r>
        <w:t xml:space="preserve"> (15): centralización de entornos y migraciones, renovación de infraestructuras y licencias y soporte a servicios críticos.</w:t>
      </w:r>
    </w:p>
    <w:p w14:paraId="73E6DC1E" w14:textId="77777777" w:rsidR="00A02A2D" w:rsidRDefault="00000000">
      <w:pPr>
        <w:numPr>
          <w:ilvl w:val="0"/>
          <w:numId w:val="1"/>
        </w:numPr>
        <w:spacing w:after="40"/>
        <w:jc w:val="both"/>
      </w:pPr>
      <w:r>
        <w:rPr>
          <w:b/>
        </w:rPr>
        <w:t>Sistemas de información y comunicación</w:t>
      </w:r>
      <w:r>
        <w:t xml:space="preserve"> (17): racionalización de los SSII del SAS, sistemas de promoción de la salud, evolución de apps e interoperabilidad.</w:t>
      </w:r>
    </w:p>
    <w:p w14:paraId="7A9771B1" w14:textId="77777777" w:rsidR="00A02A2D" w:rsidRDefault="00000000">
      <w:pPr>
        <w:spacing w:before="160" w:after="60"/>
        <w:rPr>
          <w:b/>
        </w:rPr>
      </w:pPr>
      <w:r>
        <w:rPr>
          <w:b/>
        </w:rPr>
        <w:lastRenderedPageBreak/>
        <w:t>7.12. Novedades de la versión definitiva (ESDA 2030): seguimiento y presupuesto</w:t>
      </w:r>
    </w:p>
    <w:p w14:paraId="1EF18AD0" w14:textId="77777777" w:rsidR="00A02A2D" w:rsidRDefault="00000000">
      <w:pPr>
        <w:pBdr>
          <w:left w:val="single" w:sz="12" w:space="6" w:color="2E75B6"/>
        </w:pBdr>
        <w:shd w:val="clear" w:color="auto" w:fill="EAF1FB"/>
        <w:ind w:left="284"/>
        <w:jc w:val="both"/>
      </w:pPr>
      <w:r>
        <w:t>Los indicadores del apartado 7.10 son los de la versión 2024-2028, que son los que preguntan los bancos de preguntas. La versión definitiva los reorganiza como sigue.</w:t>
      </w:r>
    </w:p>
    <w:p w14:paraId="33671C9D" w14:textId="77777777" w:rsidR="00A02A2D" w:rsidRDefault="00000000">
      <w:pPr>
        <w:ind w:firstLine="708"/>
        <w:jc w:val="both"/>
      </w:pPr>
      <w:r>
        <w:rPr>
          <w:b/>
        </w:rPr>
        <w:t>Tipos de indicadores</w:t>
      </w:r>
      <w:r>
        <w:t>:</w:t>
      </w:r>
    </w:p>
    <w:p w14:paraId="15C17EB7" w14:textId="77777777" w:rsidR="00A02A2D" w:rsidRDefault="00000000">
      <w:pPr>
        <w:numPr>
          <w:ilvl w:val="0"/>
          <w:numId w:val="1"/>
        </w:numPr>
        <w:spacing w:after="40"/>
        <w:jc w:val="both"/>
      </w:pPr>
      <w:r>
        <w:rPr>
          <w:b/>
        </w:rPr>
        <w:t>Indicadores de impacto:</w:t>
      </w:r>
      <w:r>
        <w:t xml:space="preserve"> efectos a medio y largo plazo; miden la contribución a los objetivos generales.</w:t>
      </w:r>
    </w:p>
    <w:p w14:paraId="3B26F77D" w14:textId="77777777" w:rsidR="00A02A2D" w:rsidRDefault="00000000">
      <w:pPr>
        <w:numPr>
          <w:ilvl w:val="0"/>
          <w:numId w:val="1"/>
        </w:numPr>
        <w:spacing w:after="40"/>
        <w:jc w:val="both"/>
      </w:pPr>
      <w:r>
        <w:rPr>
          <w:b/>
        </w:rPr>
        <w:t>Indicadores de resultado:</w:t>
      </w:r>
      <w:r>
        <w:t xml:space="preserve"> logros directos de las iniciativas; miden los objetivos específicos.</w:t>
      </w:r>
    </w:p>
    <w:p w14:paraId="60F15B69" w14:textId="77777777" w:rsidR="00A02A2D" w:rsidRDefault="00000000">
      <w:pPr>
        <w:numPr>
          <w:ilvl w:val="0"/>
          <w:numId w:val="1"/>
        </w:numPr>
        <w:spacing w:after="40"/>
        <w:jc w:val="both"/>
      </w:pPr>
      <w:r>
        <w:rPr>
          <w:b/>
        </w:rPr>
        <w:t>Indicadores de ejecución:</w:t>
      </w:r>
      <w:r>
        <w:t xml:space="preserve"> progreso y rendimiento operativo de las iniciativas; se publican en el cuadro de mando de la web de la ESDA.</w:t>
      </w:r>
    </w:p>
    <w:p w14:paraId="264CC5A7" w14:textId="77777777" w:rsidR="00A02A2D" w:rsidRDefault="00000000">
      <w:pPr>
        <w:ind w:firstLine="708"/>
        <w:jc w:val="both"/>
      </w:pPr>
      <w:r>
        <w:t>Los indicadores se desagregan por género, edad y características geográficas.</w:t>
      </w:r>
    </w:p>
    <w:p w14:paraId="6A4770D5" w14:textId="77777777" w:rsidR="00A02A2D" w:rsidRDefault="00000000">
      <w:pPr>
        <w:ind w:firstLine="708"/>
        <w:jc w:val="both"/>
      </w:pPr>
      <w:r>
        <w:rPr>
          <w:b/>
        </w:rPr>
        <w:t>Principales indicadores de impacto</w:t>
      </w:r>
      <w:r>
        <w:t>:</w:t>
      </w:r>
    </w:p>
    <w:p w14:paraId="51C07B10" w14:textId="77777777" w:rsidR="00A02A2D" w:rsidRDefault="00000000">
      <w:pPr>
        <w:numPr>
          <w:ilvl w:val="0"/>
          <w:numId w:val="1"/>
        </w:numPr>
        <w:spacing w:after="40"/>
        <w:jc w:val="both"/>
      </w:pPr>
      <w:r>
        <w:rPr>
          <w:b/>
        </w:rPr>
        <w:t>OG1:</w:t>
      </w:r>
      <w:r>
        <w:t xml:space="preserve"> satisfacción de la ciudadanía con su historia clínica personal; satisfacción de los profesionales con los SSII corporativos; uso de la tarjeta sanitaria virtual en farmacias; capacidad de resolución de la teleconsulta; satisfacción con la resolución de incidencias de Ayuda Digital.</w:t>
      </w:r>
    </w:p>
    <w:p w14:paraId="603DECED" w14:textId="77777777" w:rsidR="00A02A2D" w:rsidRDefault="00000000">
      <w:pPr>
        <w:numPr>
          <w:ilvl w:val="0"/>
          <w:numId w:val="1"/>
        </w:numPr>
        <w:spacing w:after="40"/>
        <w:jc w:val="both"/>
      </w:pPr>
      <w:r>
        <w:rPr>
          <w:b/>
        </w:rPr>
        <w:t>OG2:</w:t>
      </w:r>
      <w:r>
        <w:t xml:space="preserve"> madurez del modelo de gobernanza de datos, según estándares de referencia como Gartner.</w:t>
      </w:r>
    </w:p>
    <w:p w14:paraId="42B73151" w14:textId="77777777" w:rsidR="00A02A2D" w:rsidRDefault="00000000">
      <w:pPr>
        <w:numPr>
          <w:ilvl w:val="0"/>
          <w:numId w:val="1"/>
        </w:numPr>
        <w:spacing w:after="40"/>
        <w:jc w:val="both"/>
      </w:pPr>
      <w:r>
        <w:rPr>
          <w:b/>
        </w:rPr>
        <w:t>OG3:</w:t>
      </w:r>
      <w:r>
        <w:t xml:space="preserve"> obsolescencia tecnológica de los activos digitales, habilidades digitales de los profesionales (intermedias o superiores) y profesionalización TIC (porcentaje de profesionales TIC).</w:t>
      </w:r>
    </w:p>
    <w:p w14:paraId="08EBB583" w14:textId="77777777" w:rsidR="00A02A2D" w:rsidRDefault="00000000">
      <w:pPr>
        <w:numPr>
          <w:ilvl w:val="0"/>
          <w:numId w:val="1"/>
        </w:numPr>
        <w:spacing w:after="40"/>
        <w:jc w:val="both"/>
      </w:pPr>
      <w:r>
        <w:rPr>
          <w:b/>
        </w:rPr>
        <w:t>OG4:</w:t>
      </w:r>
      <w:r>
        <w:t xml:space="preserve"> capacidad de innovación digital, es decir, la proporción de iniciativas de innovación aprobadas por los órganos de gobierno para su extensión a todo el SSPA.</w:t>
      </w:r>
    </w:p>
    <w:p w14:paraId="559F2832" w14:textId="77777777" w:rsidR="00A02A2D" w:rsidRDefault="00000000">
      <w:pPr>
        <w:ind w:firstLine="708"/>
        <w:jc w:val="both"/>
      </w:pPr>
      <w:r>
        <w:rPr>
          <w:b/>
        </w:rPr>
        <w:t>Indicadores de resultado</w:t>
      </w:r>
      <w:r>
        <w:t>, ordenados por objetivo específico:</w:t>
      </w:r>
    </w:p>
    <w:p w14:paraId="55D5FC8D" w14:textId="77777777" w:rsidR="00A02A2D" w:rsidRDefault="00000000">
      <w:pPr>
        <w:numPr>
          <w:ilvl w:val="0"/>
          <w:numId w:val="1"/>
        </w:numPr>
        <w:spacing w:after="40"/>
        <w:jc w:val="both"/>
      </w:pPr>
      <w:r>
        <w:rPr>
          <w:b/>
        </w:rPr>
        <w:t>Oe1.1:</w:t>
      </w:r>
      <w:r>
        <w:t xml:space="preserve"> tarjetas sanitarias virtuales emitidas; uso de ClicSalud+ y de las apps Salud Andalucía y Salud Responde.</w:t>
      </w:r>
    </w:p>
    <w:p w14:paraId="0D4686C4" w14:textId="77777777" w:rsidR="00A02A2D" w:rsidRDefault="00000000">
      <w:pPr>
        <w:numPr>
          <w:ilvl w:val="0"/>
          <w:numId w:val="1"/>
        </w:numPr>
        <w:spacing w:after="40"/>
        <w:jc w:val="both"/>
      </w:pPr>
      <w:r>
        <w:rPr>
          <w:b/>
        </w:rPr>
        <w:t>Oe1.2:</w:t>
      </w:r>
      <w:r>
        <w:t xml:space="preserve"> pacientes crónicos complejos con plan de atención personalizada.</w:t>
      </w:r>
    </w:p>
    <w:p w14:paraId="65ACC300" w14:textId="77777777" w:rsidR="00A02A2D" w:rsidRDefault="00000000">
      <w:pPr>
        <w:numPr>
          <w:ilvl w:val="0"/>
          <w:numId w:val="1"/>
        </w:numPr>
        <w:spacing w:after="40"/>
        <w:jc w:val="both"/>
      </w:pPr>
      <w:r>
        <w:rPr>
          <w:b/>
        </w:rPr>
        <w:t>Oe1.3:</w:t>
      </w:r>
      <w:r>
        <w:t xml:space="preserve"> valoración de las apps en las tiendas; porcentaje de incidencias resueltas por Ayuda Digital.</w:t>
      </w:r>
    </w:p>
    <w:p w14:paraId="2FC1C0E0" w14:textId="77777777" w:rsidR="00A02A2D" w:rsidRDefault="00000000">
      <w:pPr>
        <w:numPr>
          <w:ilvl w:val="0"/>
          <w:numId w:val="1"/>
        </w:numPr>
        <w:spacing w:after="40"/>
        <w:jc w:val="both"/>
      </w:pPr>
      <w:r>
        <w:rPr>
          <w:b/>
        </w:rPr>
        <w:t>Oe2.1:</w:t>
      </w:r>
      <w:r>
        <w:t xml:space="preserve"> riesgos para la salud pública detectados mediante análisis de datos.</w:t>
      </w:r>
    </w:p>
    <w:p w14:paraId="37111E1A" w14:textId="77777777" w:rsidR="00A02A2D" w:rsidRDefault="00000000">
      <w:pPr>
        <w:numPr>
          <w:ilvl w:val="0"/>
          <w:numId w:val="1"/>
        </w:numPr>
        <w:spacing w:after="40"/>
        <w:jc w:val="both"/>
      </w:pPr>
      <w:r>
        <w:rPr>
          <w:b/>
        </w:rPr>
        <w:t>Oe2.2:</w:t>
      </w:r>
      <w:r>
        <w:t xml:space="preserve"> casos de uso de IA; procesos automatizados en la historia clínica digital.</w:t>
      </w:r>
    </w:p>
    <w:p w14:paraId="26BCA549" w14:textId="77777777" w:rsidR="00A02A2D" w:rsidRDefault="00000000">
      <w:pPr>
        <w:numPr>
          <w:ilvl w:val="0"/>
          <w:numId w:val="1"/>
        </w:numPr>
        <w:spacing w:after="40"/>
        <w:jc w:val="both"/>
      </w:pPr>
      <w:r>
        <w:rPr>
          <w:b/>
        </w:rPr>
        <w:t>Oe2.3:</w:t>
      </w:r>
      <w:r>
        <w:t xml:space="preserve"> productos de información estandarizada, como datasets y cuadros de mando.</w:t>
      </w:r>
    </w:p>
    <w:p w14:paraId="2E1DB331" w14:textId="77777777" w:rsidR="00A02A2D" w:rsidRDefault="00000000">
      <w:pPr>
        <w:numPr>
          <w:ilvl w:val="0"/>
          <w:numId w:val="1"/>
        </w:numPr>
        <w:spacing w:after="40"/>
        <w:jc w:val="both"/>
      </w:pPr>
      <w:r>
        <w:rPr>
          <w:b/>
        </w:rPr>
        <w:t>Oe3.1:</w:t>
      </w:r>
      <w:r>
        <w:t xml:space="preserve"> tiempo medio de resolución de ciberincidentes graves y leves; equipos monitorizados.</w:t>
      </w:r>
    </w:p>
    <w:p w14:paraId="44703831" w14:textId="77777777" w:rsidR="00A02A2D" w:rsidRDefault="00000000">
      <w:pPr>
        <w:numPr>
          <w:ilvl w:val="0"/>
          <w:numId w:val="1"/>
        </w:numPr>
        <w:spacing w:after="40"/>
        <w:jc w:val="both"/>
      </w:pPr>
      <w:r>
        <w:rPr>
          <w:b/>
        </w:rPr>
        <w:t>Oe3.2:</w:t>
      </w:r>
      <w:r>
        <w:t xml:space="preserve"> SSII interoperables.</w:t>
      </w:r>
    </w:p>
    <w:p w14:paraId="20287E07" w14:textId="77777777" w:rsidR="00A02A2D" w:rsidRDefault="00000000">
      <w:pPr>
        <w:numPr>
          <w:ilvl w:val="0"/>
          <w:numId w:val="1"/>
        </w:numPr>
        <w:spacing w:after="40"/>
        <w:jc w:val="both"/>
      </w:pPr>
      <w:r>
        <w:rPr>
          <w:b/>
        </w:rPr>
        <w:t>Oe3.3:</w:t>
      </w:r>
      <w:r>
        <w:t xml:space="preserve"> disponibilidad y rendimiento de los SSII críticos.</w:t>
      </w:r>
    </w:p>
    <w:p w14:paraId="4C779E4C" w14:textId="77777777" w:rsidR="00A02A2D" w:rsidRDefault="00000000">
      <w:pPr>
        <w:numPr>
          <w:ilvl w:val="0"/>
          <w:numId w:val="1"/>
        </w:numPr>
        <w:spacing w:after="40"/>
        <w:jc w:val="both"/>
      </w:pPr>
      <w:r>
        <w:rPr>
          <w:b/>
        </w:rPr>
        <w:t>Oe4.1:</w:t>
      </w:r>
      <w:r>
        <w:t xml:space="preserve"> iniciativas de innovación difundidas.</w:t>
      </w:r>
    </w:p>
    <w:p w14:paraId="24009597" w14:textId="77777777" w:rsidR="00A02A2D" w:rsidRDefault="00000000">
      <w:pPr>
        <w:numPr>
          <w:ilvl w:val="0"/>
          <w:numId w:val="1"/>
        </w:numPr>
        <w:spacing w:after="40"/>
        <w:jc w:val="both"/>
      </w:pPr>
      <w:r>
        <w:rPr>
          <w:b/>
        </w:rPr>
        <w:t>Oe4.2:</w:t>
      </w:r>
      <w:r>
        <w:t xml:space="preserve"> propuestas de mejora de los profesionales a través de Ayuda Digital.</w:t>
      </w:r>
    </w:p>
    <w:p w14:paraId="45777C60" w14:textId="77777777" w:rsidR="00A02A2D" w:rsidRDefault="00000000">
      <w:pPr>
        <w:numPr>
          <w:ilvl w:val="0"/>
          <w:numId w:val="1"/>
        </w:numPr>
        <w:spacing w:after="40"/>
        <w:jc w:val="both"/>
      </w:pPr>
      <w:r>
        <w:rPr>
          <w:b/>
        </w:rPr>
        <w:t>Oe4.3:</w:t>
      </w:r>
      <w:r>
        <w:t xml:space="preserve"> iniciativas valoradas por los órganos de gobierno.</w:t>
      </w:r>
    </w:p>
    <w:p w14:paraId="13EB4366" w14:textId="77777777" w:rsidR="00A02A2D" w:rsidRDefault="00000000">
      <w:pPr>
        <w:numPr>
          <w:ilvl w:val="0"/>
          <w:numId w:val="1"/>
        </w:numPr>
        <w:spacing w:after="40"/>
        <w:jc w:val="both"/>
      </w:pPr>
      <w:r>
        <w:rPr>
          <w:b/>
        </w:rPr>
        <w:t>Oe4.4:</w:t>
      </w:r>
      <w:r>
        <w:t xml:space="preserve"> iniciativas de agentes externos aprobadas.</w:t>
      </w:r>
    </w:p>
    <w:p w14:paraId="43854F56" w14:textId="77777777" w:rsidR="00A02A2D" w:rsidRDefault="00000000">
      <w:pPr>
        <w:ind w:firstLine="708"/>
        <w:jc w:val="both"/>
      </w:pPr>
      <w:r>
        <w:rPr>
          <w:b/>
        </w:rPr>
        <w:lastRenderedPageBreak/>
        <w:t>Presupuesto:</w:t>
      </w:r>
      <w:r>
        <w:t xml:space="preserve"> </w:t>
      </w:r>
      <w:r>
        <w:rPr>
          <w:b/>
        </w:rPr>
        <w:t>316.504.174,59 €</w:t>
      </w:r>
      <w:r>
        <w:t xml:space="preserve"> para el periodo </w:t>
      </w:r>
      <w:r>
        <w:rPr>
          <w:b/>
        </w:rPr>
        <w:t>2025-2030</w:t>
      </w:r>
      <w:r>
        <w:t>, en créditos gestionados por el SAS. Se reparte así:</w:t>
      </w:r>
    </w:p>
    <w:p w14:paraId="6C416151" w14:textId="77777777" w:rsidR="00A02A2D" w:rsidRDefault="00000000">
      <w:pPr>
        <w:numPr>
          <w:ilvl w:val="0"/>
          <w:numId w:val="1"/>
        </w:numPr>
        <w:spacing w:after="40"/>
        <w:jc w:val="both"/>
      </w:pPr>
      <w:r>
        <w:rPr>
          <w:b/>
        </w:rPr>
        <w:t>Autofinanciación:</w:t>
      </w:r>
      <w:r>
        <w:t xml:space="preserve"> 213.742.150,41 €.</w:t>
      </w:r>
    </w:p>
    <w:p w14:paraId="233F60C8" w14:textId="77777777" w:rsidR="00A02A2D" w:rsidRDefault="00000000">
      <w:pPr>
        <w:numPr>
          <w:ilvl w:val="0"/>
          <w:numId w:val="1"/>
        </w:numPr>
        <w:spacing w:after="40"/>
        <w:jc w:val="both"/>
      </w:pPr>
      <w:r>
        <w:rPr>
          <w:b/>
        </w:rPr>
        <w:t>Fondos finalistas:</w:t>
      </w:r>
      <w:r>
        <w:t xml:space="preserve"> 93.622.024,18 €.</w:t>
      </w:r>
    </w:p>
    <w:p w14:paraId="517091FA" w14:textId="77777777" w:rsidR="00A02A2D" w:rsidRDefault="00000000">
      <w:pPr>
        <w:numPr>
          <w:ilvl w:val="0"/>
          <w:numId w:val="1"/>
        </w:numPr>
        <w:spacing w:after="40"/>
        <w:jc w:val="both"/>
      </w:pPr>
      <w:r>
        <w:rPr>
          <w:b/>
        </w:rPr>
        <w:t>Fondos europeos:</w:t>
      </w:r>
      <w:r>
        <w:t xml:space="preserve"> 9.140.000,00 €, destinados a ciberseguridad y sistemas de información.</w:t>
      </w:r>
    </w:p>
    <w:p w14:paraId="669CFBEF" w14:textId="77777777" w:rsidR="00A02A2D" w:rsidRDefault="00000000">
      <w:pPr>
        <w:ind w:firstLine="708"/>
        <w:jc w:val="both"/>
      </w:pPr>
      <w:r>
        <w:t xml:space="preserve">Por programas, el de mayor dotación es </w:t>
      </w:r>
      <w:r>
        <w:rPr>
          <w:b/>
        </w:rPr>
        <w:t>Sistemas de información</w:t>
      </w:r>
      <w:r>
        <w:t xml:space="preserve"> (≈140,5 M€ entre todas las fuentes), seguido de </w:t>
      </w:r>
      <w:r>
        <w:rPr>
          <w:b/>
        </w:rPr>
        <w:t>Infraestructura tecnológica</w:t>
      </w:r>
      <w:r>
        <w:t xml:space="preserve"> (≈75 M€) y </w:t>
      </w:r>
      <w:r>
        <w:rPr>
          <w:b/>
        </w:rPr>
        <w:t>Gestión y soporte</w:t>
      </w:r>
      <w:r>
        <w:t xml:space="preserve"> (≈54,9 M€). Las cifras son una previsión, sujeta a las sucesivas leyes de presupuesto.</w:t>
      </w:r>
    </w:p>
    <w:p w14:paraId="2F79F10B" w14:textId="77777777" w:rsidR="00A02A2D" w:rsidRDefault="00000000">
      <w:pPr>
        <w:spacing w:after="0"/>
        <w:rPr>
          <w:b/>
        </w:rPr>
      </w:pPr>
      <w:r>
        <w:rPr>
          <w:b/>
        </w:rPr>
        <w:t>8. Gobernanza de la Estrategia de Salud Digital de Andalucía 2030</w:t>
      </w:r>
    </w:p>
    <w:p w14:paraId="7420F814" w14:textId="77777777" w:rsidR="00A02A2D" w:rsidRDefault="00000000">
      <w:pPr>
        <w:spacing w:after="0"/>
        <w:rPr>
          <w:b/>
        </w:rPr>
      </w:pPr>
      <w:r>
        <w:rPr>
          <w:b/>
        </w:rPr>
        <w:t>8.1. Introducción</w:t>
      </w:r>
    </w:p>
    <w:p w14:paraId="2FDA033D" w14:textId="77777777" w:rsidR="00A02A2D" w:rsidRDefault="00000000">
      <w:pPr>
        <w:spacing w:after="0"/>
        <w:ind w:firstLine="360"/>
      </w:pPr>
      <w:r>
        <w:t>La salud es un pilar fundamental de nuestra sociedad, pero se enfrenta a múltiples desafíos, como:</w:t>
      </w:r>
    </w:p>
    <w:p w14:paraId="59BB0B42" w14:textId="77777777" w:rsidR="00A02A2D" w:rsidRDefault="00000000">
      <w:pPr>
        <w:numPr>
          <w:ilvl w:val="0"/>
          <w:numId w:val="6"/>
        </w:numPr>
        <w:spacing w:after="0"/>
      </w:pPr>
      <w:r>
        <w:t>El envejecimiento de la población y el aumento de enfermedades crónicas.</w:t>
      </w:r>
    </w:p>
    <w:p w14:paraId="77ABC37B" w14:textId="77777777" w:rsidR="00A02A2D" w:rsidRDefault="00000000">
      <w:pPr>
        <w:numPr>
          <w:ilvl w:val="0"/>
          <w:numId w:val="6"/>
        </w:numPr>
        <w:spacing w:after="0"/>
      </w:pPr>
      <w:r>
        <w:t>Factores externos como crisis sanitarias, problemas medioambientales, estabilidad política y conflictos globales.</w:t>
      </w:r>
    </w:p>
    <w:p w14:paraId="13774417" w14:textId="77777777" w:rsidR="00A02A2D" w:rsidRDefault="00000000">
      <w:pPr>
        <w:numPr>
          <w:ilvl w:val="0"/>
          <w:numId w:val="6"/>
        </w:numPr>
        <w:spacing w:after="0"/>
      </w:pPr>
      <w:r>
        <w:t>La presión creciente sobre los sistemas de salud, que exige soluciones innovadoras.</w:t>
      </w:r>
    </w:p>
    <w:p w14:paraId="617BEA50" w14:textId="77777777" w:rsidR="00A02A2D" w:rsidRDefault="00000000">
      <w:pPr>
        <w:spacing w:after="0"/>
      </w:pPr>
      <w:r>
        <w:t xml:space="preserve">En este contexto, </w:t>
      </w:r>
      <w:r>
        <w:rPr>
          <w:b/>
        </w:rPr>
        <w:t>la tecnología se convierte en un eje clave</w:t>
      </w:r>
      <w:r>
        <w:t xml:space="preserve"> para mejorar la calidad asistencial y la eficiencia operativa. La digitalización sanitaria permite optimizar recursos, mejorar la atención al paciente y garantizar un sistema de salud más sostenible.</w:t>
      </w:r>
    </w:p>
    <w:p w14:paraId="69D8F599" w14:textId="77777777" w:rsidR="00A02A2D" w:rsidRDefault="00A02A2D">
      <w:pPr>
        <w:spacing w:after="0"/>
        <w:rPr>
          <w:b/>
        </w:rPr>
      </w:pPr>
    </w:p>
    <w:p w14:paraId="4352D60F" w14:textId="77777777" w:rsidR="00A02A2D" w:rsidRDefault="00000000">
      <w:pPr>
        <w:spacing w:after="0"/>
        <w:rPr>
          <w:b/>
        </w:rPr>
      </w:pPr>
      <w:r>
        <w:rPr>
          <w:b/>
        </w:rPr>
        <w:t>8.2. Objetivos de la Estrategia de Salud Digital de Andalucía</w:t>
      </w:r>
    </w:p>
    <w:p w14:paraId="5BEAD15E" w14:textId="77777777" w:rsidR="00A02A2D" w:rsidRDefault="00000000">
      <w:pPr>
        <w:pBdr>
          <w:left w:val="single" w:sz="12" w:space="6" w:color="2E75B6"/>
        </w:pBdr>
        <w:shd w:val="clear" w:color="auto" w:fill="EAF1FB"/>
        <w:ind w:left="284"/>
        <w:jc w:val="both"/>
      </w:pPr>
      <w:r>
        <w:t>Denominación: la estrategia se formuló como “I Estrategia de Salud Digital de Andalucía 2024-2028” y, tras su aprobación definitiva (Acuerdo de 23 de diciembre de 2025), se denomina “Estrategia de Salud Digital de Andalucía 2030”. En los apartados 8 a 11 “ESDA2030” equivale a la ESDA.</w:t>
      </w:r>
    </w:p>
    <w:p w14:paraId="5A6EEDC5" w14:textId="77777777" w:rsidR="00A02A2D" w:rsidRDefault="00000000">
      <w:pPr>
        <w:spacing w:after="0"/>
        <w:ind w:firstLine="360"/>
      </w:pPr>
      <w:r>
        <w:t>La Estrategia de Salud Digital de Andalucía 2030 (</w:t>
      </w:r>
      <w:r>
        <w:rPr>
          <w:b/>
        </w:rPr>
        <w:t>ESDA2030</w:t>
      </w:r>
      <w:r>
        <w:t xml:space="preserve">) se enmarca dentro de la estrategia global del </w:t>
      </w:r>
      <w:r>
        <w:rPr>
          <w:b/>
        </w:rPr>
        <w:t>Sistema Sanitario Público de Andalucía (SSPA)</w:t>
      </w:r>
      <w:r>
        <w:t>. Sus principales metas incluyen:</w:t>
      </w:r>
    </w:p>
    <w:p w14:paraId="6CA48A9C" w14:textId="77777777" w:rsidR="00A02A2D" w:rsidRDefault="00000000">
      <w:pPr>
        <w:numPr>
          <w:ilvl w:val="0"/>
          <w:numId w:val="7"/>
        </w:numPr>
        <w:spacing w:after="0"/>
      </w:pPr>
      <w:r>
        <w:t>Mejorar la atención sanitaria a través de la digitalización.</w:t>
      </w:r>
    </w:p>
    <w:p w14:paraId="7F668006" w14:textId="77777777" w:rsidR="00A02A2D" w:rsidRDefault="00000000">
      <w:pPr>
        <w:numPr>
          <w:ilvl w:val="0"/>
          <w:numId w:val="7"/>
        </w:numPr>
        <w:spacing w:after="0"/>
      </w:pPr>
      <w:r>
        <w:t>Integrar iniciativas innovadoras para optimizar los procesos asistenciales.</w:t>
      </w:r>
    </w:p>
    <w:p w14:paraId="1A4A620A" w14:textId="77777777" w:rsidR="00A02A2D" w:rsidRDefault="00000000">
      <w:pPr>
        <w:numPr>
          <w:ilvl w:val="0"/>
          <w:numId w:val="7"/>
        </w:numPr>
        <w:spacing w:after="0"/>
      </w:pPr>
      <w:r>
        <w:t>Asegurar la sostenibilidad y escalabilidad de las soluciones tecnológicas.</w:t>
      </w:r>
    </w:p>
    <w:p w14:paraId="329FD6DA" w14:textId="77777777" w:rsidR="00A02A2D" w:rsidRDefault="00000000">
      <w:pPr>
        <w:numPr>
          <w:ilvl w:val="0"/>
          <w:numId w:val="7"/>
        </w:numPr>
        <w:spacing w:after="0"/>
      </w:pPr>
      <w:r>
        <w:t>Garantizar la protección de datos y la seguridad en los servicios digitales.</w:t>
      </w:r>
    </w:p>
    <w:p w14:paraId="39022C08" w14:textId="77777777" w:rsidR="00A02A2D" w:rsidRDefault="00000000">
      <w:pPr>
        <w:spacing w:after="0"/>
      </w:pPr>
      <w:r>
        <w:rPr>
          <w:b/>
        </w:rPr>
        <w:t>"Sin estrategia, no hay futuro... sin participación, nunca se hará realidad."</w:t>
      </w:r>
    </w:p>
    <w:p w14:paraId="236009A5" w14:textId="77777777" w:rsidR="00A02A2D" w:rsidRDefault="00A02A2D">
      <w:pPr>
        <w:spacing w:after="0"/>
        <w:rPr>
          <w:b/>
        </w:rPr>
      </w:pPr>
    </w:p>
    <w:p w14:paraId="365ED782" w14:textId="77777777" w:rsidR="00A02A2D" w:rsidRDefault="00000000">
      <w:pPr>
        <w:spacing w:after="0"/>
        <w:rPr>
          <w:b/>
        </w:rPr>
      </w:pPr>
      <w:r>
        <w:rPr>
          <w:b/>
        </w:rPr>
        <w:t>8.3. Modelo de Gobernanza de Iniciativas Digitales en el SSPA</w:t>
      </w:r>
    </w:p>
    <w:p w14:paraId="6F7E6486" w14:textId="77777777" w:rsidR="00A02A2D" w:rsidRDefault="00000000">
      <w:pPr>
        <w:spacing w:after="0"/>
        <w:ind w:firstLine="360"/>
      </w:pPr>
      <w:r>
        <w:t>La transformación digital en salud no puede dejarse al azar; requiere un modelo de gobernanza estructurado que garantice:</w:t>
      </w:r>
    </w:p>
    <w:p w14:paraId="5EE361C3" w14:textId="77777777" w:rsidR="00A02A2D" w:rsidRDefault="00000000">
      <w:pPr>
        <w:numPr>
          <w:ilvl w:val="0"/>
          <w:numId w:val="8"/>
        </w:numPr>
        <w:spacing w:after="0"/>
      </w:pPr>
      <w:r>
        <w:rPr>
          <w:b/>
        </w:rPr>
        <w:t>Alineación estratégica:</w:t>
      </w:r>
      <w:r>
        <w:t xml:space="preserve"> Que los proyectos digitales se ajusten a las prioridades institucionales.</w:t>
      </w:r>
    </w:p>
    <w:p w14:paraId="542A640F" w14:textId="77777777" w:rsidR="00A02A2D" w:rsidRDefault="00000000">
      <w:pPr>
        <w:numPr>
          <w:ilvl w:val="0"/>
          <w:numId w:val="8"/>
        </w:numPr>
        <w:spacing w:after="0"/>
      </w:pPr>
      <w:r>
        <w:rPr>
          <w:b/>
        </w:rPr>
        <w:t>Optimización de recursos:</w:t>
      </w:r>
      <w:r>
        <w:t xml:space="preserve"> Evitar duplicidades y maximizar el impacto de las iniciativas.</w:t>
      </w:r>
    </w:p>
    <w:p w14:paraId="794D74B4" w14:textId="77777777" w:rsidR="00A02A2D" w:rsidRDefault="00000000">
      <w:pPr>
        <w:numPr>
          <w:ilvl w:val="0"/>
          <w:numId w:val="8"/>
        </w:numPr>
        <w:spacing w:after="0"/>
      </w:pPr>
      <w:r>
        <w:rPr>
          <w:b/>
        </w:rPr>
        <w:t>Coordinación eficiente:</w:t>
      </w:r>
      <w:r>
        <w:t xml:space="preserve"> Facilitar el trabajo conjunto entre diferentes actores del sistema.</w:t>
      </w:r>
    </w:p>
    <w:p w14:paraId="2B8314C1" w14:textId="77777777" w:rsidR="00A02A2D" w:rsidRDefault="00000000">
      <w:pPr>
        <w:numPr>
          <w:ilvl w:val="0"/>
          <w:numId w:val="8"/>
        </w:numPr>
        <w:spacing w:after="0"/>
      </w:pPr>
      <w:r>
        <w:rPr>
          <w:b/>
        </w:rPr>
        <w:lastRenderedPageBreak/>
        <w:t>Minimización de riesgos:</w:t>
      </w:r>
      <w:r>
        <w:t xml:space="preserve"> Garantizar el cumplimiento normativo en protección de datos y seguridad.</w:t>
      </w:r>
    </w:p>
    <w:p w14:paraId="5EBFF139" w14:textId="77777777" w:rsidR="00A02A2D" w:rsidRDefault="00000000">
      <w:pPr>
        <w:numPr>
          <w:ilvl w:val="0"/>
          <w:numId w:val="8"/>
        </w:numPr>
        <w:spacing w:after="0"/>
      </w:pPr>
      <w:r>
        <w:rPr>
          <w:b/>
        </w:rPr>
        <w:t>Transparencia:</w:t>
      </w:r>
      <w:r>
        <w:t xml:space="preserve"> Fomentar la confianza de los profesionales sanitarios y los pacientes.</w:t>
      </w:r>
    </w:p>
    <w:p w14:paraId="049611FE" w14:textId="77777777" w:rsidR="00A02A2D" w:rsidRDefault="00000000">
      <w:pPr>
        <w:spacing w:after="0"/>
        <w:rPr>
          <w:b/>
        </w:rPr>
      </w:pPr>
      <w:r>
        <w:rPr>
          <w:b/>
        </w:rPr>
        <w:t>Beneficios de la Gobernanza Digital</w:t>
      </w:r>
    </w:p>
    <w:p w14:paraId="0C3D0189" w14:textId="77777777" w:rsidR="00A02A2D" w:rsidRDefault="00000000">
      <w:pPr>
        <w:spacing w:after="0"/>
      </w:pPr>
      <w:r>
        <w:t>Implementar un modelo sólido de gobernanza aporta múltiples ventajas:</w:t>
      </w:r>
    </w:p>
    <w:p w14:paraId="1B70AA75" w14:textId="77777777" w:rsidR="00A02A2D" w:rsidRDefault="00000000">
      <w:pPr>
        <w:numPr>
          <w:ilvl w:val="0"/>
          <w:numId w:val="9"/>
        </w:numPr>
        <w:spacing w:after="0"/>
      </w:pPr>
      <w:r>
        <w:rPr>
          <w:b/>
        </w:rPr>
        <w:t>Toma de decisiones basada en evidencia</w:t>
      </w:r>
      <w:r>
        <w:t>, reduciendo la incertidumbre en la gestión de proyectos digitales.</w:t>
      </w:r>
    </w:p>
    <w:p w14:paraId="4C47FB22" w14:textId="77777777" w:rsidR="00A02A2D" w:rsidRDefault="00000000">
      <w:pPr>
        <w:numPr>
          <w:ilvl w:val="0"/>
          <w:numId w:val="9"/>
        </w:numPr>
        <w:spacing w:after="0"/>
      </w:pPr>
      <w:r>
        <w:rPr>
          <w:b/>
        </w:rPr>
        <w:t>Mayor seguridad y cumplimiento normativo</w:t>
      </w:r>
      <w:r>
        <w:t>, protegiendo la privacidad y los derechos de los ciudadanos.</w:t>
      </w:r>
    </w:p>
    <w:p w14:paraId="007A1CC6" w14:textId="77777777" w:rsidR="00A02A2D" w:rsidRDefault="00000000">
      <w:pPr>
        <w:numPr>
          <w:ilvl w:val="0"/>
          <w:numId w:val="9"/>
        </w:numPr>
        <w:spacing w:after="0"/>
      </w:pPr>
      <w:r>
        <w:rPr>
          <w:b/>
        </w:rPr>
        <w:t>Eficiencia operativa</w:t>
      </w:r>
      <w:r>
        <w:t>, optimizando los procesos y eliminando redundancias.</w:t>
      </w:r>
    </w:p>
    <w:p w14:paraId="67AE8E1A" w14:textId="77777777" w:rsidR="00A02A2D" w:rsidRDefault="00000000">
      <w:pPr>
        <w:numPr>
          <w:ilvl w:val="0"/>
          <w:numId w:val="9"/>
        </w:numPr>
        <w:spacing w:after="0"/>
      </w:pPr>
      <w:r>
        <w:rPr>
          <w:b/>
        </w:rPr>
        <w:t>Escalabilidad y sostenibilidad</w:t>
      </w:r>
      <w:r>
        <w:t>, asegurando que las soluciones digitales puedan evolucionar con el tiempo.</w:t>
      </w:r>
    </w:p>
    <w:p w14:paraId="2E8E61CD" w14:textId="77777777" w:rsidR="00A02A2D" w:rsidRDefault="00000000">
      <w:pPr>
        <w:numPr>
          <w:ilvl w:val="0"/>
          <w:numId w:val="9"/>
        </w:numPr>
        <w:spacing w:after="0"/>
      </w:pPr>
      <w:r>
        <w:rPr>
          <w:b/>
        </w:rPr>
        <w:t>Participación y confianza</w:t>
      </w:r>
      <w:r>
        <w:t>, garantizando que profesionales, pacientes y otros actores se involucren en la transformación digital.</w:t>
      </w:r>
    </w:p>
    <w:p w14:paraId="274AB90F" w14:textId="77777777" w:rsidR="00A02A2D" w:rsidRDefault="00000000">
      <w:pPr>
        <w:spacing w:after="0"/>
        <w:rPr>
          <w:b/>
        </w:rPr>
      </w:pPr>
      <w:r>
        <w:rPr>
          <w:b/>
        </w:rPr>
        <w:t>8.4. Componentes Claves del Modelo de Gobernanza</w:t>
      </w:r>
    </w:p>
    <w:p w14:paraId="78AA4824" w14:textId="77777777" w:rsidR="00A02A2D" w:rsidRDefault="00000000">
      <w:pPr>
        <w:spacing w:after="0"/>
        <w:ind w:firstLine="360"/>
      </w:pPr>
      <w:r>
        <w:t xml:space="preserve">Para lograr una digitalización eficiente, la gobernanza de la </w:t>
      </w:r>
      <w:r>
        <w:rPr>
          <w:b/>
        </w:rPr>
        <w:t>ESDA2030</w:t>
      </w:r>
      <w:r>
        <w:t xml:space="preserve"> se basa en:</w:t>
      </w:r>
    </w:p>
    <w:p w14:paraId="379E8929" w14:textId="77777777" w:rsidR="00A02A2D" w:rsidRDefault="00000000">
      <w:pPr>
        <w:numPr>
          <w:ilvl w:val="0"/>
          <w:numId w:val="10"/>
        </w:numPr>
        <w:spacing w:after="0"/>
      </w:pPr>
      <w:r>
        <w:rPr>
          <w:b/>
        </w:rPr>
        <w:t>Definición clara de las iniciativas digitales</w:t>
      </w:r>
    </w:p>
    <w:p w14:paraId="5800BBF1" w14:textId="77777777" w:rsidR="00A02A2D" w:rsidRDefault="00000000">
      <w:pPr>
        <w:numPr>
          <w:ilvl w:val="1"/>
          <w:numId w:val="10"/>
        </w:numPr>
        <w:spacing w:after="0"/>
      </w:pPr>
      <w:r>
        <w:t>Se establecen criterios para identificar qué proyectos deben considerarse dentro de la estrategia.</w:t>
      </w:r>
    </w:p>
    <w:p w14:paraId="2F36E26C" w14:textId="77777777" w:rsidR="00A02A2D" w:rsidRDefault="00000000">
      <w:pPr>
        <w:numPr>
          <w:ilvl w:val="1"/>
          <w:numId w:val="10"/>
        </w:numPr>
        <w:spacing w:after="0"/>
      </w:pPr>
      <w:r>
        <w:t>Se distingue entre iniciativas de asistencia, gestión, investigación e innovación.</w:t>
      </w:r>
    </w:p>
    <w:p w14:paraId="679902DA" w14:textId="77777777" w:rsidR="00A02A2D" w:rsidRDefault="00000000">
      <w:pPr>
        <w:numPr>
          <w:ilvl w:val="0"/>
          <w:numId w:val="10"/>
        </w:numPr>
        <w:spacing w:after="0"/>
      </w:pPr>
      <w:r>
        <w:rPr>
          <w:b/>
        </w:rPr>
        <w:t>Estructura organizativa</w:t>
      </w:r>
    </w:p>
    <w:p w14:paraId="740F592E" w14:textId="77777777" w:rsidR="00A02A2D" w:rsidRDefault="00000000">
      <w:pPr>
        <w:numPr>
          <w:ilvl w:val="1"/>
          <w:numId w:val="10"/>
        </w:numPr>
        <w:spacing w:after="0"/>
      </w:pPr>
      <w:r>
        <w:t>Se definen los roles y responsabilidades dentro del proceso de transformación digital.</w:t>
      </w:r>
    </w:p>
    <w:p w14:paraId="0BDD40CF" w14:textId="77777777" w:rsidR="00A02A2D" w:rsidRDefault="00000000">
      <w:pPr>
        <w:numPr>
          <w:ilvl w:val="1"/>
          <w:numId w:val="10"/>
        </w:numPr>
        <w:spacing w:after="0"/>
      </w:pPr>
      <w:r>
        <w:t>Se crean comités de evaluación para supervisar las iniciativas digitales.</w:t>
      </w:r>
    </w:p>
    <w:p w14:paraId="420C0BDB" w14:textId="77777777" w:rsidR="00A02A2D" w:rsidRDefault="00000000">
      <w:pPr>
        <w:numPr>
          <w:ilvl w:val="0"/>
          <w:numId w:val="10"/>
        </w:numPr>
        <w:spacing w:after="0"/>
      </w:pPr>
      <w:r>
        <w:rPr>
          <w:b/>
        </w:rPr>
        <w:t>Gestión del ciclo de vida de las iniciativas</w:t>
      </w:r>
    </w:p>
    <w:p w14:paraId="632FB569" w14:textId="77777777" w:rsidR="00A02A2D" w:rsidRDefault="00000000">
      <w:pPr>
        <w:numPr>
          <w:ilvl w:val="1"/>
          <w:numId w:val="10"/>
        </w:numPr>
        <w:spacing w:after="0"/>
      </w:pPr>
      <w:r>
        <w:t>Se implementa un sistema para registrar, evaluar y priorizar los proyectos digitales.</w:t>
      </w:r>
    </w:p>
    <w:p w14:paraId="384F69B7" w14:textId="77777777" w:rsidR="00A02A2D" w:rsidRDefault="00000000">
      <w:pPr>
        <w:numPr>
          <w:ilvl w:val="1"/>
          <w:numId w:val="10"/>
        </w:numPr>
        <w:spacing w:after="0"/>
      </w:pPr>
      <w:r>
        <w:t xml:space="preserve">Se utilizan plataformas digitales como </w:t>
      </w:r>
      <w:r>
        <w:rPr>
          <w:b/>
        </w:rPr>
        <w:t>AyudaDigital</w:t>
      </w:r>
      <w:r>
        <w:t xml:space="preserve"> y </w:t>
      </w:r>
      <w:r>
        <w:rPr>
          <w:b/>
        </w:rPr>
        <w:t>Jira</w:t>
      </w:r>
      <w:r>
        <w:t xml:space="preserve"> para la gestión y trazabilidad de los procesos.</w:t>
      </w:r>
    </w:p>
    <w:p w14:paraId="599772E3" w14:textId="77777777" w:rsidR="00A02A2D" w:rsidRDefault="00000000">
      <w:pPr>
        <w:numPr>
          <w:ilvl w:val="0"/>
          <w:numId w:val="10"/>
        </w:numPr>
        <w:spacing w:after="0"/>
      </w:pPr>
      <w:r>
        <w:rPr>
          <w:b/>
        </w:rPr>
        <w:t>Supervisión y evaluación de impacto</w:t>
      </w:r>
    </w:p>
    <w:p w14:paraId="221F4D67" w14:textId="77777777" w:rsidR="00A02A2D" w:rsidRDefault="00000000">
      <w:pPr>
        <w:numPr>
          <w:ilvl w:val="1"/>
          <w:numId w:val="10"/>
        </w:numPr>
        <w:spacing w:after="0"/>
      </w:pPr>
      <w:r>
        <w:t>Se establecen métricas para medir el impacto de las iniciativas digitales en el sistema de salud.</w:t>
      </w:r>
    </w:p>
    <w:p w14:paraId="25E92137" w14:textId="77777777" w:rsidR="00A02A2D" w:rsidRDefault="00000000">
      <w:pPr>
        <w:numPr>
          <w:ilvl w:val="1"/>
          <w:numId w:val="10"/>
        </w:numPr>
        <w:spacing w:after="0"/>
      </w:pPr>
      <w:r>
        <w:t>Se realizan auditorías periódicas para garantizar la alineación con los objetivos estratégicos.</w:t>
      </w:r>
    </w:p>
    <w:p w14:paraId="7BAC08AE" w14:textId="77777777" w:rsidR="00A02A2D" w:rsidRDefault="00A02A2D">
      <w:pPr>
        <w:spacing w:after="0"/>
        <w:rPr>
          <w:b/>
        </w:rPr>
      </w:pPr>
    </w:p>
    <w:p w14:paraId="11D5E2EA" w14:textId="77777777" w:rsidR="00A02A2D" w:rsidRDefault="00000000">
      <w:pPr>
        <w:spacing w:after="0"/>
        <w:rPr>
          <w:b/>
        </w:rPr>
      </w:pPr>
      <w:r>
        <w:rPr>
          <w:b/>
        </w:rPr>
        <w:t>9. ¿Qué es una iniciativa digital? - Estrategia de Salud Digital de Andalucía 2030</w:t>
      </w:r>
    </w:p>
    <w:p w14:paraId="556EED78" w14:textId="77777777" w:rsidR="00A02A2D" w:rsidRDefault="00A02A2D">
      <w:pPr>
        <w:spacing w:after="0"/>
        <w:rPr>
          <w:b/>
        </w:rPr>
      </w:pPr>
    </w:p>
    <w:p w14:paraId="1B98F2DB" w14:textId="77777777" w:rsidR="00A02A2D" w:rsidRDefault="00000000">
      <w:pPr>
        <w:spacing w:after="0"/>
        <w:rPr>
          <w:b/>
        </w:rPr>
      </w:pPr>
      <w:r>
        <w:rPr>
          <w:b/>
        </w:rPr>
        <w:t>9.1. Introducción</w:t>
      </w:r>
    </w:p>
    <w:p w14:paraId="55A9825D" w14:textId="77777777" w:rsidR="00A02A2D" w:rsidRDefault="00000000">
      <w:pPr>
        <w:spacing w:after="0"/>
        <w:ind w:firstLine="708"/>
      </w:pPr>
      <w:r>
        <w:t xml:space="preserve">El </w:t>
      </w:r>
      <w:r>
        <w:rPr>
          <w:b/>
        </w:rPr>
        <w:t>Sistema Sanitario Público de Andalucía (SSPA)</w:t>
      </w:r>
      <w:r>
        <w:t xml:space="preserve"> está en constante evolución, y la digitalización es un pilar clave en su modernización. La adopción de </w:t>
      </w:r>
      <w:r>
        <w:rPr>
          <w:b/>
        </w:rPr>
        <w:t>iniciativas digitales</w:t>
      </w:r>
      <w:r>
        <w:t xml:space="preserve"> permite mejorar la asistencia sanitaria, la eficiencia en la gestión y la innovación en los servicios de salud.</w:t>
      </w:r>
    </w:p>
    <w:p w14:paraId="62FB1C93" w14:textId="77777777" w:rsidR="00A02A2D" w:rsidRDefault="00A02A2D">
      <w:pPr>
        <w:spacing w:after="0"/>
      </w:pPr>
    </w:p>
    <w:p w14:paraId="568417BB" w14:textId="77777777" w:rsidR="00A02A2D" w:rsidRDefault="00000000">
      <w:pPr>
        <w:spacing w:after="0"/>
        <w:rPr>
          <w:b/>
        </w:rPr>
      </w:pPr>
      <w:r>
        <w:rPr>
          <w:b/>
        </w:rPr>
        <w:t>9.2. Definición de Iniciativa Digital</w:t>
      </w:r>
    </w:p>
    <w:p w14:paraId="248F4317" w14:textId="77777777" w:rsidR="00A02A2D" w:rsidRDefault="00000000">
      <w:pPr>
        <w:spacing w:after="0"/>
        <w:ind w:firstLine="360"/>
      </w:pPr>
      <w:r>
        <w:t xml:space="preserve">Se considera una </w:t>
      </w:r>
      <w:r>
        <w:rPr>
          <w:b/>
        </w:rPr>
        <w:t>iniciativa digital</w:t>
      </w:r>
      <w:r>
        <w:t xml:space="preserve"> a toda propuesta que cumpla con las siguientes condiciones:</w:t>
      </w:r>
    </w:p>
    <w:p w14:paraId="270DA140" w14:textId="77777777" w:rsidR="00A02A2D" w:rsidRDefault="00000000">
      <w:pPr>
        <w:numPr>
          <w:ilvl w:val="0"/>
          <w:numId w:val="11"/>
        </w:numPr>
        <w:spacing w:after="0"/>
      </w:pPr>
      <w:r>
        <w:rPr>
          <w:b/>
        </w:rPr>
        <w:lastRenderedPageBreak/>
        <w:t>Tener relación con los sistemas de información del SSPA.</w:t>
      </w:r>
    </w:p>
    <w:p w14:paraId="50EFCA33" w14:textId="77777777" w:rsidR="00A02A2D" w:rsidRDefault="00000000">
      <w:pPr>
        <w:numPr>
          <w:ilvl w:val="1"/>
          <w:numId w:val="11"/>
        </w:numPr>
        <w:spacing w:after="0"/>
      </w:pPr>
      <w:r>
        <w:t>La iniciativa debe integrar, mejorar o interactuar con las plataformas digitales del sistema sanitario.</w:t>
      </w:r>
    </w:p>
    <w:p w14:paraId="1A2CD7FA" w14:textId="77777777" w:rsidR="00A02A2D" w:rsidRDefault="00000000">
      <w:pPr>
        <w:numPr>
          <w:ilvl w:val="0"/>
          <w:numId w:val="11"/>
        </w:numPr>
        <w:spacing w:after="0"/>
      </w:pPr>
      <w:r>
        <w:rPr>
          <w:b/>
        </w:rPr>
        <w:t>Estar orientada a la asistencia, gestión, investigación, innovación o inspección.</w:t>
      </w:r>
    </w:p>
    <w:p w14:paraId="4566564E" w14:textId="77777777" w:rsidR="00A02A2D" w:rsidRDefault="00000000">
      <w:pPr>
        <w:numPr>
          <w:ilvl w:val="1"/>
          <w:numId w:val="11"/>
        </w:numPr>
        <w:spacing w:after="0"/>
      </w:pPr>
      <w:r>
        <w:t>Pueden ser proyectos destinados a la atención clínica, administración de recursos, estudios científicos o auditorías.</w:t>
      </w:r>
    </w:p>
    <w:p w14:paraId="0209C8EE" w14:textId="77777777" w:rsidR="00A02A2D" w:rsidRDefault="00000000">
      <w:pPr>
        <w:numPr>
          <w:ilvl w:val="0"/>
          <w:numId w:val="11"/>
        </w:numPr>
        <w:spacing w:after="0"/>
      </w:pPr>
      <w:r>
        <w:rPr>
          <w:b/>
        </w:rPr>
        <w:t>No formar parte del catálogo actual del SSPA, salvo que represente una mejora sustancial.</w:t>
      </w:r>
    </w:p>
    <w:p w14:paraId="4C6DF6BA" w14:textId="77777777" w:rsidR="00A02A2D" w:rsidRDefault="00000000">
      <w:pPr>
        <w:numPr>
          <w:ilvl w:val="1"/>
          <w:numId w:val="11"/>
        </w:numPr>
        <w:spacing w:after="0"/>
      </w:pPr>
      <w:r>
        <w:t>Se busca fomentar la innovación sin duplicar esfuerzos o infraestructuras existentes.</w:t>
      </w:r>
    </w:p>
    <w:p w14:paraId="319F141E" w14:textId="77777777" w:rsidR="00A02A2D" w:rsidRDefault="00000000">
      <w:pPr>
        <w:spacing w:after="0"/>
      </w:pPr>
      <w:r>
        <w:rPr>
          <w:rFonts w:ascii="Quattrocento Sans" w:eastAsia="Quattrocento Sans" w:hAnsi="Quattrocento Sans" w:cs="Quattrocento Sans"/>
        </w:rPr>
        <w:t>⚠️</w:t>
      </w:r>
      <w:r>
        <w:t xml:space="preserve"> </w:t>
      </w:r>
      <w:r>
        <w:rPr>
          <w:b/>
        </w:rPr>
        <w:t>Si la propuesta no cumple estos criterios, no se considerará una iniciativa digital dentro de la ESDA2030.</w:t>
      </w:r>
    </w:p>
    <w:p w14:paraId="3ED38583" w14:textId="77777777" w:rsidR="00A02A2D" w:rsidRDefault="00A02A2D">
      <w:pPr>
        <w:spacing w:after="0"/>
      </w:pPr>
    </w:p>
    <w:p w14:paraId="53B5B86C" w14:textId="77777777" w:rsidR="00A02A2D" w:rsidRDefault="00000000">
      <w:pPr>
        <w:spacing w:after="0"/>
        <w:rPr>
          <w:b/>
        </w:rPr>
      </w:pPr>
      <w:r>
        <w:rPr>
          <w:b/>
        </w:rPr>
        <w:t>9.3. Iniciativas de Innovación e Investigación</w:t>
      </w:r>
    </w:p>
    <w:p w14:paraId="7D70EC29" w14:textId="77777777" w:rsidR="00A02A2D" w:rsidRDefault="00000000">
      <w:pPr>
        <w:spacing w:after="0"/>
        <w:ind w:firstLine="708"/>
      </w:pPr>
      <w:r>
        <w:t>Las iniciativas pueden clasificarse en dos grandes categorías:</w:t>
      </w:r>
    </w:p>
    <w:p w14:paraId="7020D46E" w14:textId="77777777" w:rsidR="00A02A2D" w:rsidRDefault="00A02A2D">
      <w:pPr>
        <w:spacing w:after="0"/>
        <w:rPr>
          <w:b/>
        </w:rPr>
      </w:pPr>
    </w:p>
    <w:p w14:paraId="368283C3" w14:textId="77777777" w:rsidR="00A02A2D" w:rsidRDefault="00000000">
      <w:pPr>
        <w:spacing w:after="0"/>
        <w:rPr>
          <w:b/>
        </w:rPr>
      </w:pPr>
      <w:r>
        <w:rPr>
          <w:b/>
        </w:rPr>
        <w:t>9.3.1 Iniciativas Digitales Estándar</w:t>
      </w:r>
    </w:p>
    <w:p w14:paraId="480596CC" w14:textId="77777777" w:rsidR="00A02A2D" w:rsidRDefault="00000000">
      <w:pPr>
        <w:spacing w:after="0"/>
        <w:ind w:firstLine="708"/>
      </w:pPr>
      <w:r>
        <w:t xml:space="preserve">Son aquellas que cumplen los criterios mencionados anteriormente y tienen un </w:t>
      </w:r>
      <w:r>
        <w:rPr>
          <w:b/>
        </w:rPr>
        <w:t>nivel de madurez tecnológica suficiente</w:t>
      </w:r>
      <w:r>
        <w:t xml:space="preserve"> para su implementación en el SSPA.</w:t>
      </w:r>
    </w:p>
    <w:p w14:paraId="1976EA7A" w14:textId="77777777" w:rsidR="00A02A2D" w:rsidRDefault="00A02A2D">
      <w:pPr>
        <w:spacing w:after="0"/>
        <w:rPr>
          <w:b/>
        </w:rPr>
      </w:pPr>
    </w:p>
    <w:p w14:paraId="020E000C" w14:textId="77777777" w:rsidR="00A02A2D" w:rsidRDefault="00000000">
      <w:pPr>
        <w:spacing w:after="0"/>
        <w:rPr>
          <w:b/>
        </w:rPr>
      </w:pPr>
      <w:r>
        <w:rPr>
          <w:b/>
        </w:rPr>
        <w:t>9.3.2 Iniciativas de Innovación o Investigación</w:t>
      </w:r>
    </w:p>
    <w:p w14:paraId="6E2488E6" w14:textId="77777777" w:rsidR="00A02A2D" w:rsidRDefault="00000000">
      <w:pPr>
        <w:spacing w:after="0"/>
      </w:pPr>
      <w:r>
        <w:t>Se consideran aquellas que:</w:t>
      </w:r>
    </w:p>
    <w:p w14:paraId="0AA4D6C6" w14:textId="77777777" w:rsidR="00A02A2D" w:rsidRDefault="00000000">
      <w:pPr>
        <w:numPr>
          <w:ilvl w:val="0"/>
          <w:numId w:val="12"/>
        </w:numPr>
        <w:spacing w:after="0"/>
      </w:pPr>
      <w:r>
        <w:rPr>
          <w:b/>
        </w:rPr>
        <w:t>Tienen una madurez tecnológica incipiente</w:t>
      </w:r>
      <w:r>
        <w:t xml:space="preserve"> (TRL ≤ 3).</w:t>
      </w:r>
      <w:r>
        <w:br/>
      </w:r>
      <w:r>
        <w:rPr>
          <w:i/>
        </w:rPr>
        <w:t>(Technology Readiness Level - Nivel de preparación tecnológica bajo)</w:t>
      </w:r>
    </w:p>
    <w:p w14:paraId="70D00DAB" w14:textId="77777777" w:rsidR="00A02A2D" w:rsidRDefault="00000000">
      <w:pPr>
        <w:numPr>
          <w:ilvl w:val="0"/>
          <w:numId w:val="12"/>
        </w:numPr>
        <w:spacing w:after="0"/>
      </w:pPr>
      <w:r>
        <w:rPr>
          <w:b/>
        </w:rPr>
        <w:t>Se centran en la experimentación</w:t>
      </w:r>
      <w:r>
        <w:t>, sin estar aún listas para la producción en el SSPA.</w:t>
      </w:r>
    </w:p>
    <w:p w14:paraId="78A94B9C" w14:textId="77777777" w:rsidR="00A02A2D" w:rsidRDefault="00000000">
      <w:pPr>
        <w:numPr>
          <w:ilvl w:val="0"/>
          <w:numId w:val="12"/>
        </w:numPr>
        <w:spacing w:after="0"/>
      </w:pPr>
      <w:r>
        <w:rPr>
          <w:b/>
        </w:rPr>
        <w:t>Son autosuficientes en recursos humanos, económicos y materiales.</w:t>
      </w:r>
      <w:r>
        <w:br/>
      </w:r>
      <w:r>
        <w:rPr>
          <w:i/>
        </w:rPr>
        <w:t>(No dependen directamente del SSPA para su desarrollo inicial.)</w:t>
      </w:r>
    </w:p>
    <w:p w14:paraId="11C68E7E" w14:textId="77777777" w:rsidR="00A02A2D" w:rsidRDefault="00000000">
      <w:pPr>
        <w:spacing w:after="0"/>
      </w:pPr>
      <w:r>
        <w:t xml:space="preserve">Estas iniciativas </w:t>
      </w:r>
      <w:r>
        <w:rPr>
          <w:b/>
        </w:rPr>
        <w:t>siguen un circuito ágil</w:t>
      </w:r>
      <w:r>
        <w:t>, basado en:</w:t>
      </w:r>
    </w:p>
    <w:p w14:paraId="09554421" w14:textId="77777777" w:rsidR="00A02A2D" w:rsidRDefault="00000000">
      <w:pPr>
        <w:numPr>
          <w:ilvl w:val="0"/>
          <w:numId w:val="13"/>
        </w:numPr>
        <w:spacing w:after="0"/>
      </w:pPr>
      <w:r>
        <w:rPr>
          <w:b/>
        </w:rPr>
        <w:t>Una declaración responsable del proponente.</w:t>
      </w:r>
    </w:p>
    <w:p w14:paraId="27235CFD" w14:textId="77777777" w:rsidR="00A02A2D" w:rsidRDefault="00000000">
      <w:pPr>
        <w:numPr>
          <w:ilvl w:val="0"/>
          <w:numId w:val="13"/>
        </w:numPr>
        <w:spacing w:after="0"/>
      </w:pPr>
      <w:r>
        <w:rPr>
          <w:b/>
        </w:rPr>
        <w:t>Su alineación con la ESDA2030.</w:t>
      </w:r>
    </w:p>
    <w:p w14:paraId="12B315D4" w14:textId="77777777" w:rsidR="00A02A2D" w:rsidRDefault="00000000">
      <w:pPr>
        <w:numPr>
          <w:ilvl w:val="0"/>
          <w:numId w:val="13"/>
        </w:numPr>
        <w:spacing w:after="0"/>
      </w:pPr>
      <w:r>
        <w:rPr>
          <w:b/>
        </w:rPr>
        <w:t>Un proceso de validación simplificado.</w:t>
      </w:r>
    </w:p>
    <w:p w14:paraId="7B59172A" w14:textId="77777777" w:rsidR="00A02A2D" w:rsidRDefault="00000000">
      <w:pPr>
        <w:spacing w:after="0"/>
      </w:pPr>
      <w:r>
        <w:rPr>
          <w:rFonts w:ascii="Quattrocento Sans" w:eastAsia="Quattrocento Sans" w:hAnsi="Quattrocento Sans" w:cs="Quattrocento Sans"/>
        </w:rPr>
        <w:t>💡</w:t>
      </w:r>
      <w:r>
        <w:t xml:space="preserve"> </w:t>
      </w:r>
      <w:r>
        <w:rPr>
          <w:b/>
        </w:rPr>
        <w:t>Objetivo:</w:t>
      </w:r>
      <w:r>
        <w:t xml:space="preserve"> Fomentar la innovación y la investigación en el SSPA sin generar cargas administrativas excesivas.</w:t>
      </w:r>
    </w:p>
    <w:p w14:paraId="23DAAC75" w14:textId="77777777" w:rsidR="00A02A2D" w:rsidRDefault="00A02A2D">
      <w:pPr>
        <w:spacing w:after="0"/>
      </w:pPr>
    </w:p>
    <w:p w14:paraId="1716C445" w14:textId="77777777" w:rsidR="00A02A2D" w:rsidRDefault="00000000">
      <w:pPr>
        <w:spacing w:after="0"/>
        <w:rPr>
          <w:b/>
        </w:rPr>
      </w:pPr>
      <w:r>
        <w:rPr>
          <w:b/>
        </w:rPr>
        <w:t>9.4. Principios de la Gobernanza de Iniciativas Digitales</w:t>
      </w:r>
    </w:p>
    <w:p w14:paraId="5F7454A5" w14:textId="77777777" w:rsidR="00A02A2D" w:rsidRDefault="00000000">
      <w:pPr>
        <w:spacing w:after="0"/>
        <w:ind w:firstLine="708"/>
      </w:pPr>
      <w:r>
        <w:t>La gobernanza de las iniciativas digitales en el SSPA se basa en tres pilares fundamentales:</w:t>
      </w:r>
    </w:p>
    <w:p w14:paraId="0CE02605" w14:textId="77777777" w:rsidR="00A02A2D" w:rsidRDefault="00000000">
      <w:pPr>
        <w:spacing w:after="0"/>
        <w:rPr>
          <w:b/>
        </w:rPr>
      </w:pPr>
      <w:r>
        <w:rPr>
          <w:b/>
        </w:rPr>
        <w:t>9.4.1 Transparencia</w:t>
      </w:r>
    </w:p>
    <w:p w14:paraId="0E1F4CC2" w14:textId="77777777" w:rsidR="00A02A2D" w:rsidRDefault="00000000">
      <w:pPr>
        <w:numPr>
          <w:ilvl w:val="0"/>
          <w:numId w:val="14"/>
        </w:numPr>
        <w:spacing w:after="0"/>
      </w:pPr>
      <w:r>
        <w:t>Identificación y difusión de todas las iniciativas digitales en curso.</w:t>
      </w:r>
    </w:p>
    <w:p w14:paraId="61D07821" w14:textId="77777777" w:rsidR="00A02A2D" w:rsidRDefault="00000000">
      <w:pPr>
        <w:numPr>
          <w:ilvl w:val="0"/>
          <w:numId w:val="14"/>
        </w:numPr>
        <w:spacing w:after="0"/>
      </w:pPr>
      <w:r>
        <w:t>Facilitar el acceso a información sobre proyectos en desarrollo.</w:t>
      </w:r>
    </w:p>
    <w:p w14:paraId="159D7909" w14:textId="77777777" w:rsidR="00A02A2D" w:rsidRDefault="00000000">
      <w:pPr>
        <w:numPr>
          <w:ilvl w:val="0"/>
          <w:numId w:val="14"/>
        </w:numPr>
        <w:spacing w:after="0"/>
      </w:pPr>
      <w:r>
        <w:t>Promover la colaboración y el conocimiento compartido.</w:t>
      </w:r>
    </w:p>
    <w:p w14:paraId="55390916" w14:textId="77777777" w:rsidR="00A02A2D" w:rsidRDefault="00000000">
      <w:pPr>
        <w:spacing w:after="0"/>
        <w:rPr>
          <w:b/>
        </w:rPr>
      </w:pPr>
      <w:r>
        <w:rPr>
          <w:b/>
        </w:rPr>
        <w:t>9.4.2 Eficiencia</w:t>
      </w:r>
    </w:p>
    <w:p w14:paraId="081E8163" w14:textId="77777777" w:rsidR="00A02A2D" w:rsidRDefault="00000000">
      <w:pPr>
        <w:numPr>
          <w:ilvl w:val="0"/>
          <w:numId w:val="15"/>
        </w:numPr>
        <w:spacing w:after="0"/>
      </w:pPr>
      <w:r>
        <w:t>Evitar duplicidades entre iniciativas digitales.</w:t>
      </w:r>
    </w:p>
    <w:p w14:paraId="15567820" w14:textId="77777777" w:rsidR="00A02A2D" w:rsidRDefault="00000000">
      <w:pPr>
        <w:numPr>
          <w:ilvl w:val="0"/>
          <w:numId w:val="15"/>
        </w:numPr>
        <w:spacing w:after="0"/>
      </w:pPr>
      <w:r>
        <w:t>Fomentar la colaboración entre distintos equipos y organizaciones.</w:t>
      </w:r>
    </w:p>
    <w:p w14:paraId="314B3034" w14:textId="77777777" w:rsidR="00A02A2D" w:rsidRDefault="00000000">
      <w:pPr>
        <w:numPr>
          <w:ilvl w:val="0"/>
          <w:numId w:val="15"/>
        </w:numPr>
        <w:spacing w:after="0"/>
      </w:pPr>
      <w:r>
        <w:t>Detectar sinergias para optimizar el uso de los recursos.</w:t>
      </w:r>
    </w:p>
    <w:p w14:paraId="2C8506CB" w14:textId="77777777" w:rsidR="00A02A2D" w:rsidRDefault="00000000">
      <w:pPr>
        <w:spacing w:after="0"/>
        <w:rPr>
          <w:b/>
        </w:rPr>
      </w:pPr>
      <w:r>
        <w:rPr>
          <w:b/>
        </w:rPr>
        <w:t>9.4.3 Consenso</w:t>
      </w:r>
    </w:p>
    <w:p w14:paraId="066273AA" w14:textId="77777777" w:rsidR="00A02A2D" w:rsidRDefault="00000000">
      <w:pPr>
        <w:numPr>
          <w:ilvl w:val="0"/>
          <w:numId w:val="16"/>
        </w:numPr>
        <w:spacing w:after="0"/>
      </w:pPr>
      <w:r>
        <w:lastRenderedPageBreak/>
        <w:t>Involucrar a todos los agentes implicados en la transformación digital.</w:t>
      </w:r>
    </w:p>
    <w:p w14:paraId="09FBF30A" w14:textId="77777777" w:rsidR="00A02A2D" w:rsidRDefault="00000000">
      <w:pPr>
        <w:numPr>
          <w:ilvl w:val="0"/>
          <w:numId w:val="16"/>
        </w:numPr>
        <w:spacing w:after="0"/>
      </w:pPr>
      <w:r>
        <w:t>Asegurar que las decisiones estratégicas se toman con la participación de todas las partes interesadas.</w:t>
      </w:r>
    </w:p>
    <w:p w14:paraId="21A7758A" w14:textId="77777777" w:rsidR="00A02A2D" w:rsidRDefault="00000000">
      <w:pPr>
        <w:numPr>
          <w:ilvl w:val="0"/>
          <w:numId w:val="16"/>
        </w:numPr>
        <w:spacing w:after="0"/>
      </w:pPr>
      <w:r>
        <w:t>Maximizar el impacto de cada iniciativa digital dentro del SSPA.</w:t>
      </w:r>
    </w:p>
    <w:p w14:paraId="3054FDBC" w14:textId="77777777" w:rsidR="00A02A2D" w:rsidRDefault="00A02A2D">
      <w:pPr>
        <w:spacing w:after="0"/>
      </w:pPr>
    </w:p>
    <w:p w14:paraId="4796DD87" w14:textId="77777777" w:rsidR="00A02A2D" w:rsidRDefault="00000000">
      <w:pPr>
        <w:spacing w:after="0"/>
        <w:rPr>
          <w:b/>
        </w:rPr>
      </w:pPr>
      <w:r>
        <w:rPr>
          <w:b/>
        </w:rPr>
        <w:t xml:space="preserve">10. Presentación de Iniciativas Digitales - </w:t>
      </w:r>
      <w:r>
        <w:rPr>
          <w:b/>
          <w:i/>
        </w:rPr>
        <w:t>ESDA 2030</w:t>
      </w:r>
    </w:p>
    <w:p w14:paraId="01BD61C8" w14:textId="77777777" w:rsidR="00A02A2D" w:rsidRDefault="00000000">
      <w:pPr>
        <w:spacing w:after="0"/>
        <w:rPr>
          <w:b/>
        </w:rPr>
      </w:pPr>
      <w:r>
        <w:rPr>
          <w:b/>
        </w:rPr>
        <w:t>10.1. Introducción</w:t>
      </w:r>
    </w:p>
    <w:p w14:paraId="595CF20C" w14:textId="77777777" w:rsidR="00A02A2D" w:rsidRDefault="00000000">
      <w:pPr>
        <w:spacing w:after="0"/>
        <w:ind w:firstLine="708"/>
      </w:pPr>
      <w:r>
        <w:t xml:space="preserve">El </w:t>
      </w:r>
      <w:r>
        <w:rPr>
          <w:b/>
        </w:rPr>
        <w:t>Sistema Sanitario Público de Andalucía (SSPA)</w:t>
      </w:r>
      <w:r>
        <w:t xml:space="preserve"> está en un proceso de transformación digital que requiere la identificación y gestión eficiente de </w:t>
      </w:r>
      <w:r>
        <w:rPr>
          <w:b/>
        </w:rPr>
        <w:t>iniciativas digitales</w:t>
      </w:r>
      <w:r>
        <w:t xml:space="preserve">. Para facilitar este proceso, se ha desarrollado un procedimiento estructurado que permite a los profesionales proponer nuevas iniciativas a través de la plataforma </w:t>
      </w:r>
      <w:r>
        <w:rPr>
          <w:b/>
        </w:rPr>
        <w:t>AyudaDigital</w:t>
      </w:r>
      <w:r>
        <w:t>.</w:t>
      </w:r>
    </w:p>
    <w:p w14:paraId="5DBE9FA2" w14:textId="77777777" w:rsidR="00A02A2D" w:rsidRDefault="00A02A2D">
      <w:pPr>
        <w:spacing w:after="0"/>
      </w:pPr>
    </w:p>
    <w:p w14:paraId="74FF028F" w14:textId="77777777" w:rsidR="00A02A2D" w:rsidRDefault="00000000">
      <w:pPr>
        <w:spacing w:after="0"/>
        <w:rPr>
          <w:b/>
        </w:rPr>
      </w:pPr>
      <w:r>
        <w:rPr>
          <w:b/>
        </w:rPr>
        <w:t>10.2. Acceso a AyudaDigital y Registro de Iniciativas</w:t>
      </w:r>
    </w:p>
    <w:p w14:paraId="761219B0" w14:textId="77777777" w:rsidR="00A02A2D" w:rsidRDefault="00000000">
      <w:pPr>
        <w:spacing w:after="0"/>
        <w:rPr>
          <w:b/>
        </w:rPr>
      </w:pPr>
      <w:r>
        <w:rPr>
          <w:b/>
        </w:rPr>
        <w:t>10.2.1 Ingreso a la Plataforma</w:t>
      </w:r>
    </w:p>
    <w:p w14:paraId="2F706AF3" w14:textId="77777777" w:rsidR="00A02A2D" w:rsidRDefault="00000000">
      <w:pPr>
        <w:spacing w:after="0"/>
      </w:pPr>
      <w:r>
        <w:t>Para presentar una iniciativa digital, el proponente debe:</w:t>
      </w:r>
    </w:p>
    <w:p w14:paraId="06C3C96B" w14:textId="77777777" w:rsidR="00A02A2D" w:rsidRDefault="00000000">
      <w:pPr>
        <w:numPr>
          <w:ilvl w:val="0"/>
          <w:numId w:val="17"/>
        </w:numPr>
        <w:spacing w:after="0"/>
      </w:pPr>
      <w:r>
        <w:rPr>
          <w:b/>
        </w:rPr>
        <w:t>Acceder a AyudaDigital</w:t>
      </w:r>
      <w:r>
        <w:t xml:space="preserve"> a través del siguiente enlace </w:t>
      </w:r>
      <w:r>
        <w:rPr>
          <w:i/>
        </w:rPr>
        <w:t>(enlace interno del SSPA)</w:t>
      </w:r>
      <w:r>
        <w:t>.</w:t>
      </w:r>
    </w:p>
    <w:p w14:paraId="2012B8E2" w14:textId="77777777" w:rsidR="00A02A2D" w:rsidRDefault="00000000">
      <w:pPr>
        <w:numPr>
          <w:ilvl w:val="0"/>
          <w:numId w:val="17"/>
        </w:numPr>
        <w:spacing w:after="0"/>
      </w:pPr>
      <w:r>
        <w:rPr>
          <w:b/>
        </w:rPr>
        <w:t>Iniciar sesión</w:t>
      </w:r>
      <w:r>
        <w:t xml:space="preserve"> con su usuario y contraseña de </w:t>
      </w:r>
      <w:r>
        <w:rPr>
          <w:b/>
        </w:rPr>
        <w:t>DMSAS</w:t>
      </w:r>
      <w:r>
        <w:t>.</w:t>
      </w:r>
    </w:p>
    <w:p w14:paraId="094B739F" w14:textId="77777777" w:rsidR="00A02A2D" w:rsidRDefault="00000000">
      <w:pPr>
        <w:numPr>
          <w:ilvl w:val="0"/>
          <w:numId w:val="17"/>
        </w:numPr>
        <w:spacing w:after="0"/>
      </w:pPr>
      <w:r>
        <w:rPr>
          <w:b/>
        </w:rPr>
        <w:t>Buscar la sección "Propuesta de Iniciativa Digital"</w:t>
      </w:r>
      <w:r>
        <w:t xml:space="preserve"> en el catálogo de servicios.</w:t>
      </w:r>
    </w:p>
    <w:p w14:paraId="2E9F531C" w14:textId="77777777" w:rsidR="00A02A2D" w:rsidRDefault="00000000">
      <w:pPr>
        <w:spacing w:after="0"/>
        <w:rPr>
          <w:b/>
        </w:rPr>
      </w:pPr>
      <w:r>
        <w:rPr>
          <w:b/>
        </w:rPr>
        <w:t>10.2.2 Rellenar el Formulario de Propuesta</w:t>
      </w:r>
    </w:p>
    <w:p w14:paraId="3144236D" w14:textId="77777777" w:rsidR="00A02A2D" w:rsidRDefault="00000000">
      <w:pPr>
        <w:spacing w:after="0"/>
        <w:ind w:firstLine="360"/>
      </w:pPr>
      <w:r>
        <w:t>Una vez en la sección correspondiente, el proponente debe completar los siguientes campos:</w:t>
      </w:r>
    </w:p>
    <w:p w14:paraId="1E0FE6AA" w14:textId="77777777" w:rsidR="00A02A2D" w:rsidRDefault="00000000">
      <w:pPr>
        <w:numPr>
          <w:ilvl w:val="0"/>
          <w:numId w:val="18"/>
        </w:numPr>
        <w:spacing w:after="0"/>
      </w:pPr>
      <w:r>
        <w:rPr>
          <w:b/>
        </w:rPr>
        <w:t>Solicitar en nombre de:</w:t>
      </w:r>
      <w:r>
        <w:t xml:space="preserve"> Indicar si la propuesta es personal o en representación de un equipo.</w:t>
      </w:r>
    </w:p>
    <w:p w14:paraId="6310C7F8" w14:textId="77777777" w:rsidR="00A02A2D" w:rsidRDefault="00000000">
      <w:pPr>
        <w:numPr>
          <w:ilvl w:val="0"/>
          <w:numId w:val="18"/>
        </w:numPr>
        <w:spacing w:after="0"/>
      </w:pPr>
      <w:r>
        <w:rPr>
          <w:b/>
        </w:rPr>
        <w:t>Datos de contacto:</w:t>
      </w:r>
      <w:r>
        <w:t xml:space="preserve"> Se autocompleta con la información del usuario, pero es editable si se necesita actualizar.</w:t>
      </w:r>
    </w:p>
    <w:p w14:paraId="15D4687C" w14:textId="77777777" w:rsidR="00A02A2D" w:rsidRDefault="00000000">
      <w:pPr>
        <w:numPr>
          <w:ilvl w:val="0"/>
          <w:numId w:val="18"/>
        </w:numPr>
        <w:spacing w:after="0"/>
      </w:pPr>
      <w:r>
        <w:rPr>
          <w:b/>
        </w:rPr>
        <w:t>Resumen de la iniciativa:</w:t>
      </w:r>
      <w:r>
        <w:t xml:space="preserve"> Incluir el nombre y una breve descripción del proyecto digital.</w:t>
      </w:r>
    </w:p>
    <w:p w14:paraId="10B92C66" w14:textId="77777777" w:rsidR="00A02A2D" w:rsidRDefault="00000000">
      <w:pPr>
        <w:numPr>
          <w:ilvl w:val="0"/>
          <w:numId w:val="18"/>
        </w:numPr>
        <w:spacing w:after="0"/>
      </w:pPr>
      <w:r>
        <w:rPr>
          <w:b/>
        </w:rPr>
        <w:t>Detalles específicos:</w:t>
      </w:r>
      <w:r>
        <w:t xml:space="preserve"> Definir los objetivos, alcance y beneficios esperados de la iniciativa.</w:t>
      </w:r>
    </w:p>
    <w:p w14:paraId="2AE9063E" w14:textId="77777777" w:rsidR="00A02A2D" w:rsidRDefault="00000000">
      <w:pPr>
        <w:spacing w:after="0"/>
      </w:pPr>
      <w:r>
        <w:rPr>
          <w:rFonts w:ascii="Quattrocento Sans" w:eastAsia="Quattrocento Sans" w:hAnsi="Quattrocento Sans" w:cs="Quattrocento Sans"/>
        </w:rPr>
        <w:t>📌</w:t>
      </w:r>
      <w:r>
        <w:t xml:space="preserve"> </w:t>
      </w:r>
      <w:r>
        <w:rPr>
          <w:b/>
        </w:rPr>
        <w:t>Nota:</w:t>
      </w:r>
      <w:r>
        <w:t xml:space="preserve"> Es recomendable proporcionar información clara y detallada para agilizar la evaluación.</w:t>
      </w:r>
    </w:p>
    <w:p w14:paraId="48A15369" w14:textId="77777777" w:rsidR="00A02A2D" w:rsidRDefault="00A02A2D">
      <w:pPr>
        <w:spacing w:after="0"/>
      </w:pPr>
    </w:p>
    <w:p w14:paraId="7009C9A5" w14:textId="77777777" w:rsidR="00A02A2D" w:rsidRDefault="00000000">
      <w:pPr>
        <w:spacing w:after="0"/>
        <w:rPr>
          <w:b/>
        </w:rPr>
      </w:pPr>
      <w:r>
        <w:rPr>
          <w:b/>
        </w:rPr>
        <w:t>10.3. Confirmación y Generación de Identificador</w:t>
      </w:r>
    </w:p>
    <w:p w14:paraId="4289AB5D" w14:textId="77777777" w:rsidR="00A02A2D" w:rsidRDefault="00000000">
      <w:pPr>
        <w:spacing w:after="0"/>
        <w:ind w:firstLine="360"/>
      </w:pPr>
      <w:r>
        <w:t xml:space="preserve">Una vez enviada la solicitud, el sistema genera un </w:t>
      </w:r>
      <w:r>
        <w:rPr>
          <w:b/>
        </w:rPr>
        <w:t>número identificador único</w:t>
      </w:r>
      <w:r>
        <w:t xml:space="preserve"> para la iniciativa. Este identificador permitirá:</w:t>
      </w:r>
    </w:p>
    <w:p w14:paraId="367FE255" w14:textId="77777777" w:rsidR="00A02A2D" w:rsidRDefault="00000000">
      <w:pPr>
        <w:numPr>
          <w:ilvl w:val="0"/>
          <w:numId w:val="19"/>
        </w:numPr>
        <w:spacing w:after="0"/>
      </w:pPr>
      <w:r>
        <w:t>Realizar un seguimiento del estado de la propuesta.</w:t>
      </w:r>
    </w:p>
    <w:p w14:paraId="631A9EA9" w14:textId="77777777" w:rsidR="00A02A2D" w:rsidRDefault="00000000">
      <w:pPr>
        <w:numPr>
          <w:ilvl w:val="0"/>
          <w:numId w:val="19"/>
        </w:numPr>
        <w:spacing w:after="0"/>
      </w:pPr>
      <w:r>
        <w:t>Identificar al responsable de evaluar la solicitud.</w:t>
      </w:r>
    </w:p>
    <w:p w14:paraId="0F4593B0" w14:textId="77777777" w:rsidR="00A02A2D" w:rsidRDefault="00000000">
      <w:pPr>
        <w:numPr>
          <w:ilvl w:val="0"/>
          <w:numId w:val="19"/>
        </w:numPr>
        <w:spacing w:after="0"/>
      </w:pPr>
      <w:r>
        <w:t>Acceder a información relevante sobre la evolución del proyecto.</w:t>
      </w:r>
    </w:p>
    <w:p w14:paraId="7B3F75B1" w14:textId="77777777" w:rsidR="00A02A2D" w:rsidRDefault="00000000">
      <w:pPr>
        <w:spacing w:after="0"/>
      </w:pPr>
      <w:r>
        <w:t xml:space="preserve">El proponente recibe un </w:t>
      </w:r>
      <w:r>
        <w:rPr>
          <w:b/>
        </w:rPr>
        <w:t>correo electrónico de confirmación</w:t>
      </w:r>
      <w:r>
        <w:t xml:space="preserve"> con los siguientes datos:</w:t>
      </w:r>
    </w:p>
    <w:p w14:paraId="4C92EE54" w14:textId="77777777" w:rsidR="00A02A2D" w:rsidRDefault="00000000">
      <w:pPr>
        <w:numPr>
          <w:ilvl w:val="0"/>
          <w:numId w:val="20"/>
        </w:numPr>
        <w:spacing w:after="0"/>
      </w:pPr>
      <w:r>
        <w:rPr>
          <w:b/>
        </w:rPr>
        <w:t>Número de solicitud.</w:t>
      </w:r>
    </w:p>
    <w:p w14:paraId="3BCDDD10" w14:textId="77777777" w:rsidR="00A02A2D" w:rsidRDefault="00000000">
      <w:pPr>
        <w:numPr>
          <w:ilvl w:val="0"/>
          <w:numId w:val="20"/>
        </w:numPr>
        <w:spacing w:after="0"/>
      </w:pPr>
      <w:r>
        <w:rPr>
          <w:b/>
        </w:rPr>
        <w:t>Resumen de la iniciativa presentada.</w:t>
      </w:r>
    </w:p>
    <w:p w14:paraId="63A692C4" w14:textId="77777777" w:rsidR="00A02A2D" w:rsidRDefault="00000000">
      <w:pPr>
        <w:numPr>
          <w:ilvl w:val="0"/>
          <w:numId w:val="20"/>
        </w:numPr>
        <w:spacing w:after="0"/>
      </w:pPr>
      <w:r>
        <w:rPr>
          <w:b/>
        </w:rPr>
        <w:t>Estado inicial del proceso.</w:t>
      </w:r>
    </w:p>
    <w:p w14:paraId="08594EE2" w14:textId="77777777" w:rsidR="00A02A2D" w:rsidRDefault="00000000">
      <w:pPr>
        <w:spacing w:after="0"/>
      </w:pPr>
      <w:r>
        <w:rPr>
          <w:rFonts w:ascii="Quattrocento Sans" w:eastAsia="Quattrocento Sans" w:hAnsi="Quattrocento Sans" w:cs="Quattrocento Sans"/>
        </w:rPr>
        <w:t>📢</w:t>
      </w:r>
      <w:r>
        <w:t xml:space="preserve"> </w:t>
      </w:r>
      <w:r>
        <w:rPr>
          <w:i/>
        </w:rPr>
        <w:t>"Si no recibes este correo en unos minutos, revisa tu bandeja de spam o ponte en contacto con soporte técnico."</w:t>
      </w:r>
    </w:p>
    <w:p w14:paraId="6533FA3C" w14:textId="77777777" w:rsidR="00A02A2D" w:rsidRDefault="00A02A2D">
      <w:pPr>
        <w:spacing w:after="0"/>
      </w:pPr>
    </w:p>
    <w:p w14:paraId="1613AA3D" w14:textId="77777777" w:rsidR="00A02A2D" w:rsidRDefault="00000000">
      <w:pPr>
        <w:spacing w:after="0"/>
        <w:rPr>
          <w:b/>
        </w:rPr>
      </w:pPr>
      <w:r>
        <w:rPr>
          <w:b/>
        </w:rPr>
        <w:t>10.4. Seguimiento y Gestión de la Iniciativa</w:t>
      </w:r>
    </w:p>
    <w:p w14:paraId="0B76A2DB" w14:textId="77777777" w:rsidR="00A02A2D" w:rsidRDefault="00000000">
      <w:pPr>
        <w:spacing w:after="0"/>
        <w:rPr>
          <w:b/>
        </w:rPr>
      </w:pPr>
      <w:r>
        <w:rPr>
          <w:b/>
        </w:rPr>
        <w:t>10.4.1 Acciones Disponibles en la Plataforma</w:t>
      </w:r>
    </w:p>
    <w:p w14:paraId="615263FA" w14:textId="77777777" w:rsidR="00A02A2D" w:rsidRDefault="00000000">
      <w:pPr>
        <w:spacing w:after="0"/>
      </w:pPr>
      <w:r>
        <w:lastRenderedPageBreak/>
        <w:t xml:space="preserve">Desde la plataforma </w:t>
      </w:r>
      <w:r>
        <w:rPr>
          <w:b/>
        </w:rPr>
        <w:t>AyudaDigital</w:t>
      </w:r>
      <w:r>
        <w:t>, el proponente podrá:</w:t>
      </w:r>
    </w:p>
    <w:p w14:paraId="30D26568" w14:textId="77777777" w:rsidR="00A02A2D" w:rsidRDefault="00000000">
      <w:pPr>
        <w:numPr>
          <w:ilvl w:val="0"/>
          <w:numId w:val="21"/>
        </w:numPr>
        <w:spacing w:after="0"/>
      </w:pPr>
      <w:r>
        <w:rPr>
          <w:b/>
        </w:rPr>
        <w:t>Visualizar el estado de su iniciativa.</w:t>
      </w:r>
    </w:p>
    <w:p w14:paraId="12891CBA" w14:textId="77777777" w:rsidR="00A02A2D" w:rsidRDefault="00000000">
      <w:pPr>
        <w:numPr>
          <w:ilvl w:val="0"/>
          <w:numId w:val="21"/>
        </w:numPr>
        <w:spacing w:after="0"/>
      </w:pPr>
      <w:r>
        <w:rPr>
          <w:b/>
        </w:rPr>
        <w:t>Realizar comentarios y actualizaciones.</w:t>
      </w:r>
    </w:p>
    <w:p w14:paraId="311FCC29" w14:textId="77777777" w:rsidR="00A02A2D" w:rsidRDefault="00000000">
      <w:pPr>
        <w:numPr>
          <w:ilvl w:val="0"/>
          <w:numId w:val="21"/>
        </w:numPr>
        <w:spacing w:after="0"/>
      </w:pPr>
      <w:r>
        <w:rPr>
          <w:b/>
        </w:rPr>
        <w:t>Descargar información relacionada.</w:t>
      </w:r>
    </w:p>
    <w:p w14:paraId="2BE80A67" w14:textId="77777777" w:rsidR="00A02A2D" w:rsidRDefault="00000000">
      <w:pPr>
        <w:numPr>
          <w:ilvl w:val="0"/>
          <w:numId w:val="21"/>
        </w:numPr>
        <w:spacing w:after="0"/>
      </w:pPr>
      <w:r>
        <w:rPr>
          <w:b/>
        </w:rPr>
        <w:t>Revisar el historial de actividades.</w:t>
      </w:r>
    </w:p>
    <w:p w14:paraId="7FE3CC28" w14:textId="77777777" w:rsidR="00A02A2D" w:rsidRDefault="00000000">
      <w:pPr>
        <w:numPr>
          <w:ilvl w:val="0"/>
          <w:numId w:val="21"/>
        </w:numPr>
        <w:spacing w:after="0"/>
      </w:pPr>
      <w:r>
        <w:rPr>
          <w:b/>
        </w:rPr>
        <w:t>Consultar detalles sobre los evaluadores asignados.</w:t>
      </w:r>
    </w:p>
    <w:p w14:paraId="611C2A51" w14:textId="77777777" w:rsidR="00A02A2D" w:rsidRDefault="00000000">
      <w:pPr>
        <w:spacing w:after="0"/>
        <w:rPr>
          <w:b/>
        </w:rPr>
      </w:pPr>
      <w:r>
        <w:rPr>
          <w:b/>
        </w:rPr>
        <w:t>10.4.2 Correos Informativos</w:t>
      </w:r>
    </w:p>
    <w:p w14:paraId="10905526" w14:textId="77777777" w:rsidR="00A02A2D" w:rsidRDefault="00000000">
      <w:pPr>
        <w:spacing w:after="0"/>
      </w:pPr>
      <w:r>
        <w:t>El sistema enviará notificaciones automáticas al proponente en las siguientes fases:</w:t>
      </w:r>
    </w:p>
    <w:p w14:paraId="0C1F3F9E" w14:textId="77777777" w:rsidR="00A02A2D" w:rsidRDefault="00000000">
      <w:pPr>
        <w:numPr>
          <w:ilvl w:val="0"/>
          <w:numId w:val="22"/>
        </w:numPr>
        <w:spacing w:after="0"/>
      </w:pPr>
      <w:r>
        <w:rPr>
          <w:b/>
        </w:rPr>
        <w:t>Registro de solicitud:</w:t>
      </w:r>
      <w:r>
        <w:t xml:space="preserve"> Confirmación inicial.</w:t>
      </w:r>
    </w:p>
    <w:p w14:paraId="25D83557" w14:textId="77777777" w:rsidR="00A02A2D" w:rsidRDefault="00000000">
      <w:pPr>
        <w:numPr>
          <w:ilvl w:val="0"/>
          <w:numId w:val="22"/>
        </w:numPr>
        <w:spacing w:after="0"/>
      </w:pPr>
      <w:r>
        <w:rPr>
          <w:b/>
        </w:rPr>
        <w:t>Asignación de evaluador:</w:t>
      </w:r>
      <w:r>
        <w:t xml:space="preserve"> Indica qué equipo revisará la propuesta.</w:t>
      </w:r>
    </w:p>
    <w:p w14:paraId="72831322" w14:textId="77777777" w:rsidR="00A02A2D" w:rsidRDefault="00000000">
      <w:pPr>
        <w:numPr>
          <w:ilvl w:val="0"/>
          <w:numId w:val="22"/>
        </w:numPr>
        <w:spacing w:after="0"/>
      </w:pPr>
      <w:r>
        <w:rPr>
          <w:b/>
        </w:rPr>
        <w:t>Solicitudes de información adicional:</w:t>
      </w:r>
      <w:r>
        <w:t xml:space="preserve"> Si se requiere más documentación.</w:t>
      </w:r>
    </w:p>
    <w:p w14:paraId="2981F8F6" w14:textId="77777777" w:rsidR="00A02A2D" w:rsidRDefault="00000000">
      <w:pPr>
        <w:numPr>
          <w:ilvl w:val="0"/>
          <w:numId w:val="22"/>
        </w:numPr>
        <w:spacing w:after="0"/>
      </w:pPr>
      <w:r>
        <w:rPr>
          <w:b/>
        </w:rPr>
        <w:t>Estado final de la evaluación:</w:t>
      </w:r>
      <w:r>
        <w:t xml:space="preserve"> Aprobación, rechazo o solicitud de revisión.</w:t>
      </w:r>
    </w:p>
    <w:p w14:paraId="7A38C7B6" w14:textId="77777777" w:rsidR="00A02A2D" w:rsidRDefault="00A02A2D">
      <w:pPr>
        <w:spacing w:after="0"/>
      </w:pPr>
    </w:p>
    <w:p w14:paraId="6F5282DB" w14:textId="77777777" w:rsidR="00A02A2D" w:rsidRDefault="00000000">
      <w:pPr>
        <w:spacing w:after="0"/>
        <w:rPr>
          <w:b/>
        </w:rPr>
      </w:pPr>
      <w:r>
        <w:rPr>
          <w:b/>
        </w:rPr>
        <w:t>10.5. Integración con Herramientas de Gestión</w:t>
      </w:r>
    </w:p>
    <w:p w14:paraId="4B730192" w14:textId="77777777" w:rsidR="00A02A2D" w:rsidRDefault="00000000">
      <w:pPr>
        <w:spacing w:after="0"/>
        <w:ind w:firstLine="708"/>
      </w:pPr>
      <w:r>
        <w:t xml:space="preserve">Una vez registrada la iniciativa en </w:t>
      </w:r>
      <w:r>
        <w:rPr>
          <w:b/>
        </w:rPr>
        <w:t>AyudaDigital</w:t>
      </w:r>
      <w:r>
        <w:t xml:space="preserve">, el proceso de evaluación se gestiona a través de </w:t>
      </w:r>
      <w:r>
        <w:rPr>
          <w:b/>
        </w:rPr>
        <w:t>Jira</w:t>
      </w:r>
      <w:r>
        <w:t>, una plataforma especializada en la administración de proyectos y seguimiento de tareas.</w:t>
      </w:r>
    </w:p>
    <w:p w14:paraId="16101B2E" w14:textId="77777777" w:rsidR="00A02A2D" w:rsidRDefault="00000000">
      <w:pPr>
        <w:spacing w:after="0"/>
      </w:pPr>
      <w:r>
        <w:rPr>
          <w:rFonts w:ascii="Quattrocento Sans" w:eastAsia="Quattrocento Sans" w:hAnsi="Quattrocento Sans" w:cs="Quattrocento Sans"/>
        </w:rPr>
        <w:t>📌</w:t>
      </w:r>
      <w:r>
        <w:t xml:space="preserve"> </w:t>
      </w:r>
      <w:r>
        <w:rPr>
          <w:b/>
        </w:rPr>
        <w:t>Importante:</w:t>
      </w:r>
    </w:p>
    <w:p w14:paraId="02EF5EB9" w14:textId="77777777" w:rsidR="00A02A2D" w:rsidRDefault="00000000">
      <w:pPr>
        <w:numPr>
          <w:ilvl w:val="0"/>
          <w:numId w:val="23"/>
        </w:numPr>
        <w:spacing w:after="0"/>
      </w:pPr>
      <w:r>
        <w:t xml:space="preserve">La integración con </w:t>
      </w:r>
      <w:r>
        <w:rPr>
          <w:b/>
        </w:rPr>
        <w:t>Jira</w:t>
      </w:r>
      <w:r>
        <w:t xml:space="preserve"> permite mayor trazabilidad y organización en la evaluación de las iniciativas.</w:t>
      </w:r>
    </w:p>
    <w:p w14:paraId="34119CB9" w14:textId="77777777" w:rsidR="00A02A2D" w:rsidRDefault="00000000">
      <w:pPr>
        <w:numPr>
          <w:ilvl w:val="0"/>
          <w:numId w:val="23"/>
        </w:numPr>
        <w:spacing w:after="0"/>
      </w:pPr>
      <w:r>
        <w:t>El proponente podrá recibir actualizaciones automáticas cuando su iniciativa avance en el proceso de revisión.</w:t>
      </w:r>
    </w:p>
    <w:p w14:paraId="22B643EC" w14:textId="77777777" w:rsidR="00A02A2D" w:rsidRDefault="00A02A2D">
      <w:pPr>
        <w:spacing w:after="0"/>
      </w:pPr>
    </w:p>
    <w:p w14:paraId="45586FA1" w14:textId="77777777" w:rsidR="00A02A2D" w:rsidRDefault="00000000">
      <w:pPr>
        <w:spacing w:after="0"/>
        <w:rPr>
          <w:b/>
        </w:rPr>
      </w:pPr>
      <w:r>
        <w:rPr>
          <w:b/>
        </w:rPr>
        <w:t xml:space="preserve">11. Evaluación de Iniciativas Digitales - </w:t>
      </w:r>
      <w:r>
        <w:rPr>
          <w:b/>
          <w:i/>
        </w:rPr>
        <w:t>Estrategia de Salud Digital de Andalucía 2030</w:t>
      </w:r>
    </w:p>
    <w:p w14:paraId="6CBF447C" w14:textId="77777777" w:rsidR="00A02A2D" w:rsidRDefault="00000000">
      <w:pPr>
        <w:spacing w:after="0"/>
        <w:rPr>
          <w:b/>
        </w:rPr>
      </w:pPr>
      <w:r>
        <w:rPr>
          <w:b/>
        </w:rPr>
        <w:t>11.1. Introducción</w:t>
      </w:r>
    </w:p>
    <w:p w14:paraId="00B33074" w14:textId="77777777" w:rsidR="00A02A2D" w:rsidRDefault="00000000">
      <w:pPr>
        <w:spacing w:after="0"/>
        <w:ind w:firstLine="708"/>
      </w:pPr>
      <w:r>
        <w:t xml:space="preserve">El proceso de </w:t>
      </w:r>
      <w:r>
        <w:rPr>
          <w:b/>
        </w:rPr>
        <w:t>evaluación de iniciativas digitales</w:t>
      </w:r>
      <w:r>
        <w:t xml:space="preserve"> en el </w:t>
      </w:r>
      <w:r>
        <w:rPr>
          <w:b/>
        </w:rPr>
        <w:t>Sistema Sanitario Público de Andalucía (SSPA)</w:t>
      </w:r>
      <w:r>
        <w:t xml:space="preserve"> es clave para asegurar que las propuestas cumplan con los requisitos estratégicos, técnicos y operativos necesarios.</w:t>
      </w:r>
    </w:p>
    <w:p w14:paraId="755678BA" w14:textId="77777777" w:rsidR="00A02A2D" w:rsidRDefault="00000000">
      <w:pPr>
        <w:spacing w:after="0"/>
      </w:pPr>
      <w:r>
        <w:t xml:space="preserve">Tras la presentación de una iniciativa en </w:t>
      </w:r>
      <w:r>
        <w:rPr>
          <w:b/>
        </w:rPr>
        <w:t>AyudaDigital</w:t>
      </w:r>
      <w:r>
        <w:t xml:space="preserve">, comienza su evaluación por parte de la </w:t>
      </w:r>
      <w:r>
        <w:rPr>
          <w:b/>
        </w:rPr>
        <w:t>Oficina Técnica de la Estrategia de Salud Digital de Andalucía (ESDA)</w:t>
      </w:r>
      <w:r>
        <w:t>. Este proceso garantiza que cada propuesta:</w:t>
      </w:r>
    </w:p>
    <w:p w14:paraId="11626652" w14:textId="77777777" w:rsidR="00A02A2D" w:rsidRDefault="00000000">
      <w:pPr>
        <w:numPr>
          <w:ilvl w:val="0"/>
          <w:numId w:val="24"/>
        </w:numPr>
        <w:spacing w:after="0"/>
      </w:pPr>
      <w:r>
        <w:t xml:space="preserve">Esté alineada con los objetivos de la </w:t>
      </w:r>
      <w:r>
        <w:rPr>
          <w:b/>
        </w:rPr>
        <w:t>Estrategia de Salud Digital de Andalucía 2030 (ESDA2030)</w:t>
      </w:r>
      <w:r>
        <w:t>.</w:t>
      </w:r>
    </w:p>
    <w:p w14:paraId="06FC0247" w14:textId="77777777" w:rsidR="00A02A2D" w:rsidRDefault="00000000">
      <w:pPr>
        <w:numPr>
          <w:ilvl w:val="0"/>
          <w:numId w:val="24"/>
        </w:numPr>
        <w:spacing w:after="0"/>
      </w:pPr>
      <w:r>
        <w:t>Cumpla con los criterios de viabilidad técnica, operativa y financiera.</w:t>
      </w:r>
    </w:p>
    <w:p w14:paraId="0CF010E6" w14:textId="77777777" w:rsidR="00A02A2D" w:rsidRDefault="00000000">
      <w:pPr>
        <w:numPr>
          <w:ilvl w:val="0"/>
          <w:numId w:val="24"/>
        </w:numPr>
        <w:spacing w:after="0"/>
      </w:pPr>
      <w:r>
        <w:t>Evite duplicidades y fomente la eficiencia en la gestión de recursos.</w:t>
      </w:r>
    </w:p>
    <w:p w14:paraId="70C4F662" w14:textId="77777777" w:rsidR="00A02A2D" w:rsidRDefault="00A02A2D">
      <w:pPr>
        <w:spacing w:after="0"/>
      </w:pPr>
    </w:p>
    <w:p w14:paraId="4F2CFB98" w14:textId="77777777" w:rsidR="00A02A2D" w:rsidRDefault="00000000">
      <w:pPr>
        <w:spacing w:after="0"/>
        <w:rPr>
          <w:b/>
        </w:rPr>
      </w:pPr>
      <w:r>
        <w:rPr>
          <w:b/>
        </w:rPr>
        <w:t>11.2. Flujo de Trabajo de la Evaluación</w:t>
      </w:r>
    </w:p>
    <w:p w14:paraId="0BBCE8F0" w14:textId="77777777" w:rsidR="00A02A2D" w:rsidRDefault="00000000">
      <w:pPr>
        <w:spacing w:after="0"/>
        <w:ind w:firstLine="708"/>
      </w:pPr>
      <w:r>
        <w:t>El proceso de evaluación sigue varias fases, cada una con sus propias verificaciones y comunicaciones al proponente.</w:t>
      </w:r>
    </w:p>
    <w:p w14:paraId="6940F62F" w14:textId="77777777" w:rsidR="00A02A2D" w:rsidRDefault="00000000">
      <w:pPr>
        <w:spacing w:after="0"/>
        <w:rPr>
          <w:b/>
        </w:rPr>
      </w:pPr>
      <w:r>
        <w:rPr>
          <w:b/>
        </w:rPr>
        <w:t>11.2.1 Registro de la Iniciativa</w:t>
      </w:r>
    </w:p>
    <w:p w14:paraId="7C314F59" w14:textId="77777777" w:rsidR="00A02A2D" w:rsidRDefault="00000000">
      <w:pPr>
        <w:numPr>
          <w:ilvl w:val="0"/>
          <w:numId w:val="25"/>
        </w:numPr>
        <w:spacing w:after="0"/>
      </w:pPr>
      <w:r>
        <w:t xml:space="preserve">Una vez que el proponente presenta su iniciativa en </w:t>
      </w:r>
      <w:r>
        <w:rPr>
          <w:b/>
        </w:rPr>
        <w:t>AyudaDigital</w:t>
      </w:r>
      <w:r>
        <w:t xml:space="preserve">, se envía un </w:t>
      </w:r>
      <w:r>
        <w:rPr>
          <w:b/>
        </w:rPr>
        <w:t>correo de confirmación</w:t>
      </w:r>
      <w:r>
        <w:t xml:space="preserve"> notificando que la solicitud ha sido recibida.</w:t>
      </w:r>
    </w:p>
    <w:p w14:paraId="0ABE0737" w14:textId="77777777" w:rsidR="00A02A2D" w:rsidRDefault="00000000">
      <w:pPr>
        <w:numPr>
          <w:ilvl w:val="0"/>
          <w:numId w:val="25"/>
        </w:numPr>
        <w:spacing w:after="0"/>
      </w:pPr>
      <w:r>
        <w:t xml:space="preserve">La propuesta se transfiere a la </w:t>
      </w:r>
      <w:r>
        <w:rPr>
          <w:b/>
        </w:rPr>
        <w:t>Oficina Técnica de la ESDA</w:t>
      </w:r>
      <w:r>
        <w:t>, que inicia su análisis preliminar.</w:t>
      </w:r>
    </w:p>
    <w:p w14:paraId="37278274" w14:textId="77777777" w:rsidR="00A02A2D" w:rsidRDefault="00000000">
      <w:pPr>
        <w:spacing w:after="0"/>
        <w:rPr>
          <w:b/>
        </w:rPr>
      </w:pPr>
      <w:r>
        <w:rPr>
          <w:b/>
        </w:rPr>
        <w:t>11.2.2 Estado: "Pendiente de Información"</w:t>
      </w:r>
    </w:p>
    <w:p w14:paraId="01C45BD5" w14:textId="77777777" w:rsidR="00A02A2D" w:rsidRDefault="00000000">
      <w:pPr>
        <w:numPr>
          <w:ilvl w:val="0"/>
          <w:numId w:val="26"/>
        </w:numPr>
        <w:spacing w:after="0"/>
      </w:pPr>
      <w:r>
        <w:t>Si la iniciativa requiere datos adicionales antes de ser evaluada, se coloca en este estado.</w:t>
      </w:r>
    </w:p>
    <w:p w14:paraId="6503BCFD" w14:textId="77777777" w:rsidR="00A02A2D" w:rsidRDefault="00000000">
      <w:pPr>
        <w:numPr>
          <w:ilvl w:val="0"/>
          <w:numId w:val="26"/>
        </w:numPr>
        <w:spacing w:after="0"/>
      </w:pPr>
      <w:r>
        <w:lastRenderedPageBreak/>
        <w:t>Se notifica al proponente por correo electrónico, indicando la información necesaria.</w:t>
      </w:r>
    </w:p>
    <w:p w14:paraId="5B76221C" w14:textId="77777777" w:rsidR="00A02A2D" w:rsidRDefault="00000000">
      <w:pPr>
        <w:numPr>
          <w:ilvl w:val="0"/>
          <w:numId w:val="26"/>
        </w:numPr>
        <w:spacing w:after="0"/>
      </w:pPr>
      <w:r>
        <w:rPr>
          <w:b/>
        </w:rPr>
        <w:t>El proponente debe completar la información solicitada</w:t>
      </w:r>
      <w:r>
        <w:t xml:space="preserve"> antes de continuar con el proceso.</w:t>
      </w:r>
    </w:p>
    <w:p w14:paraId="5E0761BD" w14:textId="77777777" w:rsidR="00A02A2D" w:rsidRDefault="00000000">
      <w:pPr>
        <w:spacing w:after="0"/>
        <w:rPr>
          <w:b/>
        </w:rPr>
      </w:pPr>
      <w:r>
        <w:rPr>
          <w:b/>
        </w:rPr>
        <w:t>11.2.3 Estado: "En Evaluación"</w:t>
      </w:r>
    </w:p>
    <w:p w14:paraId="5C3D7A22" w14:textId="77777777" w:rsidR="00A02A2D" w:rsidRDefault="00000000">
      <w:pPr>
        <w:numPr>
          <w:ilvl w:val="0"/>
          <w:numId w:val="27"/>
        </w:numPr>
        <w:spacing w:after="0"/>
      </w:pPr>
      <w:r>
        <w:t>Una vez que la Oficina Técnica tiene toda la información, la iniciativa entra en fase de evaluación.</w:t>
      </w:r>
    </w:p>
    <w:p w14:paraId="3D834876" w14:textId="77777777" w:rsidR="00A02A2D" w:rsidRDefault="00000000">
      <w:pPr>
        <w:numPr>
          <w:ilvl w:val="0"/>
          <w:numId w:val="27"/>
        </w:numPr>
        <w:spacing w:after="0"/>
      </w:pPr>
      <w:r>
        <w:t>Se analiza su viabilidad técnica, impacto en el SSPA y alineación con la ESDA2030.</w:t>
      </w:r>
    </w:p>
    <w:p w14:paraId="707FB619" w14:textId="77777777" w:rsidR="00A02A2D" w:rsidRDefault="00000000">
      <w:pPr>
        <w:numPr>
          <w:ilvl w:val="0"/>
          <w:numId w:val="27"/>
        </w:numPr>
        <w:spacing w:after="0"/>
      </w:pPr>
      <w:r>
        <w:t xml:space="preserve">Si la evaluación requiere interacción con otros equipos, se habilita un </w:t>
      </w:r>
      <w:r>
        <w:rPr>
          <w:b/>
        </w:rPr>
        <w:t>canal interno en Jira</w:t>
      </w:r>
      <w:r>
        <w:t xml:space="preserve"> para la gestión de información.</w:t>
      </w:r>
    </w:p>
    <w:p w14:paraId="6E79D81D" w14:textId="77777777" w:rsidR="00A02A2D" w:rsidRDefault="00000000">
      <w:pPr>
        <w:spacing w:after="0"/>
        <w:rPr>
          <w:b/>
        </w:rPr>
      </w:pPr>
      <w:r>
        <w:rPr>
          <w:b/>
        </w:rPr>
        <w:t>11.2.4 Estado: "Valoración por el Comité Técnico"</w:t>
      </w:r>
    </w:p>
    <w:p w14:paraId="5364B444" w14:textId="77777777" w:rsidR="00A02A2D" w:rsidRDefault="00000000">
      <w:pPr>
        <w:numPr>
          <w:ilvl w:val="0"/>
          <w:numId w:val="28"/>
        </w:numPr>
        <w:spacing w:after="0"/>
      </w:pPr>
      <w:r>
        <w:t xml:space="preserve">Si la iniciativa es viable, se traslada al </w:t>
      </w:r>
      <w:r>
        <w:rPr>
          <w:b/>
        </w:rPr>
        <w:t>Comité Técnico de la ESDA</w:t>
      </w:r>
      <w:r>
        <w:t xml:space="preserve"> para su análisis en profundidad.</w:t>
      </w:r>
    </w:p>
    <w:p w14:paraId="5964658D" w14:textId="77777777" w:rsidR="00A02A2D" w:rsidRDefault="00000000">
      <w:pPr>
        <w:numPr>
          <w:ilvl w:val="0"/>
          <w:numId w:val="28"/>
        </w:numPr>
        <w:spacing w:after="0"/>
      </w:pPr>
      <w:r>
        <w:rPr>
          <w:b/>
        </w:rPr>
        <w:t>Tres posibles resultados de esta fase:</w:t>
      </w:r>
      <w:r>
        <w:t xml:space="preserve"> </w:t>
      </w:r>
    </w:p>
    <w:p w14:paraId="7B98ABAF" w14:textId="77777777" w:rsidR="00A02A2D" w:rsidRDefault="00000000">
      <w:pPr>
        <w:numPr>
          <w:ilvl w:val="1"/>
          <w:numId w:val="28"/>
        </w:numPr>
        <w:spacing w:after="0"/>
      </w:pPr>
      <w:r>
        <w:rPr>
          <w:b/>
        </w:rPr>
        <w:t>No Aceptada:</w:t>
      </w:r>
      <w:r>
        <w:t xml:space="preserve"> La iniciativa no cumple con los requisitos técnicos o estratégicos.</w:t>
      </w:r>
    </w:p>
    <w:p w14:paraId="2AFF5422" w14:textId="77777777" w:rsidR="00A02A2D" w:rsidRDefault="00000000">
      <w:pPr>
        <w:numPr>
          <w:ilvl w:val="1"/>
          <w:numId w:val="28"/>
        </w:numPr>
        <w:spacing w:after="0"/>
      </w:pPr>
      <w:r>
        <w:rPr>
          <w:b/>
        </w:rPr>
        <w:t>Aceptada:</w:t>
      </w:r>
      <w:r>
        <w:t xml:space="preserve"> Se aprueba para continuar a la siguiente fase.</w:t>
      </w:r>
    </w:p>
    <w:p w14:paraId="204B640F" w14:textId="77777777" w:rsidR="00A02A2D" w:rsidRDefault="00000000">
      <w:pPr>
        <w:numPr>
          <w:ilvl w:val="1"/>
          <w:numId w:val="28"/>
        </w:numPr>
        <w:spacing w:after="0"/>
      </w:pPr>
      <w:r>
        <w:rPr>
          <w:b/>
        </w:rPr>
        <w:t>Sin Acuerdo:</w:t>
      </w:r>
      <w:r>
        <w:t xml:space="preserve"> Se requiere más información o revisión antes de tomar una decisión.</w:t>
      </w:r>
    </w:p>
    <w:p w14:paraId="074A66C6" w14:textId="77777777" w:rsidR="00A02A2D" w:rsidRDefault="00000000">
      <w:pPr>
        <w:spacing w:after="0"/>
      </w:pPr>
      <w:r>
        <w:rPr>
          <w:rFonts w:ascii="Quattrocento Sans" w:eastAsia="Quattrocento Sans" w:hAnsi="Quattrocento Sans" w:cs="Quattrocento Sans"/>
        </w:rPr>
        <w:t>📢</w:t>
      </w:r>
      <w:r>
        <w:t xml:space="preserve"> </w:t>
      </w:r>
      <w:r>
        <w:rPr>
          <w:b/>
        </w:rPr>
        <w:t>Notificación:</w:t>
      </w:r>
      <w:r>
        <w:t xml:space="preserve"> El proponente recibe un correo informándole del resultado de la evaluación del Comité Técnico.</w:t>
      </w:r>
    </w:p>
    <w:p w14:paraId="4C556CCE" w14:textId="77777777" w:rsidR="00A02A2D" w:rsidRDefault="00A02A2D">
      <w:pPr>
        <w:spacing w:after="0"/>
      </w:pPr>
    </w:p>
    <w:p w14:paraId="043C017E" w14:textId="77777777" w:rsidR="00A02A2D" w:rsidRDefault="00000000">
      <w:pPr>
        <w:spacing w:after="0"/>
        <w:rPr>
          <w:b/>
        </w:rPr>
      </w:pPr>
      <w:r>
        <w:rPr>
          <w:b/>
        </w:rPr>
        <w:t>11.3. Decisión Final del Comité Directivo</w:t>
      </w:r>
    </w:p>
    <w:p w14:paraId="0D11EC69" w14:textId="77777777" w:rsidR="00A02A2D" w:rsidRDefault="00000000">
      <w:pPr>
        <w:spacing w:after="0"/>
        <w:ind w:firstLine="708"/>
      </w:pPr>
      <w:r>
        <w:t xml:space="preserve">Una vez que el Comité Técnico ha emitido su valoración, la iniciativa pasa al </w:t>
      </w:r>
      <w:r>
        <w:rPr>
          <w:b/>
        </w:rPr>
        <w:t>Comité Directivo de la ESDA</w:t>
      </w:r>
      <w:r>
        <w:t>, que toma la decisión final.</w:t>
      </w:r>
    </w:p>
    <w:p w14:paraId="03A71D03" w14:textId="77777777" w:rsidR="00A02A2D" w:rsidRDefault="00000000">
      <w:pPr>
        <w:spacing w:after="0"/>
      </w:pPr>
      <w:r>
        <w:t>Las opciones son:</w:t>
      </w:r>
    </w:p>
    <w:p w14:paraId="3D10BDA7" w14:textId="77777777" w:rsidR="00A02A2D" w:rsidRDefault="00000000">
      <w:pPr>
        <w:numPr>
          <w:ilvl w:val="0"/>
          <w:numId w:val="29"/>
        </w:numPr>
        <w:spacing w:after="0"/>
      </w:pPr>
      <w:sdt>
        <w:sdtPr>
          <w:tag w:val="goog_rdk_0"/>
          <w:id w:val="-48997075"/>
        </w:sdtPr>
        <w:sdtContent>
          <w:r>
            <w:rPr>
              <w:rFonts w:ascii="Arial Unicode MS" w:eastAsia="Arial Unicode MS" w:hAnsi="Arial Unicode MS" w:cs="Arial Unicode MS"/>
              <w:b/>
            </w:rPr>
            <w:t>✅</w:t>
          </w:r>
        </w:sdtContent>
      </w:sdt>
      <w:r>
        <w:rPr>
          <w:b/>
        </w:rPr>
        <w:t xml:space="preserve"> Aceptada:</w:t>
      </w:r>
      <w:r>
        <w:t xml:space="preserve"> Se aprueba y pasa a la fase de planificación e implementación.</w:t>
      </w:r>
    </w:p>
    <w:p w14:paraId="46488709" w14:textId="77777777" w:rsidR="00A02A2D" w:rsidRDefault="00000000">
      <w:pPr>
        <w:numPr>
          <w:ilvl w:val="0"/>
          <w:numId w:val="29"/>
        </w:numPr>
        <w:spacing w:after="0"/>
      </w:pPr>
      <w:sdt>
        <w:sdtPr>
          <w:tag w:val="goog_rdk_1"/>
          <w:id w:val="-1531423217"/>
        </w:sdtPr>
        <w:sdtContent>
          <w:r>
            <w:rPr>
              <w:rFonts w:ascii="Arial Unicode MS" w:eastAsia="Arial Unicode MS" w:hAnsi="Arial Unicode MS" w:cs="Arial Unicode MS"/>
              <w:b/>
            </w:rPr>
            <w:t>❌</w:t>
          </w:r>
        </w:sdtContent>
      </w:sdt>
      <w:r>
        <w:rPr>
          <w:b/>
        </w:rPr>
        <w:t xml:space="preserve"> Rechazada:</w:t>
      </w:r>
      <w:r>
        <w:t xml:space="preserve"> Se informa al proponente de los motivos del rechazo.</w:t>
      </w:r>
    </w:p>
    <w:p w14:paraId="6771362A" w14:textId="77777777" w:rsidR="00A02A2D" w:rsidRDefault="00000000">
      <w:pPr>
        <w:spacing w:after="0"/>
      </w:pPr>
      <w:r>
        <w:rPr>
          <w:rFonts w:ascii="Quattrocento Sans" w:eastAsia="Quattrocento Sans" w:hAnsi="Quattrocento Sans" w:cs="Quattrocento Sans"/>
        </w:rPr>
        <w:t>📌</w:t>
      </w:r>
      <w:r>
        <w:t xml:space="preserve"> En ambos casos, el proponente recibe un correo electrónico detallando el resultado y los próximos pasos.</w:t>
      </w:r>
    </w:p>
    <w:p w14:paraId="7D37D78D" w14:textId="77777777" w:rsidR="00A02A2D" w:rsidRDefault="00A02A2D">
      <w:pPr>
        <w:spacing w:after="0"/>
      </w:pPr>
    </w:p>
    <w:p w14:paraId="62552472" w14:textId="77777777" w:rsidR="00A02A2D" w:rsidRDefault="00000000">
      <w:pPr>
        <w:spacing w:after="0"/>
        <w:rPr>
          <w:b/>
        </w:rPr>
      </w:pPr>
      <w:r>
        <w:rPr>
          <w:b/>
        </w:rPr>
        <w:t>11.4. Criterios de Evaluación</w:t>
      </w:r>
    </w:p>
    <w:p w14:paraId="77641CBA" w14:textId="77777777" w:rsidR="00A02A2D" w:rsidRDefault="00000000">
      <w:pPr>
        <w:spacing w:after="0"/>
        <w:ind w:firstLine="360"/>
      </w:pPr>
      <w:r>
        <w:t>Para determinar la viabilidad de una iniciativa digital, se tienen en cuenta los siguientes factores:</w:t>
      </w:r>
    </w:p>
    <w:p w14:paraId="56AEFA50" w14:textId="77777777" w:rsidR="00A02A2D" w:rsidRDefault="00000000">
      <w:pPr>
        <w:numPr>
          <w:ilvl w:val="0"/>
          <w:numId w:val="30"/>
        </w:numPr>
        <w:spacing w:after="0"/>
      </w:pPr>
      <w:r>
        <w:rPr>
          <w:b/>
        </w:rPr>
        <w:t>Alineación con la Estrategia</w:t>
      </w:r>
    </w:p>
    <w:p w14:paraId="11C5BAE3" w14:textId="77777777" w:rsidR="00A02A2D" w:rsidRDefault="00000000">
      <w:pPr>
        <w:numPr>
          <w:ilvl w:val="1"/>
          <w:numId w:val="30"/>
        </w:numPr>
        <w:spacing w:after="0"/>
      </w:pPr>
      <w:r>
        <w:t>¿Contribuye a los objetivos de la ESDA2030?</w:t>
      </w:r>
    </w:p>
    <w:p w14:paraId="699F588D" w14:textId="77777777" w:rsidR="00A02A2D" w:rsidRDefault="00000000">
      <w:pPr>
        <w:numPr>
          <w:ilvl w:val="1"/>
          <w:numId w:val="30"/>
        </w:numPr>
        <w:spacing w:after="0"/>
      </w:pPr>
      <w:r>
        <w:t>¿Resuelve una necesidad prioritaria del SSPA?</w:t>
      </w:r>
    </w:p>
    <w:p w14:paraId="2114FB02" w14:textId="77777777" w:rsidR="00A02A2D" w:rsidRDefault="00000000">
      <w:pPr>
        <w:numPr>
          <w:ilvl w:val="0"/>
          <w:numId w:val="30"/>
        </w:numPr>
        <w:spacing w:after="0"/>
      </w:pPr>
      <w:r>
        <w:rPr>
          <w:b/>
        </w:rPr>
        <w:t>Viabilidad Técnica</w:t>
      </w:r>
    </w:p>
    <w:p w14:paraId="3CEE30C7" w14:textId="77777777" w:rsidR="00A02A2D" w:rsidRDefault="00000000">
      <w:pPr>
        <w:numPr>
          <w:ilvl w:val="1"/>
          <w:numId w:val="30"/>
        </w:numPr>
        <w:spacing w:after="0"/>
      </w:pPr>
      <w:r>
        <w:t>¿Es compatible con los sistemas de información del SSPA?</w:t>
      </w:r>
    </w:p>
    <w:p w14:paraId="18D20CD9" w14:textId="77777777" w:rsidR="00A02A2D" w:rsidRDefault="00000000">
      <w:pPr>
        <w:numPr>
          <w:ilvl w:val="1"/>
          <w:numId w:val="30"/>
        </w:numPr>
        <w:spacing w:after="0"/>
      </w:pPr>
      <w:r>
        <w:t>¿Existen problemas de integración o infraestructura?</w:t>
      </w:r>
    </w:p>
    <w:p w14:paraId="4D43B068" w14:textId="77777777" w:rsidR="00A02A2D" w:rsidRDefault="00000000">
      <w:pPr>
        <w:numPr>
          <w:ilvl w:val="0"/>
          <w:numId w:val="30"/>
        </w:numPr>
        <w:spacing w:after="0"/>
      </w:pPr>
      <w:r>
        <w:rPr>
          <w:b/>
        </w:rPr>
        <w:t>Impacto y Beneficios</w:t>
      </w:r>
    </w:p>
    <w:p w14:paraId="38D35BE0" w14:textId="77777777" w:rsidR="00A02A2D" w:rsidRDefault="00000000">
      <w:pPr>
        <w:numPr>
          <w:ilvl w:val="1"/>
          <w:numId w:val="30"/>
        </w:numPr>
        <w:spacing w:after="0"/>
      </w:pPr>
      <w:r>
        <w:t>¿Mejora la calidad asistencial o la eficiencia operativa?</w:t>
      </w:r>
    </w:p>
    <w:p w14:paraId="1F786EE7" w14:textId="77777777" w:rsidR="00A02A2D" w:rsidRDefault="00000000">
      <w:pPr>
        <w:numPr>
          <w:ilvl w:val="1"/>
          <w:numId w:val="30"/>
        </w:numPr>
        <w:spacing w:after="0"/>
      </w:pPr>
      <w:r>
        <w:t>¿Aporta innovación o valor diferencial?</w:t>
      </w:r>
    </w:p>
    <w:p w14:paraId="6A43552E" w14:textId="77777777" w:rsidR="00A02A2D" w:rsidRDefault="00000000">
      <w:pPr>
        <w:numPr>
          <w:ilvl w:val="0"/>
          <w:numId w:val="30"/>
        </w:numPr>
        <w:spacing w:after="0"/>
      </w:pPr>
      <w:r>
        <w:rPr>
          <w:b/>
        </w:rPr>
        <w:t>Sostenibilidad</w:t>
      </w:r>
    </w:p>
    <w:p w14:paraId="3427A791" w14:textId="77777777" w:rsidR="00A02A2D" w:rsidRDefault="00000000">
      <w:pPr>
        <w:numPr>
          <w:ilvl w:val="1"/>
          <w:numId w:val="30"/>
        </w:numPr>
        <w:spacing w:after="0"/>
      </w:pPr>
      <w:r>
        <w:t>¿Es escalable a largo plazo?</w:t>
      </w:r>
    </w:p>
    <w:p w14:paraId="5B39505E" w14:textId="2ADB7212" w:rsidR="00A02A2D" w:rsidRDefault="00000000" w:rsidP="00F7524F">
      <w:pPr>
        <w:numPr>
          <w:ilvl w:val="1"/>
          <w:numId w:val="30"/>
        </w:numPr>
        <w:spacing w:after="0"/>
      </w:pPr>
      <w:r>
        <w:t>¿Cuenta con recursos suficientes para su implementación?</w:t>
      </w:r>
    </w:p>
    <w:sectPr w:rsidR="00A02A2D">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33145"/>
    <w:multiLevelType w:val="multilevel"/>
    <w:tmpl w:val="A77023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8E797F"/>
    <w:multiLevelType w:val="multilevel"/>
    <w:tmpl w:val="85D6F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3834E7"/>
    <w:multiLevelType w:val="multilevel"/>
    <w:tmpl w:val="A41E9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DA5E90"/>
    <w:multiLevelType w:val="multilevel"/>
    <w:tmpl w:val="EC7E5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113C9D"/>
    <w:multiLevelType w:val="multilevel"/>
    <w:tmpl w:val="46E2C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2338EF"/>
    <w:multiLevelType w:val="multilevel"/>
    <w:tmpl w:val="B9F81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1225CF"/>
    <w:multiLevelType w:val="multilevel"/>
    <w:tmpl w:val="3FD08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5847CA"/>
    <w:multiLevelType w:val="multilevel"/>
    <w:tmpl w:val="AC70F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90200B"/>
    <w:multiLevelType w:val="multilevel"/>
    <w:tmpl w:val="EE0275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D4B5038"/>
    <w:multiLevelType w:val="multilevel"/>
    <w:tmpl w:val="7DA6B8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5B93F28"/>
    <w:multiLevelType w:val="multilevel"/>
    <w:tmpl w:val="5F5252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8520F5"/>
    <w:multiLevelType w:val="multilevel"/>
    <w:tmpl w:val="1FEC1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9595715"/>
    <w:multiLevelType w:val="multilevel"/>
    <w:tmpl w:val="0A8AAD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B340105"/>
    <w:multiLevelType w:val="multilevel"/>
    <w:tmpl w:val="B76420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BAA2011"/>
    <w:multiLevelType w:val="multilevel"/>
    <w:tmpl w:val="C3AAC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F015ADF"/>
    <w:multiLevelType w:val="multilevel"/>
    <w:tmpl w:val="E1D8A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6B9628E"/>
    <w:multiLevelType w:val="multilevel"/>
    <w:tmpl w:val="71BA5C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A0B53E1"/>
    <w:multiLevelType w:val="multilevel"/>
    <w:tmpl w:val="3D28A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F2B63D2"/>
    <w:multiLevelType w:val="multilevel"/>
    <w:tmpl w:val="90D01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1834E84"/>
    <w:multiLevelType w:val="multilevel"/>
    <w:tmpl w:val="DEECA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1FB4E57"/>
    <w:multiLevelType w:val="multilevel"/>
    <w:tmpl w:val="4A949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F6E5298"/>
    <w:multiLevelType w:val="multilevel"/>
    <w:tmpl w:val="97E6C3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0333EBF"/>
    <w:multiLevelType w:val="multilevel"/>
    <w:tmpl w:val="AC1C2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1EF57E4"/>
    <w:multiLevelType w:val="multilevel"/>
    <w:tmpl w:val="31F27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CB22CF9"/>
    <w:multiLevelType w:val="multilevel"/>
    <w:tmpl w:val="05A6E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F990226"/>
    <w:multiLevelType w:val="multilevel"/>
    <w:tmpl w:val="32123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1464FE6"/>
    <w:multiLevelType w:val="multilevel"/>
    <w:tmpl w:val="E092D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A020460"/>
    <w:multiLevelType w:val="multilevel"/>
    <w:tmpl w:val="28C43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BB102EF"/>
    <w:multiLevelType w:val="multilevel"/>
    <w:tmpl w:val="68923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DEE5DAB"/>
    <w:multiLevelType w:val="multilevel"/>
    <w:tmpl w:val="7B363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04372558">
    <w:abstractNumId w:val="25"/>
  </w:num>
  <w:num w:numId="2" w16cid:durableId="646132892">
    <w:abstractNumId w:val="1"/>
  </w:num>
  <w:num w:numId="3" w16cid:durableId="1489975046">
    <w:abstractNumId w:val="10"/>
  </w:num>
  <w:num w:numId="4" w16cid:durableId="1576280632">
    <w:abstractNumId w:val="20"/>
  </w:num>
  <w:num w:numId="5" w16cid:durableId="1593002086">
    <w:abstractNumId w:val="14"/>
  </w:num>
  <w:num w:numId="6" w16cid:durableId="585459650">
    <w:abstractNumId w:val="4"/>
  </w:num>
  <w:num w:numId="7" w16cid:durableId="1458183089">
    <w:abstractNumId w:val="6"/>
  </w:num>
  <w:num w:numId="8" w16cid:durableId="1463110762">
    <w:abstractNumId w:val="15"/>
  </w:num>
  <w:num w:numId="9" w16cid:durableId="1852406589">
    <w:abstractNumId w:val="16"/>
  </w:num>
  <w:num w:numId="10" w16cid:durableId="968321820">
    <w:abstractNumId w:val="13"/>
  </w:num>
  <w:num w:numId="11" w16cid:durableId="1839885106">
    <w:abstractNumId w:val="9"/>
  </w:num>
  <w:num w:numId="12" w16cid:durableId="2097239030">
    <w:abstractNumId w:val="2"/>
  </w:num>
  <w:num w:numId="13" w16cid:durableId="1267344336">
    <w:abstractNumId w:val="5"/>
  </w:num>
  <w:num w:numId="14" w16cid:durableId="1392121104">
    <w:abstractNumId w:val="11"/>
  </w:num>
  <w:num w:numId="15" w16cid:durableId="795953746">
    <w:abstractNumId w:val="0"/>
  </w:num>
  <w:num w:numId="16" w16cid:durableId="862772">
    <w:abstractNumId w:val="19"/>
  </w:num>
  <w:num w:numId="17" w16cid:durableId="690257187">
    <w:abstractNumId w:val="12"/>
  </w:num>
  <w:num w:numId="18" w16cid:durableId="1561942974">
    <w:abstractNumId w:val="29"/>
  </w:num>
  <w:num w:numId="19" w16cid:durableId="1904098236">
    <w:abstractNumId w:val="3"/>
  </w:num>
  <w:num w:numId="20" w16cid:durableId="689263529">
    <w:abstractNumId w:val="24"/>
  </w:num>
  <w:num w:numId="21" w16cid:durableId="1011224342">
    <w:abstractNumId w:val="27"/>
  </w:num>
  <w:num w:numId="22" w16cid:durableId="1542593165">
    <w:abstractNumId w:val="23"/>
  </w:num>
  <w:num w:numId="23" w16cid:durableId="1208952780">
    <w:abstractNumId w:val="22"/>
  </w:num>
  <w:num w:numId="24" w16cid:durableId="1414737099">
    <w:abstractNumId w:val="7"/>
  </w:num>
  <w:num w:numId="25" w16cid:durableId="725568435">
    <w:abstractNumId w:val="26"/>
  </w:num>
  <w:num w:numId="26" w16cid:durableId="402292133">
    <w:abstractNumId w:val="28"/>
  </w:num>
  <w:num w:numId="27" w16cid:durableId="2068913635">
    <w:abstractNumId w:val="17"/>
  </w:num>
  <w:num w:numId="28" w16cid:durableId="723799066">
    <w:abstractNumId w:val="21"/>
  </w:num>
  <w:num w:numId="29" w16cid:durableId="54741342">
    <w:abstractNumId w:val="18"/>
  </w:num>
  <w:num w:numId="30" w16cid:durableId="2072727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A2D"/>
    <w:rsid w:val="00A02A2D"/>
    <w:rsid w:val="00F75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E770"/>
  <w15:docId w15:val="{CA29D272-16D1-4B7A-AAF2-E49CCE59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810"/>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D4A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6F2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5Z+WGBYxHoy+SsQ3E9W2W4Byg==">CgMxLjAaMAoBMBIrCikIB0IlChFRdWF0dHJvY2VudG8gU2FucxIQQXJpYWwgVW5pY29kZSBNUxowCgExEisKKQgHQiUKEVF1YXR0cm9jZW50byBTYW5zEhBBcmlhbCBVbmljb2RlIE1TOAByITFyZ0ZBbm8yaU9JeTNmVkRNZUM3Z0NOa0JxS21WRnU5aA==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11135</Words>
  <Characters>61247</Characters>
  <Application>Microsoft Office Word</Application>
  <DocSecurity>0</DocSecurity>
  <Lines>510</Lines>
  <Paragraphs>144</Paragraphs>
  <ScaleCrop>false</ScaleCrop>
  <Company/>
  <LinksUpToDate>false</LinksUpToDate>
  <CharactersWithSpaces>72238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Valentín Piñero Tejada</dc:creator>
  <cp:lastModifiedBy>Piñero Tejada, Pedro Vale</cp:lastModifiedBy>
  <cp:revision>2</cp:revision>
  <dcterms:created xsi:type="dcterms:W3CDTF">2025-03-16T23:44:00Z</dcterms:created>
  <dcterms:modified xsi:type="dcterms:W3CDTF">2026-09-25T22:10:00Z</dcterms:modified>
</cp:coreProperties>
</file>